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Раздел 1.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 История и источники метода?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В чем отличия парадигм иерархии и холархии?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 Объясните понятие «чувства+потребности»?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3. Что такое самоэмпатия и ее критерии?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4. Виды списков ЧиП и ограничения в использовании?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5. Эмоциональное выгорание и его профилактика?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Раздел 2.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1. Что такое наблюдение?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2. Как работать с систематичностью проблемы?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3. Эмпатия и критерии не эмпатии?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4. Отличие эмпатии от жалости?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5. Просьба и требования: отличия, критерии?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6. Виды просьбы, примеры?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Раздел 3.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1. Что такое критические мысли?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2. Цикл критики, и критерий завершенности цикла?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3. Самообвинение и работа с ним?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4. Методы работы с агрессией?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Раздел 4.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1. Реалистичный план действий: способы нахождения?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2. Виды дневников, используемых в методике?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3. Дневник работы с прошлым и его элементы?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4. Дневник благодарности и его элементы?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5. Понятие медиации, работа внутри конфликта?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