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color w:val="536657"/>
          <w:sz w:val="18"/>
        </w:rPr>
        <w:t>PROJECT RECORD  /  PROBLEM SOLVING IN ENGINEERING</w:t>
      </w:r>
    </w:p>
    <w:p>
      <w:pPr>
        <w:spacing w:after="100"/>
      </w:pPr>
      <w:r>
        <w:rPr>
          <w:rFonts w:ascii="Georgia" w:hAnsi="Georgia"/>
          <w:color w:val="143D33"/>
          <w:sz w:val="68"/>
        </w:rPr>
        <w:t>RecoverTrack</w:t>
      </w:r>
    </w:p>
    <w:p>
      <w:pPr>
        <w:spacing w:after="280"/>
      </w:pPr>
      <w:r>
        <w:rPr>
          <w:sz w:val="34"/>
        </w:rPr>
        <w:t>Systems thinking for recovery at home</w:t>
      </w:r>
    </w:p>
    <w:p>
      <w:r/>
      <w:r>
        <w:rPr>
          <w:b/>
        </w:rPr>
        <w:t>Complete record • Modules 1–5 • 10 embedded figures</w:t>
      </w:r>
      <w:r/>
    </w:p>
    <w:p>
      <w:r>
        <w:t>Name: ____________________    Roll no.: ____________________</w:t>
      </w:r>
    </w:p>
    <w:p>
      <w:r>
        <w:t>Team / section: ____________________    Guide: ____________________</w:t>
      </w:r>
    </w:p>
    <w:p>
      <w:pPr>
        <w:pStyle w:val="Heading2"/>
      </w:pPr>
      <w:r>
        <w:t>Project summary</w:t>
      </w:r>
    </w:p>
    <w:p>
      <w:r>
        <w:t>RecoverTrack is a project-stage recovery workspace for patients, caregivers and clinicians. It turns reviewed prescription details into a medication schedule, records dose reports and daily check-ins, and shares authorized recovery information. This record applies systems thinking to the household coordination process: define the system, investigate its structure, model feedback, compare interventions and test a critical assumption. The software prototype is demonstrated; local field effects and the accuracy of human review still require measurement.</w:t>
      </w:r>
    </w:p>
    <w:tbl>
      <w:tblPr>
        <w:tblW w:type="auto" w:w="0"/>
        <w:jc w:val="center"/>
        <w:tblLayout w:type="fixed"/>
        <w:tblLook w:firstColumn="1" w:firstRow="1" w:lastColumn="0" w:lastRow="0" w:noHBand="0" w:noVBand="1" w:val="04A0"/>
      </w:tblPr>
      <w:tblGrid>
        <w:gridCol w:w="2232"/>
        <w:gridCol w:w="7704"/>
      </w:tblGrid>
      <w:tr>
        <w:trPr>
          <w:tblHeader/>
        </w:trPr>
        <w:tc>
          <w:tcPr>
            <w:tcW w:type="dxa" w:w="2232"/>
            <w:shd w:fill="143D33"/>
            <w:tcMar>
              <w:top w:w="65" w:type="dxa"/>
              <w:left w:w="65" w:type="dxa"/>
              <w:bottom w:w="65" w:type="dxa"/>
              <w:right w:w="65" w:type="dxa"/>
            </w:tcMar>
          </w:tcPr>
          <w:p>
            <w:pPr>
              <w:spacing w:after="60" w:before="60"/>
            </w:pPr>
            <w:r>
              <w:rPr>
                <w:b/>
                <w:color w:val="FFFFFF"/>
                <w:sz w:val="19"/>
              </w:rPr>
              <w:t>Project focus</w:t>
            </w:r>
          </w:p>
        </w:tc>
        <w:tc>
          <w:tcPr>
            <w:tcW w:type="dxa" w:w="7704"/>
            <w:shd w:fill="143D33"/>
            <w:tcMar>
              <w:top w:w="65" w:type="dxa"/>
              <w:left w:w="65" w:type="dxa"/>
              <w:bottom w:w="65" w:type="dxa"/>
              <w:right w:w="65" w:type="dxa"/>
            </w:tcMar>
          </w:tcPr>
          <w:p>
            <w:pPr>
              <w:spacing w:after="60" w:before="60"/>
            </w:pPr>
            <w:r>
              <w:rPr>
                <w:b/>
                <w:color w:val="FFFFFF"/>
                <w:sz w:val="19"/>
              </w:rPr>
              <w:t>Working definition</w:t>
            </w:r>
          </w:p>
        </w:tc>
      </w:tr>
      <w:tr>
        <w:trPr>
          <w:cantSplit/>
        </w:trPr>
        <w:tc>
          <w:tcPr>
            <w:tcW w:type="dxa" w:w="2232"/>
            <w:vAlign w:val="center"/>
            <w:shd w:fill="F7F6F0"/>
            <w:tcMar>
              <w:top w:w="65" w:type="dxa"/>
              <w:left w:w="65" w:type="dxa"/>
              <w:bottom w:w="65" w:type="dxa"/>
              <w:right w:w="65" w:type="dxa"/>
            </w:tcMar>
          </w:tcPr>
          <w:p>
            <w:pPr>
              <w:spacing w:before="60" w:after="60" w:line="245" w:lineRule="auto"/>
            </w:pPr>
            <w:r>
              <w:rPr>
                <w:sz w:val="19"/>
              </w:rPr>
              <w:t>System studied</w:t>
            </w:r>
          </w:p>
        </w:tc>
        <w:tc>
          <w:tcPr>
            <w:tcW w:type="dxa" w:w="7704"/>
            <w:vAlign w:val="center"/>
            <w:shd w:fill="F7F6F0"/>
            <w:tcMar>
              <w:top w:w="65" w:type="dxa"/>
              <w:left w:w="65" w:type="dxa"/>
              <w:bottom w:w="65" w:type="dxa"/>
              <w:right w:w="65" w:type="dxa"/>
            </w:tcMar>
          </w:tcPr>
          <w:p>
            <w:pPr>
              <w:spacing w:before="60" w:after="60" w:line="245" w:lineRule="auto"/>
            </w:pPr>
            <w:r>
              <w:rPr>
                <w:sz w:val="19"/>
              </w:rPr>
              <w:t>Household coordination of an already prescribed post-surgery plan.</w:t>
            </w:r>
          </w:p>
        </w:tc>
      </w:tr>
      <w:tr>
        <w:trPr>
          <w:cantSplit/>
        </w:trPr>
        <w:tc>
          <w:tcPr>
            <w:tcW w:type="dxa" w:w="2232"/>
            <w:vAlign w:val="center"/>
            <w:tcMar>
              <w:top w:w="65" w:type="dxa"/>
              <w:left w:w="65" w:type="dxa"/>
              <w:bottom w:w="65" w:type="dxa"/>
              <w:right w:w="65" w:type="dxa"/>
            </w:tcMar>
          </w:tcPr>
          <w:p>
            <w:pPr>
              <w:spacing w:before="60" w:after="60" w:line="245" w:lineRule="auto"/>
            </w:pPr>
            <w:r>
              <w:rPr>
                <w:sz w:val="19"/>
              </w:rPr>
              <w:t>Proposed local boundary</w:t>
            </w:r>
          </w:p>
        </w:tc>
        <w:tc>
          <w:tcPr>
            <w:tcW w:type="dxa" w:w="7704"/>
            <w:vAlign w:val="center"/>
            <w:tcMar>
              <w:top w:w="65" w:type="dxa"/>
              <w:left w:w="65" w:type="dxa"/>
              <w:bottom w:w="65" w:type="dxa"/>
              <w:right w:w="65" w:type="dxa"/>
            </w:tcMar>
          </w:tcPr>
          <w:p>
            <w:pPr>
              <w:spacing w:before="60" w:after="60" w:line="245" w:lineRule="auto"/>
            </w:pPr>
            <w:r>
              <w:rPr>
                <w:sz w:val="19"/>
              </w:rPr>
              <w:t>Consenting adult patient–caregiver households in Hyderabad; first 14 days after discharge.</w:t>
            </w:r>
          </w:p>
        </w:tc>
      </w:tr>
      <w:tr>
        <w:trPr>
          <w:cantSplit/>
        </w:trPr>
        <w:tc>
          <w:tcPr>
            <w:tcW w:type="dxa" w:w="2232"/>
            <w:vAlign w:val="center"/>
            <w:shd w:fill="F7F6F0"/>
            <w:tcMar>
              <w:top w:w="65" w:type="dxa"/>
              <w:left w:w="65" w:type="dxa"/>
              <w:bottom w:w="65" w:type="dxa"/>
              <w:right w:w="65" w:type="dxa"/>
            </w:tcMar>
          </w:tcPr>
          <w:p>
            <w:pPr>
              <w:spacing w:before="60" w:after="60" w:line="245" w:lineRule="auto"/>
            </w:pPr>
            <w:r>
              <w:rPr>
                <w:sz w:val="19"/>
              </w:rPr>
              <w:t>Main intervention</w:t>
            </w:r>
          </w:p>
        </w:tc>
        <w:tc>
          <w:tcPr>
            <w:tcW w:type="dxa" w:w="7704"/>
            <w:vAlign w:val="center"/>
            <w:shd w:fill="F7F6F0"/>
            <w:tcMar>
              <w:top w:w="65" w:type="dxa"/>
              <w:left w:w="65" w:type="dxa"/>
              <w:bottom w:w="65" w:type="dxa"/>
              <w:right w:w="65" w:type="dxa"/>
            </w:tcMar>
          </w:tcPr>
          <w:p>
            <w:pPr>
              <w:spacing w:before="60" w:after="60" w:line="245" w:lineRule="auto"/>
            </w:pPr>
            <w:r>
              <w:rPr>
                <w:sz w:val="19"/>
              </w:rPr>
              <w:t>A reviewed shared record, traceable updates and clearer responsibility handovers.</w:t>
            </w:r>
          </w:p>
        </w:tc>
      </w:tr>
      <w:tr>
        <w:trPr>
          <w:cantSplit/>
        </w:trPr>
        <w:tc>
          <w:tcPr>
            <w:tcW w:type="dxa" w:w="2232"/>
            <w:vAlign w:val="center"/>
            <w:tcMar>
              <w:top w:w="65" w:type="dxa"/>
              <w:left w:w="65" w:type="dxa"/>
              <w:bottom w:w="65" w:type="dxa"/>
              <w:right w:w="65" w:type="dxa"/>
            </w:tcMar>
          </w:tcPr>
          <w:p>
            <w:pPr>
              <w:spacing w:before="60" w:after="60" w:line="245" w:lineRule="auto"/>
            </w:pPr>
            <w:r>
              <w:rPr>
                <w:sz w:val="19"/>
              </w:rPr>
              <w:t>Prototype</w:t>
            </w:r>
          </w:p>
        </w:tc>
        <w:tc>
          <w:tcPr>
            <w:tcW w:type="dxa" w:w="7704"/>
            <w:vAlign w:val="center"/>
            <w:tcMar>
              <w:top w:w="65" w:type="dxa"/>
              <w:left w:w="65" w:type="dxa"/>
              <w:bottom w:w="65" w:type="dxa"/>
              <w:right w:w="65" w:type="dxa"/>
            </w:tcMar>
          </w:tcPr>
          <w:p>
            <w:pPr>
              <w:spacing w:before="60" w:after="60" w:line="245" w:lineRule="auto"/>
            </w:pPr>
            <w:r>
              <w:rPr>
                <w:sz w:val="19"/>
              </w:rPr>
              <w:t>React, Express on Vercel, Neon PostgreSQL, Tesseract.js and explicit attention rules.</w:t>
            </w:r>
          </w:p>
        </w:tc>
      </w:tr>
    </w:tbl>
    <w:p>
      <w:pPr>
        <w:spacing w:after="0"/>
      </w:pPr>
    </w:p>
    <w:p>
      <w:pPr>
        <w:pStyle w:val="Heading2"/>
      </w:pPr>
      <w:r>
        <w:t>The five-module path</w:t>
      </w:r>
    </w:p>
    <w:tbl>
      <w:tblPr>
        <w:tblW w:type="auto" w:w="0"/>
        <w:jc w:val="center"/>
        <w:tblLayout w:type="fixed"/>
        <w:tblLook w:firstColumn="1" w:firstRow="1" w:lastColumn="0" w:lastRow="0" w:noHBand="0" w:noVBand="1" w:val="04A0"/>
      </w:tblPr>
      <w:tblGrid>
        <w:gridCol w:w="1872"/>
        <w:gridCol w:w="6984"/>
        <w:gridCol w:w="1080"/>
      </w:tblGrid>
      <w:tr>
        <w:trPr>
          <w:tblHeader/>
        </w:trPr>
        <w:tc>
          <w:tcPr>
            <w:tcW w:type="dxa" w:w="1872"/>
            <w:shd w:fill="143D33"/>
            <w:tcMar>
              <w:top w:w="65" w:type="dxa"/>
              <w:left w:w="65" w:type="dxa"/>
              <w:bottom w:w="65" w:type="dxa"/>
              <w:right w:w="65" w:type="dxa"/>
            </w:tcMar>
          </w:tcPr>
          <w:p>
            <w:pPr>
              <w:spacing w:after="60" w:before="60"/>
            </w:pPr>
            <w:r>
              <w:rPr>
                <w:b/>
                <w:color w:val="FFFFFF"/>
                <w:sz w:val="19"/>
              </w:rPr>
              <w:t>Module</w:t>
            </w:r>
          </w:p>
        </w:tc>
        <w:tc>
          <w:tcPr>
            <w:tcW w:type="dxa" w:w="6984"/>
            <w:shd w:fill="143D33"/>
            <w:tcMar>
              <w:top w:w="65" w:type="dxa"/>
              <w:left w:w="65" w:type="dxa"/>
              <w:bottom w:w="65" w:type="dxa"/>
              <w:right w:w="65" w:type="dxa"/>
            </w:tcMar>
          </w:tcPr>
          <w:p>
            <w:pPr>
              <w:spacing w:after="60" w:before="60"/>
            </w:pPr>
            <w:r>
              <w:rPr>
                <w:b/>
                <w:color w:val="FFFFFF"/>
                <w:sz w:val="19"/>
              </w:rPr>
              <w:t>Question</w:t>
            </w:r>
          </w:p>
        </w:tc>
        <w:tc>
          <w:tcPr>
            <w:tcW w:type="dxa" w:w="1080"/>
            <w:shd w:fill="143D33"/>
            <w:tcMar>
              <w:top w:w="65" w:type="dxa"/>
              <w:left w:w="65" w:type="dxa"/>
              <w:bottom w:w="65" w:type="dxa"/>
              <w:right w:w="65" w:type="dxa"/>
            </w:tcMar>
          </w:tcPr>
          <w:p>
            <w:pPr>
              <w:spacing w:after="60" w:before="60"/>
            </w:pPr>
            <w:r>
              <w:rPr>
                <w:b/>
                <w:color w:val="FFFFFF"/>
                <w:sz w:val="19"/>
              </w:rPr>
              <w:t>Book pages</w:t>
            </w:r>
          </w:p>
        </w:tc>
      </w:tr>
      <w:tr>
        <w:trPr>
          <w:cantSplit/>
        </w:trPr>
        <w:tc>
          <w:tcPr>
            <w:tcW w:type="dxa" w:w="1872"/>
            <w:vAlign w:val="center"/>
            <w:shd w:fill="F7F6F0"/>
            <w:tcMar>
              <w:top w:w="65" w:type="dxa"/>
              <w:left w:w="65" w:type="dxa"/>
              <w:bottom w:w="65" w:type="dxa"/>
              <w:right w:w="65" w:type="dxa"/>
            </w:tcMar>
          </w:tcPr>
          <w:p>
            <w:pPr>
              <w:spacing w:before="60" w:after="60" w:line="245" w:lineRule="auto"/>
            </w:pPr>
            <w:r>
              <w:rPr>
                <w:sz w:val="19"/>
              </w:rPr>
              <w:t>1 · PID</w:t>
            </w:r>
          </w:p>
        </w:tc>
        <w:tc>
          <w:tcPr>
            <w:tcW w:type="dxa" w:w="6984"/>
            <w:vAlign w:val="center"/>
            <w:shd w:fill="F7F6F0"/>
            <w:tcMar>
              <w:top w:w="65" w:type="dxa"/>
              <w:left w:w="65" w:type="dxa"/>
              <w:bottom w:w="65" w:type="dxa"/>
              <w:right w:w="65" w:type="dxa"/>
            </w:tcMar>
          </w:tcPr>
          <w:p>
            <w:pPr>
              <w:spacing w:before="60" w:after="60" w:line="245" w:lineRule="auto"/>
            </w:pPr>
            <w:r>
              <w:rPr>
                <w:sz w:val="19"/>
              </w:rPr>
              <w:t>What system are we studying, and what is the baseline?</w:t>
            </w:r>
          </w:p>
        </w:tc>
        <w:tc>
          <w:tcPr>
            <w:tcW w:type="dxa" w:w="1080"/>
            <w:vAlign w:val="center"/>
            <w:shd w:fill="F7F6F0"/>
            <w:tcMar>
              <w:top w:w="65" w:type="dxa"/>
              <w:left w:w="65" w:type="dxa"/>
              <w:bottom w:w="65" w:type="dxa"/>
              <w:right w:w="65" w:type="dxa"/>
            </w:tcMar>
          </w:tcPr>
          <w:p>
            <w:pPr>
              <w:spacing w:before="60" w:after="60" w:line="245" w:lineRule="auto"/>
            </w:pPr>
            <w:r>
              <w:rPr>
                <w:sz w:val="19"/>
              </w:rPr>
              <w:t>2–3</w:t>
            </w:r>
          </w:p>
        </w:tc>
      </w:tr>
      <w:tr>
        <w:trPr>
          <w:cantSplit/>
        </w:trPr>
        <w:tc>
          <w:tcPr>
            <w:tcW w:type="dxa" w:w="1872"/>
            <w:vAlign w:val="center"/>
            <w:tcMar>
              <w:top w:w="65" w:type="dxa"/>
              <w:left w:w="65" w:type="dxa"/>
              <w:bottom w:w="65" w:type="dxa"/>
              <w:right w:w="65" w:type="dxa"/>
            </w:tcMar>
          </w:tcPr>
          <w:p>
            <w:pPr>
              <w:spacing w:before="60" w:after="60" w:line="245" w:lineRule="auto"/>
            </w:pPr>
            <w:r>
              <w:rPr>
                <w:sz w:val="19"/>
              </w:rPr>
              <w:t>2 · Root cause</w:t>
            </w:r>
          </w:p>
        </w:tc>
        <w:tc>
          <w:tcPr>
            <w:tcW w:type="dxa" w:w="6984"/>
            <w:vAlign w:val="center"/>
            <w:tcMar>
              <w:top w:w="65" w:type="dxa"/>
              <w:left w:w="65" w:type="dxa"/>
              <w:bottom w:w="65" w:type="dxa"/>
              <w:right w:w="65" w:type="dxa"/>
            </w:tcMar>
          </w:tcPr>
          <w:p>
            <w:pPr>
              <w:spacing w:before="60" w:after="60" w:line="245" w:lineRule="auto"/>
            </w:pPr>
            <w:r>
              <w:rPr>
                <w:sz w:val="19"/>
              </w:rPr>
              <w:t>What patterns, structures and beliefs may explain it?</w:t>
            </w:r>
          </w:p>
        </w:tc>
        <w:tc>
          <w:tcPr>
            <w:tcW w:type="dxa" w:w="1080"/>
            <w:vAlign w:val="center"/>
            <w:tcMar>
              <w:top w:w="65" w:type="dxa"/>
              <w:left w:w="65" w:type="dxa"/>
              <w:bottom w:w="65" w:type="dxa"/>
              <w:right w:w="65" w:type="dxa"/>
            </w:tcMar>
          </w:tcPr>
          <w:p>
            <w:pPr>
              <w:spacing w:before="60" w:after="60" w:line="245" w:lineRule="auto"/>
            </w:pPr>
            <w:r>
              <w:rPr>
                <w:sz w:val="19"/>
              </w:rPr>
              <w:t>4–5</w:t>
            </w:r>
          </w:p>
        </w:tc>
      </w:tr>
      <w:tr>
        <w:trPr>
          <w:cantSplit/>
        </w:trPr>
        <w:tc>
          <w:tcPr>
            <w:tcW w:type="dxa" w:w="1872"/>
            <w:vAlign w:val="center"/>
            <w:shd w:fill="F7F6F0"/>
            <w:tcMar>
              <w:top w:w="65" w:type="dxa"/>
              <w:left w:w="65" w:type="dxa"/>
              <w:bottom w:w="65" w:type="dxa"/>
              <w:right w:w="65" w:type="dxa"/>
            </w:tcMar>
          </w:tcPr>
          <w:p>
            <w:pPr>
              <w:spacing w:before="60" w:after="60" w:line="245" w:lineRule="auto"/>
            </w:pPr>
            <w:r>
              <w:rPr>
                <w:sz w:val="19"/>
              </w:rPr>
              <w:t>3 · Feedback</w:t>
            </w:r>
          </w:p>
        </w:tc>
        <w:tc>
          <w:tcPr>
            <w:tcW w:type="dxa" w:w="6984"/>
            <w:vAlign w:val="center"/>
            <w:shd w:fill="F7F6F0"/>
            <w:tcMar>
              <w:top w:w="65" w:type="dxa"/>
              <w:left w:w="65" w:type="dxa"/>
              <w:bottom w:w="65" w:type="dxa"/>
              <w:right w:w="65" w:type="dxa"/>
            </w:tcMar>
          </w:tcPr>
          <w:p>
            <w:pPr>
              <w:spacing w:before="60" w:after="60" w:line="245" w:lineRule="auto"/>
            </w:pPr>
            <w:r>
              <w:rPr>
                <w:sz w:val="19"/>
              </w:rPr>
              <w:t>Which loops sustain it, and where can we intervene?</w:t>
            </w:r>
          </w:p>
        </w:tc>
        <w:tc>
          <w:tcPr>
            <w:tcW w:type="dxa" w:w="1080"/>
            <w:vAlign w:val="center"/>
            <w:shd w:fill="F7F6F0"/>
            <w:tcMar>
              <w:top w:w="65" w:type="dxa"/>
              <w:left w:w="65" w:type="dxa"/>
              <w:bottom w:w="65" w:type="dxa"/>
              <w:right w:w="65" w:type="dxa"/>
            </w:tcMar>
          </w:tcPr>
          <w:p>
            <w:pPr>
              <w:spacing w:before="60" w:after="60" w:line="245" w:lineRule="auto"/>
            </w:pPr>
            <w:r>
              <w:rPr>
                <w:sz w:val="19"/>
              </w:rPr>
              <w:t>6–7</w:t>
            </w:r>
          </w:p>
        </w:tc>
      </w:tr>
      <w:tr>
        <w:trPr>
          <w:cantSplit/>
        </w:trPr>
        <w:tc>
          <w:tcPr>
            <w:tcW w:type="dxa" w:w="1872"/>
            <w:vAlign w:val="center"/>
            <w:tcMar>
              <w:top w:w="65" w:type="dxa"/>
              <w:left w:w="65" w:type="dxa"/>
              <w:bottom w:w="65" w:type="dxa"/>
              <w:right w:w="65" w:type="dxa"/>
            </w:tcMar>
          </w:tcPr>
          <w:p>
            <w:pPr>
              <w:spacing w:before="60" w:after="60" w:line="245" w:lineRule="auto"/>
            </w:pPr>
            <w:r>
              <w:rPr>
                <w:sz w:val="19"/>
              </w:rPr>
              <w:t>4 · Selection</w:t>
            </w:r>
          </w:p>
        </w:tc>
        <w:tc>
          <w:tcPr>
            <w:tcW w:type="dxa" w:w="6984"/>
            <w:vAlign w:val="center"/>
            <w:tcMar>
              <w:top w:w="65" w:type="dxa"/>
              <w:left w:w="65" w:type="dxa"/>
              <w:bottom w:w="65" w:type="dxa"/>
              <w:right w:w="65" w:type="dxa"/>
            </w:tcMar>
          </w:tcPr>
          <w:p>
            <w:pPr>
              <w:spacing w:before="60" w:after="60" w:line="245" w:lineRule="auto"/>
            </w:pPr>
            <w:r>
              <w:rPr>
                <w:sz w:val="19"/>
              </w:rPr>
              <w:t>Which alternatives offer a feasible system change?</w:t>
            </w:r>
          </w:p>
        </w:tc>
        <w:tc>
          <w:tcPr>
            <w:tcW w:type="dxa" w:w="1080"/>
            <w:vAlign w:val="center"/>
            <w:tcMar>
              <w:top w:w="65" w:type="dxa"/>
              <w:left w:w="65" w:type="dxa"/>
              <w:bottom w:w="65" w:type="dxa"/>
              <w:right w:w="65" w:type="dxa"/>
            </w:tcMar>
          </w:tcPr>
          <w:p>
            <w:pPr>
              <w:spacing w:before="60" w:after="60" w:line="245" w:lineRule="auto"/>
            </w:pPr>
            <w:r>
              <w:rPr>
                <w:sz w:val="19"/>
              </w:rPr>
              <w:t>8–9</w:t>
            </w:r>
          </w:p>
        </w:tc>
      </w:tr>
      <w:tr>
        <w:trPr>
          <w:cantSplit/>
        </w:trPr>
        <w:tc>
          <w:tcPr>
            <w:tcW w:type="dxa" w:w="1872"/>
            <w:vAlign w:val="center"/>
            <w:shd w:fill="F7F6F0"/>
            <w:tcMar>
              <w:top w:w="65" w:type="dxa"/>
              <w:left w:w="65" w:type="dxa"/>
              <w:bottom w:w="65" w:type="dxa"/>
              <w:right w:w="65" w:type="dxa"/>
            </w:tcMar>
          </w:tcPr>
          <w:p>
            <w:pPr>
              <w:spacing w:before="60" w:after="60" w:line="245" w:lineRule="auto"/>
            </w:pPr>
            <w:r>
              <w:rPr>
                <w:sz w:val="19"/>
              </w:rPr>
              <w:t>5 · Prototype</w:t>
            </w:r>
          </w:p>
        </w:tc>
        <w:tc>
          <w:tcPr>
            <w:tcW w:type="dxa" w:w="6984"/>
            <w:vAlign w:val="center"/>
            <w:shd w:fill="F7F6F0"/>
            <w:tcMar>
              <w:top w:w="65" w:type="dxa"/>
              <w:left w:w="65" w:type="dxa"/>
              <w:bottom w:w="65" w:type="dxa"/>
              <w:right w:w="65" w:type="dxa"/>
            </w:tcMar>
          </w:tcPr>
          <w:p>
            <w:pPr>
              <w:spacing w:before="60" w:after="60" w:line="245" w:lineRule="auto"/>
            </w:pPr>
            <w:r>
              <w:rPr>
                <w:sz w:val="19"/>
              </w:rPr>
              <w:t>What did we test, learn and leave unverified?</w:t>
            </w:r>
          </w:p>
        </w:tc>
        <w:tc>
          <w:tcPr>
            <w:tcW w:type="dxa" w:w="1080"/>
            <w:vAlign w:val="center"/>
            <w:shd w:fill="F7F6F0"/>
            <w:tcMar>
              <w:top w:w="65" w:type="dxa"/>
              <w:left w:w="65" w:type="dxa"/>
              <w:bottom w:w="65" w:type="dxa"/>
              <w:right w:w="65" w:type="dxa"/>
            </w:tcMar>
          </w:tcPr>
          <w:p>
            <w:pPr>
              <w:spacing w:before="60" w:after="60" w:line="245" w:lineRule="auto"/>
            </w:pPr>
            <w:r>
              <w:rPr>
                <w:sz w:val="19"/>
              </w:rPr>
              <w:t>10–11</w:t>
            </w:r>
          </w:p>
        </w:tc>
      </w:tr>
    </w:tbl>
    <w:p>
      <w:pPr>
        <w:spacing w:after="0"/>
      </w:pPr>
    </w:p>
    <w:p>
      <w:pPr>
        <w:shd w:fill="E7EDDF"/>
        <w:spacing w:before="80" w:after="120"/>
      </w:pPr>
      <w:r/>
      <w:r>
        <w:rPr>
          <w:b/>
        </w:rPr>
        <w:t>Evidence key:</w:t>
      </w:r>
      <w:r>
        <w:t xml:space="preserve"> “Recorded” means supported by project records. “Hypothesis” means a relationship or perspective to investigate. “Proposed” means a plan or target that has not yet been achieved. The diagrams are models, not proof of clinical benefit.</w:t>
      </w:r>
    </w:p>
    <w:p>
      <w:r>
        <w:rPr>
          <w:color w:val="536657"/>
          <w:sz w:val="18"/>
        </w:rPr>
        <w:t>Adapted to RecoverTrack from the supplied PSE workbook. References and the completion checklist are on page 12. No patient interviews, local statistics or clinical improvements have been invented.</w:t>
      </w:r>
    </w:p>
    <w:p>
      <w:r>
        <w:br w:type="page"/>
      </w:r>
    </w:p>
    <w:p>
      <w:pPr>
        <w:spacing w:after="60"/>
      </w:pPr>
      <w:r>
        <w:rPr>
          <w:b/>
          <w:color w:val="536657"/>
          <w:sz w:val="18"/>
        </w:rPr>
        <w:t>MODULE 1 · A</w:t>
      </w:r>
    </w:p>
    <w:p>
      <w:pPr>
        <w:pStyle w:val="Heading1"/>
      </w:pPr>
      <w:r>
        <w:t>Project Informatics Document</w:t>
      </w:r>
    </w:p>
    <w:p>
      <w:r>
        <w:rPr>
          <w:color w:val="536657"/>
          <w:sz w:val="18"/>
        </w:rPr>
        <w:t>Workbook pp. 4–8 [1]  |  Describe the as-is system before choosing technology.</w:t>
      </w:r>
    </w:p>
    <w:p>
      <w:r/>
      <w:r>
        <w:rPr>
          <w:b/>
        </w:rPr>
        <w:t>Purpose:</w:t>
      </w:r>
      <w:r>
        <w:t xml:space="preserve"> a PID establishes the local context, system boundary, stakeholders and measurable baseline. It prevents a preferred technology from deciding what the problem must be.</w:t>
      </w:r>
    </w:p>
    <w:p>
      <w:pPr>
        <w:pStyle w:val="Heading2"/>
      </w:pPr>
      <w:r>
        <w:t>Scope and preliminary problem statement</w:t>
      </w:r>
    </w:p>
    <w:p>
      <w:r/>
      <w:r>
        <w:rPr>
          <w:b/>
        </w:rPr>
        <w:t>Super-system:</w:t>
      </w:r>
      <w:r>
        <w:t xml:space="preserve"> post-discharge healthcare. </w:t>
      </w:r>
      <w:r>
        <w:rPr>
          <w:b/>
        </w:rPr>
        <w:t>Sub-system:</w:t>
      </w:r>
      <w:r>
        <w:t xml:space="preserve"> medication coordination at home. </w:t>
      </w:r>
      <w:r>
        <w:rPr>
          <w:b/>
        </w:rPr>
        <w:t>Proposed pilot:</w:t>
      </w:r>
      <w:r>
        <w:t xml:space="preserve"> adult patient–caregiver households in Hyderabad during the first 14 days after discharge. This is a proposed study boundary, not a completed field study or the application’s maximum course duration.</w:t>
      </w:r>
    </w:p>
    <w:p>
      <w:pPr>
        <w:shd w:fill="E7EDDF"/>
        <w:spacing w:before="80" w:after="120"/>
      </w:pPr>
      <w:r/>
      <w:r>
        <w:rPr>
          <w:b/>
        </w:rPr>
        <w:t>Problem statement — under 100 words:</w:t>
      </w:r>
      <w:r>
        <w:t xml:space="preserve"> The proposed study investigates how adults recovering from surgery and their caregivers interpret medication instructions, organize doses and communicate dose status at home. When records or responsibilities are unclear, families may struggle to establish what has been taken and what needs follow-up. The frequency, timing and causes of these difficulties must be measured locally before claiming their prevalence or selecting a final intervention.</w:t>
      </w:r>
    </w:p>
    <w:p>
      <w:pPr>
        <w:pStyle w:val="Heading2"/>
      </w:pPr>
      <w:r>
        <w:t>Existing-system inquiry: workbook 5W2H</w:t>
      </w:r>
    </w:p>
    <w:tbl>
      <w:tblPr>
        <w:tblW w:type="auto" w:w="0"/>
        <w:jc w:val="center"/>
        <w:tblLayout w:type="fixed"/>
        <w:tblLook w:firstColumn="1" w:firstRow="1" w:lastColumn="0" w:lastRow="0" w:noHBand="0" w:noVBand="1" w:val="04A0"/>
      </w:tblPr>
      <w:tblGrid>
        <w:gridCol w:w="1800"/>
        <w:gridCol w:w="8136"/>
      </w:tblGrid>
      <w:tr>
        <w:trPr>
          <w:tblHeader/>
        </w:trPr>
        <w:tc>
          <w:tcPr>
            <w:tcW w:type="dxa" w:w="1800"/>
            <w:shd w:fill="143D33"/>
            <w:tcMar>
              <w:top w:w="65" w:type="dxa"/>
              <w:left w:w="65" w:type="dxa"/>
              <w:bottom w:w="65" w:type="dxa"/>
              <w:right w:w="65" w:type="dxa"/>
            </w:tcMar>
          </w:tcPr>
          <w:p>
            <w:pPr>
              <w:spacing w:after="60" w:before="60"/>
            </w:pPr>
            <w:r>
              <w:rPr>
                <w:b/>
                <w:color w:val="FFFFFF"/>
                <w:sz w:val="18"/>
              </w:rPr>
              <w:t>Question</w:t>
            </w:r>
          </w:p>
        </w:tc>
        <w:tc>
          <w:tcPr>
            <w:tcW w:type="dxa" w:w="8136"/>
            <w:shd w:fill="143D33"/>
            <w:tcMar>
              <w:top w:w="65" w:type="dxa"/>
              <w:left w:w="65" w:type="dxa"/>
              <w:bottom w:w="65" w:type="dxa"/>
              <w:right w:w="65" w:type="dxa"/>
            </w:tcMar>
          </w:tcPr>
          <w:p>
            <w:pPr>
              <w:spacing w:after="60" w:before="60"/>
            </w:pPr>
            <w:r>
              <w:rPr>
                <w:b/>
                <w:color w:val="FFFFFF"/>
                <w:sz w:val="18"/>
              </w:rPr>
              <w:t>What to investigate</w:t>
            </w:r>
          </w:p>
        </w:tc>
      </w:tr>
      <w:tr>
        <w:trPr>
          <w:cantSplit/>
        </w:trPr>
        <w:tc>
          <w:tcPr>
            <w:tcW w:type="dxa" w:w="1800"/>
            <w:vAlign w:val="center"/>
            <w:shd w:fill="F7F6F0"/>
            <w:tcMar>
              <w:top w:w="65" w:type="dxa"/>
              <w:left w:w="65" w:type="dxa"/>
              <w:bottom w:w="65" w:type="dxa"/>
              <w:right w:w="65" w:type="dxa"/>
            </w:tcMar>
          </w:tcPr>
          <w:p>
            <w:pPr>
              <w:spacing w:before="60" w:after="60" w:line="245" w:lineRule="auto"/>
            </w:pPr>
            <w:r>
              <w:rPr>
                <w:sz w:val="18"/>
              </w:rPr>
              <w:t>What?</w:t>
            </w:r>
          </w:p>
        </w:tc>
        <w:tc>
          <w:tcPr>
            <w:tcW w:type="dxa" w:w="8136"/>
            <w:vAlign w:val="center"/>
            <w:shd w:fill="F7F6F0"/>
            <w:tcMar>
              <w:top w:w="65" w:type="dxa"/>
              <w:left w:w="65" w:type="dxa"/>
              <w:bottom w:w="65" w:type="dxa"/>
              <w:right w:w="65" w:type="dxa"/>
            </w:tcMar>
          </w:tcPr>
          <w:p>
            <w:pPr>
              <w:spacing w:before="60" w:after="60" w:line="245" w:lineRule="auto"/>
            </w:pPr>
            <w:r>
              <w:rPr>
                <w:sz w:val="18"/>
              </w:rPr>
              <w:t>Candidate symptoms: unclear instructions, incomplete status records and repeated clarification.</w:t>
            </w:r>
          </w:p>
        </w:tc>
      </w:tr>
      <w:tr>
        <w:trPr>
          <w:cantSplit/>
        </w:trPr>
        <w:tc>
          <w:tcPr>
            <w:tcW w:type="dxa" w:w="1800"/>
            <w:vAlign w:val="center"/>
            <w:tcMar>
              <w:top w:w="65" w:type="dxa"/>
              <w:left w:w="65" w:type="dxa"/>
              <w:bottom w:w="65" w:type="dxa"/>
              <w:right w:w="65" w:type="dxa"/>
            </w:tcMar>
          </w:tcPr>
          <w:p>
            <w:pPr>
              <w:spacing w:before="60" w:after="60" w:line="245" w:lineRule="auto"/>
            </w:pPr>
            <w:r>
              <w:rPr>
                <w:sz w:val="18"/>
              </w:rPr>
              <w:t>Who is affected?</w:t>
            </w:r>
          </w:p>
        </w:tc>
        <w:tc>
          <w:tcPr>
            <w:tcW w:type="dxa" w:w="8136"/>
            <w:vAlign w:val="center"/>
            <w:tcMar>
              <w:top w:w="65" w:type="dxa"/>
              <w:left w:w="65" w:type="dxa"/>
              <w:bottom w:w="65" w:type="dxa"/>
              <w:right w:w="65" w:type="dxa"/>
            </w:tcMar>
          </w:tcPr>
          <w:p>
            <w:pPr>
              <w:spacing w:before="60" w:after="60" w:line="245" w:lineRule="auto"/>
            </w:pPr>
            <w:r>
              <w:rPr>
                <w:sz w:val="18"/>
              </w:rPr>
              <w:t>Recovering patients, family caregivers and clinicians reviewing recovery.</w:t>
            </w:r>
          </w:p>
        </w:tc>
      </w:tr>
      <w:tr>
        <w:trPr>
          <w:cantSplit/>
        </w:trPr>
        <w:tc>
          <w:tcPr>
            <w:tcW w:type="dxa" w:w="1800"/>
            <w:vAlign w:val="center"/>
            <w:shd w:fill="F7F6F0"/>
            <w:tcMar>
              <w:top w:w="65" w:type="dxa"/>
              <w:left w:w="65" w:type="dxa"/>
              <w:bottom w:w="65" w:type="dxa"/>
              <w:right w:w="65" w:type="dxa"/>
            </w:tcMar>
          </w:tcPr>
          <w:p>
            <w:pPr>
              <w:spacing w:before="60" w:after="60" w:line="245" w:lineRule="auto"/>
            </w:pPr>
            <w:r>
              <w:rPr>
                <w:sz w:val="18"/>
              </w:rPr>
              <w:t>Who influences it?</w:t>
            </w:r>
          </w:p>
        </w:tc>
        <w:tc>
          <w:tcPr>
            <w:tcW w:type="dxa" w:w="8136"/>
            <w:vAlign w:val="center"/>
            <w:shd w:fill="F7F6F0"/>
            <w:tcMar>
              <w:top w:w="65" w:type="dxa"/>
              <w:left w:w="65" w:type="dxa"/>
              <w:bottom w:w="65" w:type="dxa"/>
              <w:right w:w="65" w:type="dxa"/>
            </w:tcMar>
          </w:tcPr>
          <w:p>
            <w:pPr>
              <w:spacing w:before="60" w:after="60" w:line="245" w:lineRule="auto"/>
            </w:pPr>
            <w:r>
              <w:rPr>
                <w:sz w:val="18"/>
              </w:rPr>
              <w:t>People handing over instructions, preparing medicines and reporting status; study handoffs without assigning blame.</w:t>
            </w:r>
          </w:p>
        </w:tc>
      </w:tr>
      <w:tr>
        <w:trPr>
          <w:cantSplit/>
        </w:trPr>
        <w:tc>
          <w:tcPr>
            <w:tcW w:type="dxa" w:w="1800"/>
            <w:vAlign w:val="center"/>
            <w:tcMar>
              <w:top w:w="65" w:type="dxa"/>
              <w:left w:w="65" w:type="dxa"/>
              <w:bottom w:w="65" w:type="dxa"/>
              <w:right w:w="65" w:type="dxa"/>
            </w:tcMar>
          </w:tcPr>
          <w:p>
            <w:pPr>
              <w:spacing w:before="60" w:after="60" w:line="245" w:lineRule="auto"/>
            </w:pPr>
            <w:r>
              <w:rPr>
                <w:sz w:val="18"/>
              </w:rPr>
              <w:t>When?</w:t>
            </w:r>
          </w:p>
        </w:tc>
        <w:tc>
          <w:tcPr>
            <w:tcW w:type="dxa" w:w="8136"/>
            <w:vAlign w:val="center"/>
            <w:tcMar>
              <w:top w:w="65" w:type="dxa"/>
              <w:left w:w="65" w:type="dxa"/>
              <w:bottom w:w="65" w:type="dxa"/>
              <w:right w:w="65" w:type="dxa"/>
            </w:tcMar>
          </w:tcPr>
          <w:p>
            <w:pPr>
              <w:spacing w:before="60" w:after="60" w:line="245" w:lineRule="auto"/>
            </w:pPr>
            <w:r>
              <w:rPr>
                <w:sz w:val="18"/>
              </w:rPr>
              <w:t>Compare morning/evening routines, handovers and weekdays/weekends; do not assume which period is worse.</w:t>
            </w:r>
          </w:p>
        </w:tc>
      </w:tr>
      <w:tr>
        <w:trPr>
          <w:cantSplit/>
        </w:trPr>
        <w:tc>
          <w:tcPr>
            <w:tcW w:type="dxa" w:w="1800"/>
            <w:vAlign w:val="center"/>
            <w:shd w:fill="F7F6F0"/>
            <w:tcMar>
              <w:top w:w="65" w:type="dxa"/>
              <w:left w:w="65" w:type="dxa"/>
              <w:bottom w:w="65" w:type="dxa"/>
              <w:right w:w="65" w:type="dxa"/>
            </w:tcMar>
          </w:tcPr>
          <w:p>
            <w:pPr>
              <w:spacing w:before="60" w:after="60" w:line="245" w:lineRule="auto"/>
            </w:pPr>
            <w:r>
              <w:rPr>
                <w:sz w:val="18"/>
              </w:rPr>
              <w:t>Where?</w:t>
            </w:r>
          </w:p>
        </w:tc>
        <w:tc>
          <w:tcPr>
            <w:tcW w:type="dxa" w:w="8136"/>
            <w:vAlign w:val="center"/>
            <w:shd w:fill="F7F6F0"/>
            <w:tcMar>
              <w:top w:w="65" w:type="dxa"/>
              <w:left w:w="65" w:type="dxa"/>
              <w:bottom w:w="65" w:type="dxa"/>
              <w:right w:w="65" w:type="dxa"/>
            </w:tcMar>
          </w:tcPr>
          <w:p>
            <w:pPr>
              <w:spacing w:before="60" w:after="60" w:line="245" w:lineRule="auto"/>
            </w:pPr>
            <w:r>
              <w:rPr>
                <w:sz w:val="18"/>
              </w:rPr>
              <w:t>Participating Hyderabad households, including situations with and without a maintained plan.</w:t>
            </w:r>
          </w:p>
        </w:tc>
      </w:tr>
      <w:tr>
        <w:trPr>
          <w:cantSplit/>
        </w:trPr>
        <w:tc>
          <w:tcPr>
            <w:tcW w:type="dxa" w:w="1800"/>
            <w:vAlign w:val="center"/>
            <w:tcMar>
              <w:top w:w="65" w:type="dxa"/>
              <w:left w:w="65" w:type="dxa"/>
              <w:bottom w:w="65" w:type="dxa"/>
              <w:right w:w="65" w:type="dxa"/>
            </w:tcMar>
          </w:tcPr>
          <w:p>
            <w:pPr>
              <w:spacing w:before="60" w:after="60" w:line="245" w:lineRule="auto"/>
            </w:pPr>
            <w:r>
              <w:rPr>
                <w:sz w:val="18"/>
              </w:rPr>
              <w:t>How?</w:t>
            </w:r>
          </w:p>
        </w:tc>
        <w:tc>
          <w:tcPr>
            <w:tcW w:type="dxa" w:w="8136"/>
            <w:vAlign w:val="center"/>
            <w:tcMar>
              <w:top w:w="65" w:type="dxa"/>
              <w:left w:w="65" w:type="dxa"/>
              <w:bottom w:w="65" w:type="dxa"/>
              <w:right w:w="65" w:type="dxa"/>
            </w:tcMar>
          </w:tcPr>
          <w:p>
            <w:pPr>
              <w:spacing w:before="60" w:after="60" w:line="245" w:lineRule="auto"/>
            </w:pPr>
            <w:r>
              <w:rPr>
                <w:sz w:val="18"/>
              </w:rPr>
              <w:t>Trace instructions through interpretation, the dose event, reporting and follow-up.</w:t>
            </w:r>
          </w:p>
        </w:tc>
      </w:tr>
      <w:tr>
        <w:trPr>
          <w:cantSplit/>
        </w:trPr>
        <w:tc>
          <w:tcPr>
            <w:tcW w:type="dxa" w:w="1800"/>
            <w:vAlign w:val="center"/>
            <w:shd w:fill="F7F6F0"/>
            <w:tcMar>
              <w:top w:w="65" w:type="dxa"/>
              <w:left w:w="65" w:type="dxa"/>
              <w:bottom w:w="65" w:type="dxa"/>
              <w:right w:w="65" w:type="dxa"/>
            </w:tcMar>
          </w:tcPr>
          <w:p>
            <w:pPr>
              <w:spacing w:before="60" w:after="60" w:line="245" w:lineRule="auto"/>
            </w:pPr>
            <w:r>
              <w:rPr>
                <w:sz w:val="18"/>
              </w:rPr>
              <w:t>How much?</w:t>
            </w:r>
          </w:p>
        </w:tc>
        <w:tc>
          <w:tcPr>
            <w:tcW w:type="dxa" w:w="8136"/>
            <w:vAlign w:val="center"/>
            <w:shd w:fill="F7F6F0"/>
            <w:tcMar>
              <w:top w:w="65" w:type="dxa"/>
              <w:left w:w="65" w:type="dxa"/>
              <w:bottom w:w="65" w:type="dxa"/>
              <w:right w:w="65" w:type="dxa"/>
            </w:tcMar>
          </w:tcPr>
          <w:p>
            <w:pPr>
              <w:spacing w:before="60" w:after="60" w:line="245" w:lineRule="auto"/>
            </w:pPr>
            <w:r>
              <w:rPr>
                <w:sz w:val="18"/>
              </w:rPr>
              <w:t>Collect setup time, unresolved status counts and caregiver effort before estimating impact or cost.</w:t>
            </w:r>
          </w:p>
        </w:tc>
      </w:tr>
    </w:tbl>
    <w:p>
      <w:pPr>
        <w:spacing w:after="0"/>
      </w:pPr>
    </w:p>
    <w:p>
      <w:pPr>
        <w:keepNext/>
        <w:spacing w:before="60" w:after="60"/>
        <w:jc w:val="center"/>
      </w:pPr>
      <w:r>
        <w:drawing>
          <wp:inline xmlns:a="http://schemas.openxmlformats.org/drawingml/2006/main" xmlns:pic="http://schemas.openxmlformats.org/drawingml/2006/picture">
            <wp:extent cx="6217920" cy="1243584"/>
            <wp:docPr id="1" name="Picture 1" title="Figure 1" descr="Candidate as-is journey. Validate the sequence through observation; it is not a field finding."/>
            <wp:cNvGraphicFramePr>
              <a:graphicFrameLocks noChangeAspect="1"/>
            </wp:cNvGraphicFramePr>
            <a:graphic>
              <a:graphicData uri="http://schemas.openxmlformats.org/drawingml/2006/picture">
                <pic:pic>
                  <pic:nvPicPr>
                    <pic:cNvPr id="0" name="01_asis_flow.png"/>
                    <pic:cNvPicPr/>
                  </pic:nvPicPr>
                  <pic:blipFill>
                    <a:blip r:embed="rId11"/>
                    <a:stretch>
                      <a:fillRect/>
                    </a:stretch>
                  </pic:blipFill>
                  <pic:spPr>
                    <a:xfrm>
                      <a:off x="0" y="0"/>
                      <a:ext cx="6217920" cy="1243584"/>
                    </a:xfrm>
                    <a:prstGeom prst="rect"/>
                  </pic:spPr>
                </pic:pic>
              </a:graphicData>
            </a:graphic>
          </wp:inline>
        </w:drawing>
      </w:r>
    </w:p>
    <w:p>
      <w:pPr>
        <w:pStyle w:val="Caption"/>
      </w:pPr>
      <w:r>
        <w:t>Figure 1. Candidate as-is journey. Validate the sequence through observation; it is not a field finding.</w:t>
      </w:r>
    </w:p>
    <w:p>
      <w:r>
        <w:br w:type="page"/>
      </w:r>
    </w:p>
    <w:p>
      <w:pPr>
        <w:spacing w:after="60"/>
      </w:pPr>
      <w:r>
        <w:rPr>
          <w:b/>
          <w:color w:val="536657"/>
          <w:sz w:val="18"/>
        </w:rPr>
        <w:t>MODULE 1 · B</w:t>
      </w:r>
    </w:p>
    <w:p>
      <w:pPr>
        <w:pStyle w:val="Heading1"/>
      </w:pPr>
      <w:r>
        <w:t>Boundary, stakeholders and baseline</w:t>
      </w:r>
    </w:p>
    <w:p>
      <w:r>
        <w:rPr>
          <w:color w:val="536657"/>
          <w:sz w:val="18"/>
        </w:rPr>
        <w:t>Workbook pp. 5–8 [1]  |  Establish what is inside, outside and still unknown.</w:t>
      </w:r>
    </w:p>
    <w:p>
      <w:pPr>
        <w:keepNext/>
        <w:spacing w:before="60" w:after="60"/>
        <w:jc w:val="center"/>
      </w:pPr>
      <w:r>
        <w:drawing>
          <wp:inline xmlns:a="http://schemas.openxmlformats.org/drawingml/2006/main" xmlns:pic="http://schemas.openxmlformats.org/drawingml/2006/picture">
            <wp:extent cx="6217920" cy="2611526"/>
            <wp:docPr id="2" name="Picture 2" title="Figure 2" descr="Functional system boundary. Instructions and medicines enter; status reports and clarification requests leave."/>
            <wp:cNvGraphicFramePr>
              <a:graphicFrameLocks noChangeAspect="1"/>
            </wp:cNvGraphicFramePr>
            <a:graphic>
              <a:graphicData uri="http://schemas.openxmlformats.org/drawingml/2006/picture">
                <pic:pic>
                  <pic:nvPicPr>
                    <pic:cNvPr id="0" name="02_system_boundary.png"/>
                    <pic:cNvPicPr/>
                  </pic:nvPicPr>
                  <pic:blipFill>
                    <a:blip r:embed="rId12"/>
                    <a:stretch>
                      <a:fillRect/>
                    </a:stretch>
                  </pic:blipFill>
                  <pic:spPr>
                    <a:xfrm>
                      <a:off x="0" y="0"/>
                      <a:ext cx="6217920" cy="2611526"/>
                    </a:xfrm>
                    <a:prstGeom prst="rect"/>
                  </pic:spPr>
                </pic:pic>
              </a:graphicData>
            </a:graphic>
          </wp:inline>
        </w:drawing>
      </w:r>
    </w:p>
    <w:p>
      <w:pPr>
        <w:pStyle w:val="Caption"/>
      </w:pPr>
      <w:r>
        <w:t>Figure 2. Functional system boundary. Instructions and medicines enter; status reports and clarification requests leave.</w:t>
      </w:r>
    </w:p>
    <w:p>
      <w:r/>
      <w:r>
        <w:rPr>
          <w:b/>
        </w:rPr>
        <w:t>Inside:</w:t>
      </w:r>
      <w:r>
        <w:t xml:space="preserve"> understanding and coordinating an already prescribed plan. </w:t>
      </w:r>
      <w:r>
        <w:rPr>
          <w:b/>
        </w:rPr>
        <w:t>Outside:</w:t>
      </w:r>
      <w:r>
        <w:t xml:space="preserve"> diagnosis, prescribing, surgery, dispensing decisions and emergency treatment. Interfaces to examine include paper instructions, medicine packaging, notes, messages, calls and a phone screen.</w:t>
      </w:r>
    </w:p>
    <w:tbl>
      <w:tblPr>
        <w:tblW w:type="auto" w:w="0"/>
        <w:jc w:val="center"/>
        <w:tblLayout w:type="fixed"/>
        <w:tblLook w:firstColumn="1" w:firstRow="1" w:lastColumn="0" w:lastRow="0" w:noHBand="0" w:noVBand="1" w:val="04A0"/>
      </w:tblPr>
      <w:tblGrid>
        <w:gridCol w:w="1944"/>
        <w:gridCol w:w="7992"/>
      </w:tblGrid>
      <w:tr>
        <w:trPr>
          <w:tblHeader/>
        </w:trPr>
        <w:tc>
          <w:tcPr>
            <w:tcW w:type="dxa" w:w="1944"/>
            <w:shd w:fill="143D33"/>
            <w:tcMar>
              <w:top w:w="65" w:type="dxa"/>
              <w:left w:w="65" w:type="dxa"/>
              <w:bottom w:w="65" w:type="dxa"/>
              <w:right w:w="65" w:type="dxa"/>
            </w:tcMar>
          </w:tcPr>
          <w:p>
            <w:pPr>
              <w:spacing w:after="60" w:before="60"/>
            </w:pPr>
            <w:r>
              <w:rPr>
                <w:b/>
                <w:color w:val="FFFFFF"/>
                <w:sz w:val="18"/>
              </w:rPr>
              <w:t>Stakeholder</w:t>
            </w:r>
          </w:p>
        </w:tc>
        <w:tc>
          <w:tcPr>
            <w:tcW w:type="dxa" w:w="7992"/>
            <w:shd w:fill="143D33"/>
            <w:tcMar>
              <w:top w:w="65" w:type="dxa"/>
              <w:left w:w="65" w:type="dxa"/>
              <w:bottom w:w="65" w:type="dxa"/>
              <w:right w:w="65" w:type="dxa"/>
            </w:tcMar>
          </w:tcPr>
          <w:p>
            <w:pPr>
              <w:spacing w:after="60" w:before="60"/>
            </w:pPr>
            <w:r>
              <w:rPr>
                <w:b/>
                <w:color w:val="FFFFFF"/>
                <w:sz w:val="18"/>
              </w:rPr>
              <w:t>Anticipated need to validate</w:t>
            </w:r>
          </w:p>
        </w:tc>
      </w:tr>
      <w:tr>
        <w:trPr>
          <w:cantSplit/>
        </w:trPr>
        <w:tc>
          <w:tcPr>
            <w:tcW w:type="dxa" w:w="1944"/>
            <w:vAlign w:val="center"/>
            <w:shd w:fill="F7F6F0"/>
            <w:tcMar>
              <w:top w:w="65" w:type="dxa"/>
              <w:left w:w="65" w:type="dxa"/>
              <w:bottom w:w="65" w:type="dxa"/>
              <w:right w:w="65" w:type="dxa"/>
            </w:tcMar>
          </w:tcPr>
          <w:p>
            <w:pPr>
              <w:spacing w:before="60" w:after="60" w:line="245" w:lineRule="auto"/>
            </w:pPr>
            <w:r>
              <w:rPr>
                <w:sz w:val="18"/>
              </w:rPr>
              <w:t>Patient</w:t>
            </w:r>
          </w:p>
        </w:tc>
        <w:tc>
          <w:tcPr>
            <w:tcW w:type="dxa" w:w="7992"/>
            <w:vAlign w:val="center"/>
            <w:shd w:fill="F7F6F0"/>
            <w:tcMar>
              <w:top w:w="65" w:type="dxa"/>
              <w:left w:w="65" w:type="dxa"/>
              <w:bottom w:w="65" w:type="dxa"/>
              <w:right w:w="65" w:type="dxa"/>
            </w:tcMar>
          </w:tcPr>
          <w:p>
            <w:pPr>
              <w:spacing w:before="60" w:after="60" w:line="245" w:lineRule="auto"/>
            </w:pPr>
            <w:r>
              <w:rPr>
                <w:sz w:val="18"/>
              </w:rPr>
              <w:t>Understand the next prescribed action and report it with little effort.</w:t>
            </w:r>
          </w:p>
        </w:tc>
      </w:tr>
      <w:tr>
        <w:trPr>
          <w:cantSplit/>
        </w:trPr>
        <w:tc>
          <w:tcPr>
            <w:tcW w:type="dxa" w:w="1944"/>
            <w:vAlign w:val="center"/>
            <w:tcMar>
              <w:top w:w="65" w:type="dxa"/>
              <w:left w:w="65" w:type="dxa"/>
              <w:bottom w:w="65" w:type="dxa"/>
              <w:right w:w="65" w:type="dxa"/>
            </w:tcMar>
          </w:tcPr>
          <w:p>
            <w:pPr>
              <w:spacing w:before="60" w:after="60" w:line="245" w:lineRule="auto"/>
            </w:pPr>
            <w:r>
              <w:rPr>
                <w:sz w:val="18"/>
              </w:rPr>
              <w:t>Caregiver</w:t>
            </w:r>
          </w:p>
        </w:tc>
        <w:tc>
          <w:tcPr>
            <w:tcW w:type="dxa" w:w="7992"/>
            <w:vAlign w:val="center"/>
            <w:tcMar>
              <w:top w:w="65" w:type="dxa"/>
              <w:left w:w="65" w:type="dxa"/>
              <w:bottom w:w="65" w:type="dxa"/>
              <w:right w:w="65" w:type="dxa"/>
            </w:tcMar>
          </w:tcPr>
          <w:p>
            <w:pPr>
              <w:spacing w:before="60" w:after="60" w:line="245" w:lineRule="auto"/>
            </w:pPr>
            <w:r>
              <w:rPr>
                <w:sz w:val="18"/>
              </w:rPr>
              <w:t>Know the reviewed plan, responsibility and latest recorded status.</w:t>
            </w:r>
          </w:p>
        </w:tc>
      </w:tr>
      <w:tr>
        <w:trPr>
          <w:cantSplit/>
        </w:trPr>
        <w:tc>
          <w:tcPr>
            <w:tcW w:type="dxa" w:w="1944"/>
            <w:vAlign w:val="center"/>
            <w:shd w:fill="F7F6F0"/>
            <w:tcMar>
              <w:top w:w="65" w:type="dxa"/>
              <w:left w:w="65" w:type="dxa"/>
              <w:bottom w:w="65" w:type="dxa"/>
              <w:right w:w="65" w:type="dxa"/>
            </w:tcMar>
          </w:tcPr>
          <w:p>
            <w:pPr>
              <w:spacing w:before="60" w:after="60" w:line="245" w:lineRule="auto"/>
            </w:pPr>
            <w:r>
              <w:rPr>
                <w:sz w:val="18"/>
              </w:rPr>
              <w:t>Clinician</w:t>
            </w:r>
          </w:p>
        </w:tc>
        <w:tc>
          <w:tcPr>
            <w:tcW w:type="dxa" w:w="7992"/>
            <w:vAlign w:val="center"/>
            <w:shd w:fill="F7F6F0"/>
            <w:tcMar>
              <w:top w:w="65" w:type="dxa"/>
              <w:left w:w="65" w:type="dxa"/>
              <w:bottom w:w="65" w:type="dxa"/>
              <w:right w:w="65" w:type="dxa"/>
            </w:tcMar>
          </w:tcPr>
          <w:p>
            <w:pPr>
              <w:spacing w:before="60" w:after="60" w:line="245" w:lineRule="auto"/>
            </w:pPr>
            <w:r>
              <w:rPr>
                <w:sz w:val="18"/>
              </w:rPr>
              <w:t>Review authorized context at agreed follow-up, without an assumption of continuous monitoring.</w:t>
            </w:r>
          </w:p>
        </w:tc>
      </w:tr>
      <w:tr>
        <w:trPr>
          <w:cantSplit/>
        </w:trPr>
        <w:tc>
          <w:tcPr>
            <w:tcW w:type="dxa" w:w="1944"/>
            <w:vAlign w:val="center"/>
            <w:tcMar>
              <w:top w:w="65" w:type="dxa"/>
              <w:left w:w="65" w:type="dxa"/>
              <w:bottom w:w="65" w:type="dxa"/>
              <w:right w:w="65" w:type="dxa"/>
            </w:tcMar>
          </w:tcPr>
          <w:p>
            <w:pPr>
              <w:spacing w:before="60" w:after="60" w:line="245" w:lineRule="auto"/>
            </w:pPr>
            <w:r>
              <w:rPr>
                <w:sz w:val="18"/>
              </w:rPr>
              <w:t>Pharmacist · external</w:t>
            </w:r>
          </w:p>
        </w:tc>
        <w:tc>
          <w:tcPr>
            <w:tcW w:type="dxa" w:w="7992"/>
            <w:vAlign w:val="center"/>
            <w:tcMar>
              <w:top w:w="65" w:type="dxa"/>
              <w:left w:w="65" w:type="dxa"/>
              <w:bottom w:w="65" w:type="dxa"/>
              <w:right w:w="65" w:type="dxa"/>
            </w:tcMar>
          </w:tcPr>
          <w:p>
            <w:pPr>
              <w:spacing w:before="60" w:after="60" w:line="245" w:lineRule="auto"/>
            </w:pPr>
            <w:r>
              <w:rPr>
                <w:sz w:val="18"/>
              </w:rPr>
              <w:t>Clarify dispensing information within professional responsibility.</w:t>
            </w:r>
          </w:p>
        </w:tc>
      </w:tr>
    </w:tbl>
    <w:p>
      <w:pPr>
        <w:spacing w:after="0"/>
      </w:pPr>
    </w:p>
    <w:p>
      <w:pPr>
        <w:pStyle w:val="Heading2"/>
      </w:pPr>
      <w:r>
        <w:t>Two local baseline measures</w:t>
      </w:r>
    </w:p>
    <w:tbl>
      <w:tblPr>
        <w:tblW w:type="auto" w:w="0"/>
        <w:jc w:val="center"/>
        <w:tblLayout w:type="fixed"/>
        <w:tblLook w:firstColumn="1" w:firstRow="1" w:lastColumn="0" w:lastRow="0" w:noHBand="0" w:noVBand="1" w:val="04A0"/>
      </w:tblPr>
      <w:tblGrid>
        <w:gridCol w:w="1656"/>
        <w:gridCol w:w="6696"/>
        <w:gridCol w:w="1584"/>
      </w:tblGrid>
      <w:tr>
        <w:trPr>
          <w:tblHeader/>
        </w:trPr>
        <w:tc>
          <w:tcPr>
            <w:tcW w:type="dxa" w:w="1656"/>
            <w:shd w:fill="143D33"/>
            <w:tcMar>
              <w:top w:w="65" w:type="dxa"/>
              <w:left w:w="65" w:type="dxa"/>
              <w:bottom w:w="65" w:type="dxa"/>
              <w:right w:w="65" w:type="dxa"/>
            </w:tcMar>
          </w:tcPr>
          <w:p>
            <w:pPr>
              <w:spacing w:after="60" w:before="60"/>
            </w:pPr>
            <w:r>
              <w:rPr>
                <w:b/>
                <w:color w:val="FFFFFF"/>
                <w:sz w:val="18"/>
              </w:rPr>
              <w:t>Metric</w:t>
            </w:r>
          </w:p>
        </w:tc>
        <w:tc>
          <w:tcPr>
            <w:tcW w:type="dxa" w:w="6696"/>
            <w:shd w:fill="143D33"/>
            <w:tcMar>
              <w:top w:w="65" w:type="dxa"/>
              <w:left w:w="65" w:type="dxa"/>
              <w:bottom w:w="65" w:type="dxa"/>
              <w:right w:w="65" w:type="dxa"/>
            </w:tcMar>
          </w:tcPr>
          <w:p>
            <w:pPr>
              <w:spacing w:after="60" w:before="60"/>
            </w:pPr>
            <w:r>
              <w:rPr>
                <w:b/>
                <w:color w:val="FFFFFF"/>
                <w:sz w:val="18"/>
              </w:rPr>
              <w:t>Definition / proposed source</w:t>
            </w:r>
          </w:p>
        </w:tc>
        <w:tc>
          <w:tcPr>
            <w:tcW w:type="dxa" w:w="1584"/>
            <w:shd w:fill="143D33"/>
            <w:tcMar>
              <w:top w:w="65" w:type="dxa"/>
              <w:left w:w="65" w:type="dxa"/>
              <w:bottom w:w="65" w:type="dxa"/>
              <w:right w:w="65" w:type="dxa"/>
            </w:tcMar>
          </w:tcPr>
          <w:p>
            <w:pPr>
              <w:spacing w:after="60" w:before="60"/>
            </w:pPr>
            <w:r>
              <w:rPr>
                <w:b/>
                <w:color w:val="FFFFFF"/>
                <w:sz w:val="18"/>
              </w:rPr>
              <w:t>Status</w:t>
            </w:r>
          </w:p>
        </w:tc>
      </w:tr>
      <w:tr>
        <w:trPr>
          <w:cantSplit/>
        </w:trPr>
        <w:tc>
          <w:tcPr>
            <w:tcW w:type="dxa" w:w="1656"/>
            <w:vAlign w:val="center"/>
            <w:shd w:fill="F7F6F0"/>
            <w:tcMar>
              <w:top w:w="65" w:type="dxa"/>
              <w:left w:w="65" w:type="dxa"/>
              <w:bottom w:w="65" w:type="dxa"/>
              <w:right w:w="65" w:type="dxa"/>
            </w:tcMar>
          </w:tcPr>
          <w:p>
            <w:pPr>
              <w:spacing w:before="60" w:after="60" w:line="245" w:lineRule="auto"/>
            </w:pPr>
            <w:r>
              <w:rPr>
                <w:sz w:val="18"/>
              </w:rPr>
              <w:t>A · Setup time</w:t>
            </w:r>
          </w:p>
        </w:tc>
        <w:tc>
          <w:tcPr>
            <w:tcW w:type="dxa" w:w="6696"/>
            <w:vAlign w:val="center"/>
            <w:shd w:fill="F7F6F0"/>
            <w:tcMar>
              <w:top w:w="65" w:type="dxa"/>
              <w:left w:w="65" w:type="dxa"/>
              <w:bottom w:w="65" w:type="dxa"/>
              <w:right w:w="65" w:type="dxa"/>
            </w:tcMar>
          </w:tcPr>
          <w:p>
            <w:pPr>
              <w:spacing w:before="60" w:after="60" w:line="245" w:lineRule="auto"/>
            </w:pPr>
            <w:r>
              <w:rPr>
                <w:sz w:val="18"/>
              </w:rPr>
              <w:t>Median minutes from receiving instructions to completing a checked daily plan; observed or realistic simulated task.</w:t>
            </w:r>
          </w:p>
        </w:tc>
        <w:tc>
          <w:tcPr>
            <w:tcW w:type="dxa" w:w="1584"/>
            <w:vAlign w:val="center"/>
            <w:shd w:fill="F7F6F0"/>
            <w:tcMar>
              <w:top w:w="65" w:type="dxa"/>
              <w:left w:w="65" w:type="dxa"/>
              <w:bottom w:w="65" w:type="dxa"/>
              <w:right w:w="65" w:type="dxa"/>
            </w:tcMar>
          </w:tcPr>
          <w:p>
            <w:pPr>
              <w:spacing w:before="60" w:after="60" w:line="245" w:lineRule="auto"/>
            </w:pPr>
            <w:r>
              <w:rPr>
                <w:sz w:val="18"/>
              </w:rPr>
              <w:t>Not measured</w:t>
            </w:r>
          </w:p>
        </w:tc>
      </w:tr>
      <w:tr>
        <w:trPr>
          <w:cantSplit/>
        </w:trPr>
        <w:tc>
          <w:tcPr>
            <w:tcW w:type="dxa" w:w="1656"/>
            <w:vAlign w:val="center"/>
            <w:tcMar>
              <w:top w:w="65" w:type="dxa"/>
              <w:left w:w="65" w:type="dxa"/>
              <w:bottom w:w="65" w:type="dxa"/>
              <w:right w:w="65" w:type="dxa"/>
            </w:tcMar>
          </w:tcPr>
          <w:p>
            <w:pPr>
              <w:spacing w:before="60" w:after="60" w:line="245" w:lineRule="auto"/>
            </w:pPr>
            <w:r>
              <w:rPr>
                <w:sz w:val="18"/>
              </w:rPr>
              <w:t>B · Unresolved status</w:t>
            </w:r>
          </w:p>
        </w:tc>
        <w:tc>
          <w:tcPr>
            <w:tcW w:type="dxa" w:w="6696"/>
            <w:vAlign w:val="center"/>
            <w:tcMar>
              <w:top w:w="65" w:type="dxa"/>
              <w:left w:w="65" w:type="dxa"/>
              <w:bottom w:w="65" w:type="dxa"/>
              <w:right w:w="65" w:type="dxa"/>
            </w:tcMar>
          </w:tcPr>
          <w:p>
            <w:pPr>
              <w:spacing w:before="60" w:after="60" w:line="245" w:lineRule="auto"/>
            </w:pPr>
            <w:r>
              <w:rPr>
                <w:sz w:val="18"/>
              </w:rPr>
              <w:t>Due doses without a definitive Taken/Skipped log at an agreed cutoff ÷ all doses due by then × 100%; consented diary.</w:t>
            </w:r>
          </w:p>
        </w:tc>
        <w:tc>
          <w:tcPr>
            <w:tcW w:type="dxa" w:w="1584"/>
            <w:vAlign w:val="center"/>
            <w:tcMar>
              <w:top w:w="65" w:type="dxa"/>
              <w:left w:w="65" w:type="dxa"/>
              <w:bottom w:w="65" w:type="dxa"/>
              <w:right w:w="65" w:type="dxa"/>
            </w:tcMar>
          </w:tcPr>
          <w:p>
            <w:pPr>
              <w:spacing w:before="60" w:after="60" w:line="245" w:lineRule="auto"/>
            </w:pPr>
            <w:r>
              <w:rPr>
                <w:sz w:val="18"/>
              </w:rPr>
              <w:t>Not measured</w:t>
            </w:r>
          </w:p>
        </w:tc>
      </w:tr>
    </w:tbl>
    <w:p>
      <w:pPr>
        <w:spacing w:after="0"/>
      </w:pPr>
    </w:p>
    <w:p>
      <w:r>
        <w:rPr>
          <w:color w:val="536657"/>
          <w:sz w:val="18"/>
        </w:rPr>
        <w:t>B measures recording completeness, not medicine ingestion. Exclude future doses; report B as N/A if no doses are due. Record sample size, conditions, dates and sources. Collect local measurements before claiming field impact.</w:t>
      </w:r>
    </w:p>
    <w:p>
      <w:pPr>
        <w:pStyle w:val="Heading2"/>
      </w:pPr>
      <w:r>
        <w:t>Three “How might we” statements</w:t>
      </w:r>
    </w:p>
    <w:p>
      <w:r/>
      <w:r>
        <w:rPr>
          <w:b/>
        </w:rPr>
        <w:t>1.</w:t>
      </w:r>
      <w:r>
        <w:t xml:space="preserve"> How might we turn difficult instructions into a daily plan the household can check accurately?</w:t>
      </w:r>
    </w:p>
    <w:p>
      <w:r/>
      <w:r>
        <w:rPr>
          <w:b/>
        </w:rPr>
        <w:t>2.</w:t>
      </w:r>
      <w:r>
        <w:t xml:space="preserve"> How might we make dose responsibilities and reports clear when several people help?</w:t>
      </w:r>
    </w:p>
    <w:p>
      <w:r/>
      <w:r>
        <w:rPr>
          <w:b/>
        </w:rPr>
        <w:t>3.</w:t>
      </w:r>
      <w:r>
        <w:t xml:space="preserve"> How might we present unresolved records for appropriate follow-up while keeping reporting manageable?</w:t>
      </w:r>
    </w:p>
    <w:p>
      <w:r>
        <w:br w:type="page"/>
      </w:r>
    </w:p>
    <w:p>
      <w:pPr>
        <w:spacing w:after="60"/>
      </w:pPr>
      <w:r>
        <w:rPr>
          <w:b/>
          <w:color w:val="536657"/>
          <w:sz w:val="18"/>
        </w:rPr>
        <w:t>MODULE 2 · A</w:t>
      </w:r>
    </w:p>
    <w:p>
      <w:pPr>
        <w:pStyle w:val="Heading1"/>
      </w:pPr>
      <w:r>
        <w:t>Systems mapping and root cause</w:t>
      </w:r>
    </w:p>
    <w:p>
      <w:r>
        <w:rPr>
          <w:color w:val="536657"/>
          <w:sz w:val="18"/>
        </w:rPr>
        <w:t>Workbook pp. 9–15 [1]  |  Look below visible events.</w:t>
      </w:r>
    </w:p>
    <w:p>
      <w:r/>
      <w:r>
        <w:rPr>
          <w:b/>
        </w:rPr>
        <w:t>Purpose:</w:t>
      </w:r>
      <w:r>
        <w:t xml:space="preserve"> the Iceberg Model connects visible events to patterns, system structures and mental models. An event tells us what happened; a structure explains how the parts are arranged. Beliefs can sustain that arrangement.</w:t>
      </w:r>
    </w:p>
    <w:p>
      <w:pPr>
        <w:keepNext/>
        <w:spacing w:before="60" w:after="60"/>
        <w:jc w:val="center"/>
      </w:pPr>
      <w:r>
        <w:drawing>
          <wp:inline xmlns:a="http://schemas.openxmlformats.org/drawingml/2006/main" xmlns:pic="http://schemas.openxmlformats.org/drawingml/2006/picture">
            <wp:extent cx="6217920" cy="2176272"/>
            <wp:docPr id="3" name="Picture 3" title="Figure 3" descr="Four levels of inquiry. Every RecoverTrack example shown is a hypothesis to validate."/>
            <wp:cNvGraphicFramePr>
              <a:graphicFrameLocks noChangeAspect="1"/>
            </wp:cNvGraphicFramePr>
            <a:graphic>
              <a:graphicData uri="http://schemas.openxmlformats.org/drawingml/2006/picture">
                <pic:pic>
                  <pic:nvPicPr>
                    <pic:cNvPr id="0" name="03_iceberg.png"/>
                    <pic:cNvPicPr/>
                  </pic:nvPicPr>
                  <pic:blipFill>
                    <a:blip r:embed="rId13"/>
                    <a:stretch>
                      <a:fillRect/>
                    </a:stretch>
                  </pic:blipFill>
                  <pic:spPr>
                    <a:xfrm>
                      <a:off x="0" y="0"/>
                      <a:ext cx="6217920" cy="2176272"/>
                    </a:xfrm>
                    <a:prstGeom prst="rect"/>
                  </pic:spPr>
                </pic:pic>
              </a:graphicData>
            </a:graphic>
          </wp:inline>
        </w:drawing>
      </w:r>
    </w:p>
    <w:p>
      <w:pPr>
        <w:pStyle w:val="Caption"/>
      </w:pPr>
      <w:r>
        <w:t>Figure 3. Four levels of inquiry. Every RecoverTrack example shown is a hypothesis to validate.</w:t>
      </w:r>
    </w:p>
    <w:p>
      <w:pPr>
        <w:pStyle w:val="Heading2"/>
      </w:pPr>
      <w:r>
        <w:t>Write-up for the four levels</w:t>
      </w:r>
    </w:p>
    <w:p>
      <w:r/>
      <w:r>
        <w:rPr>
          <w:b/>
        </w:rPr>
        <w:t>Events:</w:t>
      </w:r>
      <w:r>
        <w:t xml:space="preserve"> a dose-status entry is missing or a caregiver asks for clarification. List observable facts before proposing causes.</w:t>
      </w:r>
    </w:p>
    <w:p>
      <w:r/>
      <w:r>
        <w:rPr>
          <w:b/>
        </w:rPr>
        <w:t>Patterns:</w:t>
      </w:r>
      <w:r>
        <w:t xml:space="preserve"> uncertainty may recur around busy routines or responsibility changes. Compare days, times and households before calling it a pattern.</w:t>
      </w:r>
    </w:p>
    <w:p>
      <w:r/>
      <w:r>
        <w:rPr>
          <w:b/>
        </w:rPr>
        <w:t>Structures:</w:t>
      </w:r>
      <w:r>
        <w:t xml:space="preserve"> instructions, updates and responsibilities may be spread across separate people or records. Examine who can see and change each record.</w:t>
      </w:r>
    </w:p>
    <w:p>
      <w:r/>
      <w:r>
        <w:rPr>
          <w:b/>
        </w:rPr>
        <w:t>Mental models:</w:t>
      </w:r>
      <w:r>
        <w:t xml:space="preserve"> a person may expect memory, repeated calls or one family member to maintain coordination. Interviews must establish whether such beliefs are present.</w:t>
      </w:r>
    </w:p>
    <w:p>
      <w:pPr>
        <w:shd w:fill="E7EDDF"/>
        <w:spacing w:before="80" w:after="120"/>
      </w:pPr>
      <w:r/>
      <w:r>
        <w:rPr>
          <w:b/>
        </w:rPr>
        <w:t>Root-cause hypothesis:</w:t>
      </w:r>
      <w:r>
        <w:t xml:space="preserve"> unclear information ownership and weak handoffs may contribute to unresolved dose status. This is not a proven cause. Incomplete reporting, deliberate skipping, unclear instructions and connectivity loss need different responses.</w:t>
      </w:r>
    </w:p>
    <w:p>
      <w:pPr>
        <w:pStyle w:val="Heading2"/>
      </w:pPr>
      <w:r>
        <w:t>Questions that can challenge the hypothesis</w:t>
      </w:r>
    </w:p>
    <w:p>
      <w:pPr>
        <w:pStyle w:val="ListBullet"/>
        <w:spacing w:after="60" w:line="252" w:lineRule="auto"/>
      </w:pPr>
      <w:r>
        <w:t>Who updates the record, and what happens when that person is unavailable?</w:t>
      </w:r>
    </w:p>
    <w:p>
      <w:pPr>
        <w:pStyle w:val="ListBullet"/>
        <w:spacing w:after="60" w:line="252" w:lineRule="auto"/>
      </w:pPr>
      <w:r>
        <w:t>What information is usually missing when someone asks about a dose?</w:t>
      </w:r>
    </w:p>
    <w:p>
      <w:pPr>
        <w:pStyle w:val="ListBullet"/>
        <w:spacing w:after="60" w:line="252" w:lineRule="auto"/>
      </w:pPr>
      <w:r>
        <w:t>When is the current process clear and successful, and what is different then?</w:t>
      </w:r>
    </w:p>
    <w:p>
      <w:r>
        <w:rPr>
          <w:color w:val="536657"/>
          <w:sz w:val="18"/>
        </w:rPr>
        <w:t>Record contrary examples and revise the map. Do not turn anticipated stakeholder views into invented interview quotations.</w:t>
      </w:r>
    </w:p>
    <w:p>
      <w:r>
        <w:br w:type="page"/>
      </w:r>
    </w:p>
    <w:p>
      <w:pPr>
        <w:spacing w:after="60"/>
      </w:pPr>
      <w:r>
        <w:rPr>
          <w:b/>
          <w:color w:val="536657"/>
          <w:sz w:val="18"/>
        </w:rPr>
        <w:t>MODULE 2 · B</w:t>
      </w:r>
    </w:p>
    <w:p>
      <w:pPr>
        <w:pStyle w:val="Heading1"/>
      </w:pPr>
      <w:r>
        <w:t>Stakeholder journeys and bottlenecks</w:t>
      </w:r>
    </w:p>
    <w:p>
      <w:r>
        <w:rPr>
          <w:color w:val="536657"/>
          <w:sz w:val="18"/>
        </w:rPr>
        <w:t>Workbook pp. 12–15 [1]  |  Revisit the system map using different perspectives.</w:t>
      </w:r>
    </w:p>
    <w:p>
      <w:pPr>
        <w:keepNext/>
        <w:spacing w:before="60" w:after="60"/>
        <w:jc w:val="center"/>
      </w:pPr>
      <w:r>
        <w:drawing>
          <wp:inline xmlns:a="http://schemas.openxmlformats.org/drawingml/2006/main" xmlns:pic="http://schemas.openxmlformats.org/drawingml/2006/picture">
            <wp:extent cx="6217920" cy="1989734"/>
            <wp:docPr id="4" name="Picture 4" title="Figure 4" descr="Candidate stakeholder journeys from discharge to follow-up; the field sequence is not yet observed."/>
            <wp:cNvGraphicFramePr>
              <a:graphicFrameLocks noChangeAspect="1"/>
            </wp:cNvGraphicFramePr>
            <a:graphic>
              <a:graphicData uri="http://schemas.openxmlformats.org/drawingml/2006/picture">
                <pic:pic>
                  <pic:nvPicPr>
                    <pic:cNvPr id="0" name="04_stakeholder_journey.png"/>
                    <pic:cNvPicPr/>
                  </pic:nvPicPr>
                  <pic:blipFill>
                    <a:blip r:embed="rId14"/>
                    <a:stretch>
                      <a:fillRect/>
                    </a:stretch>
                  </pic:blipFill>
                  <pic:spPr>
                    <a:xfrm>
                      <a:off x="0" y="0"/>
                      <a:ext cx="6217920" cy="1989734"/>
                    </a:xfrm>
                    <a:prstGeom prst="rect"/>
                  </pic:spPr>
                </pic:pic>
              </a:graphicData>
            </a:graphic>
          </wp:inline>
        </w:drawing>
      </w:r>
    </w:p>
    <w:p>
      <w:pPr>
        <w:pStyle w:val="Caption"/>
      </w:pPr>
      <w:r>
        <w:t>Figure 4. Candidate stakeholder journeys from discharge to follow-up; the field sequence is not yet observed.</w:t>
      </w:r>
    </w:p>
    <w:tbl>
      <w:tblPr>
        <w:tblW w:type="auto" w:w="0"/>
        <w:jc w:val="center"/>
        <w:tblLayout w:type="fixed"/>
        <w:tblLook w:firstColumn="1" w:firstRow="1" w:lastColumn="0" w:lastRow="0" w:noHBand="0" w:noVBand="1" w:val="04A0"/>
      </w:tblPr>
      <w:tblGrid>
        <w:gridCol w:w="1440"/>
        <w:gridCol w:w="6552"/>
        <w:gridCol w:w="1944"/>
      </w:tblGrid>
      <w:tr>
        <w:trPr>
          <w:tblHeader/>
        </w:trPr>
        <w:tc>
          <w:tcPr>
            <w:tcW w:type="dxa" w:w="1440"/>
            <w:shd w:fill="143D33"/>
            <w:tcMar>
              <w:top w:w="65" w:type="dxa"/>
              <w:left w:w="65" w:type="dxa"/>
              <w:bottom w:w="65" w:type="dxa"/>
              <w:right w:w="65" w:type="dxa"/>
            </w:tcMar>
          </w:tcPr>
          <w:p>
            <w:pPr>
              <w:spacing w:after="60" w:before="60"/>
            </w:pPr>
            <w:r>
              <w:rPr>
                <w:b/>
                <w:color w:val="FFFFFF"/>
                <w:sz w:val="18"/>
              </w:rPr>
              <w:t>Stakeholder</w:t>
            </w:r>
          </w:p>
        </w:tc>
        <w:tc>
          <w:tcPr>
            <w:tcW w:type="dxa" w:w="6552"/>
            <w:shd w:fill="143D33"/>
            <w:tcMar>
              <w:top w:w="65" w:type="dxa"/>
              <w:left w:w="65" w:type="dxa"/>
              <w:bottom w:w="65" w:type="dxa"/>
              <w:right w:w="65" w:type="dxa"/>
            </w:tcMar>
          </w:tcPr>
          <w:p>
            <w:pPr>
              <w:spacing w:after="60" w:before="60"/>
            </w:pPr>
            <w:r>
              <w:rPr>
                <w:b/>
                <w:color w:val="FFFFFF"/>
                <w:sz w:val="18"/>
              </w:rPr>
              <w:t>Priority / belief to explore</w:t>
            </w:r>
          </w:p>
        </w:tc>
        <w:tc>
          <w:tcPr>
            <w:tcW w:type="dxa" w:w="1944"/>
            <w:shd w:fill="143D33"/>
            <w:tcMar>
              <w:top w:w="65" w:type="dxa"/>
              <w:left w:w="65" w:type="dxa"/>
              <w:bottom w:w="65" w:type="dxa"/>
              <w:right w:w="65" w:type="dxa"/>
            </w:tcMar>
          </w:tcPr>
          <w:p>
            <w:pPr>
              <w:spacing w:after="60" w:before="60"/>
            </w:pPr>
            <w:r>
              <w:rPr>
                <w:b/>
                <w:color w:val="FFFFFF"/>
                <w:sz w:val="18"/>
              </w:rPr>
              <w:t>Lifecycle</w:t>
            </w:r>
          </w:p>
        </w:tc>
      </w:tr>
      <w:tr>
        <w:trPr>
          <w:cantSplit/>
        </w:trPr>
        <w:tc>
          <w:tcPr>
            <w:tcW w:type="dxa" w:w="1440"/>
            <w:vAlign w:val="center"/>
            <w:shd w:fill="F7F6F0"/>
            <w:tcMar>
              <w:top w:w="65" w:type="dxa"/>
              <w:left w:w="65" w:type="dxa"/>
              <w:bottom w:w="65" w:type="dxa"/>
              <w:right w:w="65" w:type="dxa"/>
            </w:tcMar>
          </w:tcPr>
          <w:p>
            <w:pPr>
              <w:spacing w:before="60" w:after="60" w:line="245" w:lineRule="auto"/>
            </w:pPr>
            <w:r>
              <w:rPr>
                <w:sz w:val="18"/>
              </w:rPr>
              <w:t>Patient</w:t>
            </w:r>
          </w:p>
        </w:tc>
        <w:tc>
          <w:tcPr>
            <w:tcW w:type="dxa" w:w="6552"/>
            <w:vAlign w:val="center"/>
            <w:shd w:fill="F7F6F0"/>
            <w:tcMar>
              <w:top w:w="65" w:type="dxa"/>
              <w:left w:w="65" w:type="dxa"/>
              <w:bottom w:w="65" w:type="dxa"/>
              <w:right w:w="65" w:type="dxa"/>
            </w:tcMar>
          </w:tcPr>
          <w:p>
            <w:pPr>
              <w:spacing w:before="60" w:after="60" w:line="245" w:lineRule="auto"/>
            </w:pPr>
            <w:r>
              <w:rPr>
                <w:sz w:val="18"/>
              </w:rPr>
              <w:t>Low effort, understandable instructions and control over sharing; may expect someone else to maintain the record.</w:t>
            </w:r>
          </w:p>
        </w:tc>
        <w:tc>
          <w:tcPr>
            <w:tcW w:type="dxa" w:w="1944"/>
            <w:vAlign w:val="center"/>
            <w:shd w:fill="F7F6F0"/>
            <w:tcMar>
              <w:top w:w="65" w:type="dxa"/>
              <w:left w:w="65" w:type="dxa"/>
              <w:bottom w:w="65" w:type="dxa"/>
              <w:right w:w="65" w:type="dxa"/>
            </w:tcMar>
          </w:tcPr>
          <w:p>
            <w:pPr>
              <w:spacing w:before="60" w:after="60" w:line="245" w:lineRule="auto"/>
            </w:pPr>
            <w:r>
              <w:rPr>
                <w:sz w:val="18"/>
              </w:rPr>
              <w:t>Daily during recovery</w:t>
            </w:r>
          </w:p>
        </w:tc>
      </w:tr>
      <w:tr>
        <w:trPr>
          <w:cantSplit/>
        </w:trPr>
        <w:tc>
          <w:tcPr>
            <w:tcW w:type="dxa" w:w="1440"/>
            <w:vAlign w:val="center"/>
            <w:tcMar>
              <w:top w:w="65" w:type="dxa"/>
              <w:left w:w="65" w:type="dxa"/>
              <w:bottom w:w="65" w:type="dxa"/>
              <w:right w:w="65" w:type="dxa"/>
            </w:tcMar>
          </w:tcPr>
          <w:p>
            <w:pPr>
              <w:spacing w:before="60" w:after="60" w:line="245" w:lineRule="auto"/>
            </w:pPr>
            <w:r>
              <w:rPr>
                <w:sz w:val="18"/>
              </w:rPr>
              <w:t>Caregiver</w:t>
            </w:r>
          </w:p>
        </w:tc>
        <w:tc>
          <w:tcPr>
            <w:tcW w:type="dxa" w:w="6552"/>
            <w:vAlign w:val="center"/>
            <w:tcMar>
              <w:top w:w="65" w:type="dxa"/>
              <w:left w:w="65" w:type="dxa"/>
              <w:bottom w:w="65" w:type="dxa"/>
              <w:right w:w="65" w:type="dxa"/>
            </w:tcMar>
          </w:tcPr>
          <w:p>
            <w:pPr>
              <w:spacing w:before="60" w:after="60" w:line="245" w:lineRule="auto"/>
            </w:pPr>
            <w:r>
              <w:rPr>
                <w:sz w:val="18"/>
              </w:rPr>
              <w:t>Clear responsibility and current status; may rely on memory or calls when records are unavailable.</w:t>
            </w:r>
          </w:p>
        </w:tc>
        <w:tc>
          <w:tcPr>
            <w:tcW w:type="dxa" w:w="1944"/>
            <w:vAlign w:val="center"/>
            <w:tcMar>
              <w:top w:w="65" w:type="dxa"/>
              <w:left w:w="65" w:type="dxa"/>
              <w:bottom w:w="65" w:type="dxa"/>
              <w:right w:w="65" w:type="dxa"/>
            </w:tcMar>
          </w:tcPr>
          <w:p>
            <w:pPr>
              <w:spacing w:before="60" w:after="60" w:line="245" w:lineRule="auto"/>
            </w:pPr>
            <w:r>
              <w:rPr>
                <w:sz w:val="18"/>
              </w:rPr>
              <w:t>Dose times and handovers</w:t>
            </w:r>
          </w:p>
        </w:tc>
      </w:tr>
      <w:tr>
        <w:trPr>
          <w:cantSplit/>
        </w:trPr>
        <w:tc>
          <w:tcPr>
            <w:tcW w:type="dxa" w:w="1440"/>
            <w:vAlign w:val="center"/>
            <w:shd w:fill="F7F6F0"/>
            <w:tcMar>
              <w:top w:w="65" w:type="dxa"/>
              <w:left w:w="65" w:type="dxa"/>
              <w:bottom w:w="65" w:type="dxa"/>
              <w:right w:w="65" w:type="dxa"/>
            </w:tcMar>
          </w:tcPr>
          <w:p>
            <w:pPr>
              <w:spacing w:before="60" w:after="60" w:line="245" w:lineRule="auto"/>
            </w:pPr>
            <w:r>
              <w:rPr>
                <w:sz w:val="18"/>
              </w:rPr>
              <w:t>Clinician</w:t>
            </w:r>
          </w:p>
        </w:tc>
        <w:tc>
          <w:tcPr>
            <w:tcW w:type="dxa" w:w="6552"/>
            <w:vAlign w:val="center"/>
            <w:shd w:fill="F7F6F0"/>
            <w:tcMar>
              <w:top w:w="65" w:type="dxa"/>
              <w:left w:w="65" w:type="dxa"/>
              <w:bottom w:w="65" w:type="dxa"/>
              <w:right w:w="65" w:type="dxa"/>
            </w:tcMar>
          </w:tcPr>
          <w:p>
            <w:pPr>
              <w:spacing w:before="60" w:after="60" w:line="245" w:lineRule="auto"/>
            </w:pPr>
            <w:r>
              <w:rPr>
                <w:sz w:val="18"/>
              </w:rPr>
              <w:t>Accurate context and manageable review workload; may expect families to raise concerns.</w:t>
            </w:r>
          </w:p>
        </w:tc>
        <w:tc>
          <w:tcPr>
            <w:tcW w:type="dxa" w:w="1944"/>
            <w:vAlign w:val="center"/>
            <w:shd w:fill="F7F6F0"/>
            <w:tcMar>
              <w:top w:w="65" w:type="dxa"/>
              <w:left w:w="65" w:type="dxa"/>
              <w:bottom w:w="65" w:type="dxa"/>
              <w:right w:w="65" w:type="dxa"/>
            </w:tcMar>
          </w:tcPr>
          <w:p>
            <w:pPr>
              <w:spacing w:before="60" w:after="60" w:line="245" w:lineRule="auto"/>
            </w:pPr>
            <w:r>
              <w:rPr>
                <w:sz w:val="18"/>
              </w:rPr>
              <w:t>Discharge and agreed follow-up</w:t>
            </w:r>
          </w:p>
        </w:tc>
      </w:tr>
    </w:tbl>
    <w:p>
      <w:pPr>
        <w:spacing w:after="0"/>
      </w:pPr>
    </w:p>
    <w:p>
      <w:r/>
      <w:r>
        <w:rPr>
          <w:b/>
        </w:rPr>
        <w:t>Non-negotiable:</w:t>
      </w:r>
      <w:r>
        <w:t xml:space="preserve"> correct prescribed details, consent and protection from unauthorized changes. </w:t>
      </w:r>
      <w:r>
        <w:rPr>
          <w:b/>
        </w:rPr>
        <w:t>Negotiable:</w:t>
      </w:r>
      <w:r>
        <w:t xml:space="preserve"> presentation, reminder timing and division of household tasks. Potential tensions are effort versus detailed reporting and privacy versus convenient sharing.</w:t>
      </w:r>
    </w:p>
    <w:p>
      <w:pPr>
        <w:pStyle w:val="Heading2"/>
      </w:pPr>
      <w:r>
        <w:t>Three bottlenecks to test</w:t>
      </w:r>
    </w:p>
    <w:tbl>
      <w:tblPr>
        <w:tblW w:type="auto" w:w="0"/>
        <w:jc w:val="center"/>
        <w:tblLayout w:type="fixed"/>
        <w:tblLook w:firstColumn="1" w:firstRow="1" w:lastColumn="0" w:lastRow="0" w:noHBand="0" w:noVBand="1" w:val="04A0"/>
      </w:tblPr>
      <w:tblGrid>
        <w:gridCol w:w="1368"/>
        <w:gridCol w:w="3384"/>
        <w:gridCol w:w="5184"/>
      </w:tblGrid>
      <w:tr>
        <w:trPr>
          <w:tblHeader/>
        </w:trPr>
        <w:tc>
          <w:tcPr>
            <w:tcW w:type="dxa" w:w="1368"/>
            <w:shd w:fill="143D33"/>
            <w:tcMar>
              <w:top w:w="65" w:type="dxa"/>
              <w:left w:w="65" w:type="dxa"/>
              <w:bottom w:w="65" w:type="dxa"/>
              <w:right w:w="65" w:type="dxa"/>
            </w:tcMar>
          </w:tcPr>
          <w:p>
            <w:pPr>
              <w:spacing w:after="60" w:before="60"/>
            </w:pPr>
            <w:r>
              <w:rPr>
                <w:b/>
                <w:color w:val="FFFFFF"/>
                <w:sz w:val="18"/>
              </w:rPr>
              <w:t>Bottleneck</w:t>
            </w:r>
          </w:p>
        </w:tc>
        <w:tc>
          <w:tcPr>
            <w:tcW w:type="dxa" w:w="3384"/>
            <w:shd w:fill="143D33"/>
            <w:tcMar>
              <w:top w:w="65" w:type="dxa"/>
              <w:left w:w="65" w:type="dxa"/>
              <w:bottom w:w="65" w:type="dxa"/>
              <w:right w:w="65" w:type="dxa"/>
            </w:tcMar>
          </w:tcPr>
          <w:p>
            <w:pPr>
              <w:spacing w:after="60" w:before="60"/>
            </w:pPr>
            <w:r>
              <w:rPr>
                <w:b/>
                <w:color w:val="FFFFFF"/>
                <w:sz w:val="18"/>
              </w:rPr>
              <w:t>Working explanation</w:t>
            </w:r>
          </w:p>
        </w:tc>
        <w:tc>
          <w:tcPr>
            <w:tcW w:type="dxa" w:w="5184"/>
            <w:shd w:fill="143D33"/>
            <w:tcMar>
              <w:top w:w="65" w:type="dxa"/>
              <w:left w:w="65" w:type="dxa"/>
              <w:bottom w:w="65" w:type="dxa"/>
              <w:right w:w="65" w:type="dxa"/>
            </w:tcMar>
          </w:tcPr>
          <w:p>
            <w:pPr>
              <w:spacing w:after="60" w:before="60"/>
            </w:pPr>
            <w:r>
              <w:rPr>
                <w:b/>
                <w:color w:val="FFFFFF"/>
                <w:sz w:val="18"/>
              </w:rPr>
              <w:t>What would test it?</w:t>
            </w:r>
          </w:p>
        </w:tc>
      </w:tr>
      <w:tr>
        <w:trPr>
          <w:cantSplit/>
        </w:trPr>
        <w:tc>
          <w:tcPr>
            <w:tcW w:type="dxa" w:w="1368"/>
            <w:vAlign w:val="center"/>
            <w:shd w:fill="F7F6F0"/>
            <w:tcMar>
              <w:top w:w="65" w:type="dxa"/>
              <w:left w:w="65" w:type="dxa"/>
              <w:bottom w:w="65" w:type="dxa"/>
              <w:right w:w="65" w:type="dxa"/>
            </w:tcMar>
          </w:tcPr>
          <w:p>
            <w:pPr>
              <w:spacing w:before="60" w:after="60" w:line="245" w:lineRule="auto"/>
            </w:pPr>
            <w:r>
              <w:rPr>
                <w:sz w:val="18"/>
              </w:rPr>
              <w:t>Data</w:t>
            </w:r>
          </w:p>
        </w:tc>
        <w:tc>
          <w:tcPr>
            <w:tcW w:type="dxa" w:w="3384"/>
            <w:vAlign w:val="center"/>
            <w:shd w:fill="F7F6F0"/>
            <w:tcMar>
              <w:top w:w="65" w:type="dxa"/>
              <w:left w:w="65" w:type="dxa"/>
              <w:bottom w:w="65" w:type="dxa"/>
              <w:right w:w="65" w:type="dxa"/>
            </w:tcMar>
          </w:tcPr>
          <w:p>
            <w:pPr>
              <w:spacing w:before="60" w:after="60" w:line="245" w:lineRule="auto"/>
            </w:pPr>
            <w:r>
              <w:rPr>
                <w:sz w:val="18"/>
              </w:rPr>
              <w:t>No identifiable latest status.</w:t>
            </w:r>
          </w:p>
        </w:tc>
        <w:tc>
          <w:tcPr>
            <w:tcW w:type="dxa" w:w="5184"/>
            <w:vAlign w:val="center"/>
            <w:shd w:fill="F7F6F0"/>
            <w:tcMar>
              <w:top w:w="65" w:type="dxa"/>
              <w:left w:w="65" w:type="dxa"/>
              <w:bottom w:w="65" w:type="dxa"/>
              <w:right w:w="65" w:type="dxa"/>
            </w:tcMar>
          </w:tcPr>
          <w:p>
            <w:pPr>
              <w:spacing w:before="60" w:after="60" w:line="245" w:lineRule="auto"/>
            </w:pPr>
            <w:r>
              <w:rPr>
                <w:sz w:val="18"/>
              </w:rPr>
              <w:t>Trace the latest update and compare accounts of the same event.</w:t>
            </w:r>
          </w:p>
        </w:tc>
      </w:tr>
      <w:tr>
        <w:trPr>
          <w:cantSplit/>
        </w:trPr>
        <w:tc>
          <w:tcPr>
            <w:tcW w:type="dxa" w:w="1368"/>
            <w:vAlign w:val="center"/>
            <w:tcMar>
              <w:top w:w="65" w:type="dxa"/>
              <w:left w:w="65" w:type="dxa"/>
              <w:bottom w:w="65" w:type="dxa"/>
              <w:right w:w="65" w:type="dxa"/>
            </w:tcMar>
          </w:tcPr>
          <w:p>
            <w:pPr>
              <w:spacing w:before="60" w:after="60" w:line="245" w:lineRule="auto"/>
            </w:pPr>
            <w:r>
              <w:rPr>
                <w:sz w:val="18"/>
              </w:rPr>
              <w:t>Process</w:t>
            </w:r>
          </w:p>
        </w:tc>
        <w:tc>
          <w:tcPr>
            <w:tcW w:type="dxa" w:w="3384"/>
            <w:vAlign w:val="center"/>
            <w:tcMar>
              <w:top w:w="65" w:type="dxa"/>
              <w:left w:w="65" w:type="dxa"/>
              <w:bottom w:w="65" w:type="dxa"/>
              <w:right w:w="65" w:type="dxa"/>
            </w:tcMar>
          </w:tcPr>
          <w:p>
            <w:pPr>
              <w:spacing w:before="60" w:after="60" w:line="245" w:lineRule="auto"/>
            </w:pPr>
            <w:r>
              <w:rPr>
                <w:sz w:val="18"/>
              </w:rPr>
              <w:t>Handover without named responsibility.</w:t>
            </w:r>
          </w:p>
        </w:tc>
        <w:tc>
          <w:tcPr>
            <w:tcW w:type="dxa" w:w="5184"/>
            <w:vAlign w:val="center"/>
            <w:tcMar>
              <w:top w:w="65" w:type="dxa"/>
              <w:left w:w="65" w:type="dxa"/>
              <w:bottom w:w="65" w:type="dxa"/>
              <w:right w:w="65" w:type="dxa"/>
            </w:tcMar>
          </w:tcPr>
          <w:p>
            <w:pPr>
              <w:spacing w:before="60" w:after="60" w:line="245" w:lineRule="auto"/>
            </w:pPr>
            <w:r>
              <w:rPr>
                <w:sz w:val="18"/>
              </w:rPr>
              <w:t>Observe a change of caregiver and ask who should update next.</w:t>
            </w:r>
          </w:p>
        </w:tc>
      </w:tr>
      <w:tr>
        <w:trPr>
          <w:cantSplit/>
        </w:trPr>
        <w:tc>
          <w:tcPr>
            <w:tcW w:type="dxa" w:w="1368"/>
            <w:vAlign w:val="center"/>
            <w:shd w:fill="F7F6F0"/>
            <w:tcMar>
              <w:top w:w="65" w:type="dxa"/>
              <w:left w:w="65" w:type="dxa"/>
              <w:bottom w:w="65" w:type="dxa"/>
              <w:right w:w="65" w:type="dxa"/>
            </w:tcMar>
          </w:tcPr>
          <w:p>
            <w:pPr>
              <w:spacing w:before="60" w:after="60" w:line="245" w:lineRule="auto"/>
            </w:pPr>
            <w:r>
              <w:rPr>
                <w:sz w:val="18"/>
              </w:rPr>
              <w:t>Human</w:t>
            </w:r>
          </w:p>
        </w:tc>
        <w:tc>
          <w:tcPr>
            <w:tcW w:type="dxa" w:w="3384"/>
            <w:vAlign w:val="center"/>
            <w:shd w:fill="F7F6F0"/>
            <w:tcMar>
              <w:top w:w="65" w:type="dxa"/>
              <w:left w:w="65" w:type="dxa"/>
              <w:bottom w:w="65" w:type="dxa"/>
              <w:right w:w="65" w:type="dxa"/>
            </w:tcMar>
          </w:tcPr>
          <w:p>
            <w:pPr>
              <w:spacing w:before="60" w:after="60" w:line="245" w:lineRule="auto"/>
            </w:pPr>
            <w:r>
              <w:rPr>
                <w:sz w:val="18"/>
              </w:rPr>
              <w:t>Discomfort, misunderstanding or reporting burden.</w:t>
            </w:r>
          </w:p>
        </w:tc>
        <w:tc>
          <w:tcPr>
            <w:tcW w:type="dxa" w:w="5184"/>
            <w:vAlign w:val="center"/>
            <w:shd w:fill="F7F6F0"/>
            <w:tcMar>
              <w:top w:w="65" w:type="dxa"/>
              <w:left w:w="65" w:type="dxa"/>
              <w:bottom w:w="65" w:type="dxa"/>
              <w:right w:w="65" w:type="dxa"/>
            </w:tcMar>
          </w:tcPr>
          <w:p>
            <w:pPr>
              <w:spacing w:before="60" w:after="60" w:line="245" w:lineRule="auto"/>
            </w:pPr>
            <w:r>
              <w:rPr>
                <w:sz w:val="18"/>
              </w:rPr>
              <w:t>Observe task effort and ask about skipped or incomplete entries.</w:t>
            </w:r>
          </w:p>
        </w:tc>
      </w:tr>
    </w:tbl>
    <w:p>
      <w:pPr>
        <w:spacing w:after="0"/>
      </w:pPr>
    </w:p>
    <w:p>
      <w:pPr>
        <w:pStyle w:val="Heading2"/>
      </w:pPr>
      <w:r>
        <w:t>Refined HMW and revised map</w:t>
      </w:r>
    </w:p>
    <w:p>
      <w:pPr>
        <w:shd w:fill="E7EDDF"/>
        <w:spacing w:before="80" w:after="120"/>
      </w:pPr>
      <w:r/>
      <w:r>
        <w:rPr>
          <w:b/>
        </w:rPr>
        <w:t>How might we give a consenting household one understandable, reviewed plan with explicit dose responsibility and traceable reports, so unresolved records can receive appropriate attention?</w:t>
      </w:r>
      <w:r/>
    </w:p>
    <w:p>
      <w:r>
        <w:t>Revise Figure 2 with the links “instructions explained,” “responsibility handed over” and “status reported.” Use dashed connectors for uncertain relationships. Keep hypotheses open until local observations support or contradict them.</w:t>
      </w:r>
    </w:p>
    <w:p>
      <w:r>
        <w:br w:type="page"/>
      </w:r>
    </w:p>
    <w:p>
      <w:pPr>
        <w:spacing w:after="60"/>
      </w:pPr>
      <w:r>
        <w:rPr>
          <w:b/>
          <w:color w:val="536657"/>
          <w:sz w:val="18"/>
        </w:rPr>
        <w:t>MODULE 3 · A</w:t>
      </w:r>
    </w:p>
    <w:p>
      <w:pPr>
        <w:pStyle w:val="Heading1"/>
      </w:pPr>
      <w:r>
        <w:t>Causal loops and leverage</w:t>
      </w:r>
    </w:p>
    <w:p>
      <w:r>
        <w:rPr>
          <w:color w:val="536657"/>
          <w:sz w:val="18"/>
        </w:rPr>
        <w:t>Workbook pp. 16–17 [1]  |  Explain feedback rather than listing isolated causes.</w:t>
      </w:r>
    </w:p>
    <w:p>
      <w:r/>
      <w:r>
        <w:rPr>
          <w:b/>
        </w:rPr>
        <w:t>Purpose:</w:t>
      </w:r>
      <w:r>
        <w:t xml:space="preserve"> a causal loop diagram (CLD) models how variables affect one another over time. A closed loop returns to its starting variable. These links are hypotheses, not established effects in patients.</w:t>
      </w:r>
    </w:p>
    <w:tbl>
      <w:tblPr>
        <w:tblW w:type="auto" w:w="0"/>
        <w:jc w:val="center"/>
        <w:tblLayout w:type="fixed"/>
        <w:tblLook w:firstColumn="1" w:firstRow="1" w:lastColumn="0" w:lastRow="0" w:noHBand="0" w:noVBand="1" w:val="04A0"/>
      </w:tblPr>
      <w:tblGrid>
        <w:gridCol w:w="1080"/>
        <w:gridCol w:w="8856"/>
      </w:tblGrid>
      <w:tr>
        <w:trPr>
          <w:tblHeader/>
        </w:trPr>
        <w:tc>
          <w:tcPr>
            <w:tcW w:type="dxa" w:w="1080"/>
            <w:shd w:fill="143D33"/>
            <w:tcMar>
              <w:top w:w="65" w:type="dxa"/>
              <w:left w:w="65" w:type="dxa"/>
              <w:bottom w:w="65" w:type="dxa"/>
              <w:right w:w="65" w:type="dxa"/>
            </w:tcMar>
          </w:tcPr>
          <w:p>
            <w:pPr>
              <w:spacing w:after="60" w:before="60"/>
            </w:pPr>
            <w:r>
              <w:rPr>
                <w:b/>
                <w:color w:val="FFFFFF"/>
                <w:sz w:val="18"/>
              </w:rPr>
              <w:t>Symbol</w:t>
            </w:r>
          </w:p>
        </w:tc>
        <w:tc>
          <w:tcPr>
            <w:tcW w:type="dxa" w:w="8856"/>
            <w:shd w:fill="143D33"/>
            <w:tcMar>
              <w:top w:w="65" w:type="dxa"/>
              <w:left w:w="65" w:type="dxa"/>
              <w:bottom w:w="65" w:type="dxa"/>
              <w:right w:w="65" w:type="dxa"/>
            </w:tcMar>
          </w:tcPr>
          <w:p>
            <w:pPr>
              <w:spacing w:after="60" w:before="60"/>
            </w:pPr>
            <w:r>
              <w:rPr>
                <w:b/>
                <w:color w:val="FFFFFF"/>
                <w:sz w:val="18"/>
              </w:rPr>
              <w:t>Meaning</w:t>
            </w:r>
          </w:p>
        </w:tc>
      </w:tr>
      <w:tr>
        <w:trPr>
          <w:cantSplit/>
        </w:trPr>
        <w:tc>
          <w:tcPr>
            <w:tcW w:type="dxa" w:w="1080"/>
            <w:vAlign w:val="center"/>
            <w:shd w:fill="F7F6F0"/>
            <w:tcMar>
              <w:top w:w="65" w:type="dxa"/>
              <w:left w:w="65" w:type="dxa"/>
              <w:bottom w:w="65" w:type="dxa"/>
              <w:right w:w="65" w:type="dxa"/>
            </w:tcMar>
          </w:tcPr>
          <w:p>
            <w:pPr>
              <w:spacing w:before="60" w:after="60" w:line="245" w:lineRule="auto"/>
            </w:pPr>
            <w:r>
              <w:rPr>
                <w:sz w:val="18"/>
              </w:rPr>
              <w:t>+</w:t>
            </w:r>
          </w:p>
        </w:tc>
        <w:tc>
          <w:tcPr>
            <w:tcW w:type="dxa" w:w="8856"/>
            <w:vAlign w:val="center"/>
            <w:shd w:fill="F7F6F0"/>
            <w:tcMar>
              <w:top w:w="65" w:type="dxa"/>
              <w:left w:w="65" w:type="dxa"/>
              <w:bottom w:w="65" w:type="dxa"/>
              <w:right w:w="65" w:type="dxa"/>
            </w:tcMar>
          </w:tcPr>
          <w:p>
            <w:pPr>
              <w:spacing w:before="60" w:after="60" w:line="245" w:lineRule="auto"/>
            </w:pPr>
            <w:r>
              <w:rPr>
                <w:sz w:val="18"/>
              </w:rPr>
              <w:t>Variables change in the same direction, with other conditions unchanged.</w:t>
            </w:r>
          </w:p>
        </w:tc>
      </w:tr>
      <w:tr>
        <w:trPr>
          <w:cantSplit/>
        </w:trPr>
        <w:tc>
          <w:tcPr>
            <w:tcW w:type="dxa" w:w="1080"/>
            <w:vAlign w:val="center"/>
            <w:tcMar>
              <w:top w:w="65" w:type="dxa"/>
              <w:left w:w="65" w:type="dxa"/>
              <w:bottom w:w="65" w:type="dxa"/>
              <w:right w:w="65" w:type="dxa"/>
            </w:tcMar>
          </w:tcPr>
          <w:p>
            <w:pPr>
              <w:spacing w:before="60" w:after="60" w:line="245" w:lineRule="auto"/>
            </w:pPr>
            <w:r>
              <w:rPr>
                <w:sz w:val="18"/>
              </w:rPr>
              <w:t>−</w:t>
            </w:r>
          </w:p>
        </w:tc>
        <w:tc>
          <w:tcPr>
            <w:tcW w:type="dxa" w:w="8856"/>
            <w:vAlign w:val="center"/>
            <w:tcMar>
              <w:top w:w="65" w:type="dxa"/>
              <w:left w:w="65" w:type="dxa"/>
              <w:bottom w:w="65" w:type="dxa"/>
              <w:right w:w="65" w:type="dxa"/>
            </w:tcMar>
          </w:tcPr>
          <w:p>
            <w:pPr>
              <w:spacing w:before="60" w:after="60" w:line="245" w:lineRule="auto"/>
            </w:pPr>
            <w:r>
              <w:rPr>
                <w:sz w:val="18"/>
              </w:rPr>
              <w:t>Variables change in opposite directions; this does not mean “bad”.</w:t>
            </w:r>
          </w:p>
        </w:tc>
      </w:tr>
      <w:tr>
        <w:trPr>
          <w:cantSplit/>
        </w:trPr>
        <w:tc>
          <w:tcPr>
            <w:tcW w:type="dxa" w:w="1080"/>
            <w:vAlign w:val="center"/>
            <w:shd w:fill="F7F6F0"/>
            <w:tcMar>
              <w:top w:w="65" w:type="dxa"/>
              <w:left w:w="65" w:type="dxa"/>
              <w:bottom w:w="65" w:type="dxa"/>
              <w:right w:w="65" w:type="dxa"/>
            </w:tcMar>
          </w:tcPr>
          <w:p>
            <w:pPr>
              <w:spacing w:before="60" w:after="60" w:line="245" w:lineRule="auto"/>
            </w:pPr>
            <w:r>
              <w:rPr>
                <w:sz w:val="18"/>
              </w:rPr>
              <w:t>R / B</w:t>
            </w:r>
          </w:p>
        </w:tc>
        <w:tc>
          <w:tcPr>
            <w:tcW w:type="dxa" w:w="8856"/>
            <w:vAlign w:val="center"/>
            <w:shd w:fill="F7F6F0"/>
            <w:tcMar>
              <w:top w:w="65" w:type="dxa"/>
              <w:left w:w="65" w:type="dxa"/>
              <w:bottom w:w="65" w:type="dxa"/>
              <w:right w:w="65" w:type="dxa"/>
            </w:tcMar>
          </w:tcPr>
          <w:p>
            <w:pPr>
              <w:spacing w:before="60" w:after="60" w:line="245" w:lineRule="auto"/>
            </w:pPr>
            <w:r>
              <w:rPr>
                <w:sz w:val="18"/>
              </w:rPr>
              <w:t>Even number of negative links → reinforcing; odd number → balancing.</w:t>
            </w:r>
          </w:p>
        </w:tc>
      </w:tr>
      <w:tr>
        <w:trPr>
          <w:cantSplit/>
        </w:trPr>
        <w:tc>
          <w:tcPr>
            <w:tcW w:type="dxa" w:w="1080"/>
            <w:vAlign w:val="center"/>
            <w:tcMar>
              <w:top w:w="65" w:type="dxa"/>
              <w:left w:w="65" w:type="dxa"/>
              <w:bottom w:w="65" w:type="dxa"/>
              <w:right w:w="65" w:type="dxa"/>
            </w:tcMar>
          </w:tcPr>
          <w:p>
            <w:pPr>
              <w:spacing w:before="60" w:after="60" w:line="245" w:lineRule="auto"/>
            </w:pPr>
            <w:r>
              <w:rPr>
                <w:sz w:val="18"/>
              </w:rPr>
              <w:t>||</w:t>
            </w:r>
          </w:p>
        </w:tc>
        <w:tc>
          <w:tcPr>
            <w:tcW w:type="dxa" w:w="8856"/>
            <w:vAlign w:val="center"/>
            <w:tcMar>
              <w:top w:w="65" w:type="dxa"/>
              <w:left w:w="65" w:type="dxa"/>
              <w:bottom w:w="65" w:type="dxa"/>
              <w:right w:w="65" w:type="dxa"/>
            </w:tcMar>
          </w:tcPr>
          <w:p>
            <w:pPr>
              <w:spacing w:before="60" w:after="60" w:line="245" w:lineRule="auto"/>
            </w:pPr>
            <w:r>
              <w:rPr>
                <w:sz w:val="18"/>
              </w:rPr>
              <w:t>The response is delayed; the effect is not immediate.</w:t>
            </w:r>
          </w:p>
        </w:tc>
      </w:tr>
    </w:tbl>
    <w:p>
      <w:pPr>
        <w:spacing w:after="0"/>
      </w:pPr>
    </w:p>
    <w:p>
      <w:pPr>
        <w:keepNext/>
        <w:spacing w:before="60" w:after="60"/>
        <w:jc w:val="center"/>
      </w:pPr>
      <w:r>
        <w:drawing>
          <wp:inline xmlns:a="http://schemas.openxmlformats.org/drawingml/2006/main" xmlns:pic="http://schemas.openxmlformats.org/drawingml/2006/picture">
            <wp:extent cx="6217920" cy="2611526"/>
            <wp:docPr id="5" name="Picture 5" title="Figure 5" descr="R1 has no negative links; B1 has one. The loop polarities are checked, but the proposed causal links need evidence."/>
            <wp:cNvGraphicFramePr>
              <a:graphicFrameLocks noChangeAspect="1"/>
            </wp:cNvGraphicFramePr>
            <a:graphic>
              <a:graphicData uri="http://schemas.openxmlformats.org/drawingml/2006/picture">
                <pic:pic>
                  <pic:nvPicPr>
                    <pic:cNvPr id="0" name="05_causal_loops.png"/>
                    <pic:cNvPicPr/>
                  </pic:nvPicPr>
                  <pic:blipFill>
                    <a:blip r:embed="rId15"/>
                    <a:stretch>
                      <a:fillRect/>
                    </a:stretch>
                  </pic:blipFill>
                  <pic:spPr>
                    <a:xfrm>
                      <a:off x="0" y="0"/>
                      <a:ext cx="6217920" cy="2611526"/>
                    </a:xfrm>
                    <a:prstGeom prst="rect"/>
                  </pic:spPr>
                </pic:pic>
              </a:graphicData>
            </a:graphic>
          </wp:inline>
        </w:drawing>
      </w:r>
    </w:p>
    <w:p>
      <w:pPr>
        <w:pStyle w:val="Caption"/>
      </w:pPr>
      <w:r>
        <w:t>Figure 5. R1 has no negative links; B1 has one. The loop polarities are checked, but the proposed causal links need evidence.</w:t>
      </w:r>
    </w:p>
    <w:p>
      <w:pPr>
        <w:pStyle w:val="Heading2"/>
      </w:pPr>
      <w:r>
        <w:t>Interpret the two loops</w:t>
      </w:r>
    </w:p>
    <w:p>
      <w:r/>
      <w:r>
        <w:rPr>
          <w:b/>
        </w:rPr>
        <w:t>R1 — Coordination pressure:</w:t>
      </w:r>
      <w:r>
        <w:t xml:space="preserve"> follow-up workload → check-in delay → unresolved dose-status uncertainty → follow-up workload. All three links are positive: extra uncertainty may trigger more work and further delay.</w:t>
      </w:r>
    </w:p>
    <w:p>
      <w:r/>
      <w:r>
        <w:rPr>
          <w:b/>
        </w:rPr>
        <w:t>B1 — Closing the information gap:</w:t>
      </w:r>
      <w:r>
        <w:t xml:space="preserve"> uncertainty → targeted follow-up → verified status records → lower uncertainty. The negative final link makes it balancing. A person being unavailable introduces delay.</w:t>
      </w:r>
    </w:p>
    <w:p>
      <w:pPr>
        <w:shd w:fill="E7EDDF"/>
        <w:spacing w:before="80" w:after="120"/>
      </w:pPr>
      <w:r/>
      <w:r>
        <w:rPr>
          <w:b/>
        </w:rPr>
        <w:t>Primary leverage:</w:t>
      </w:r>
      <w:r>
        <w:t xml:space="preserve"> one reviewed shared plan, clear responsibility for reporting and dated updates. The prototype supports shared records and actor history; formal named dose ownership and teach-back remain proposed workflow additions.</w:t>
      </w:r>
    </w:p>
    <w:p>
      <w:r>
        <w:rPr>
          <w:color w:val="536657"/>
          <w:sz w:val="18"/>
        </w:rPr>
        <w:t>Candidate measures are follow-up minutes/day, reporting-delay minutes and unresolved due entries/day. “Verified record” here means a confirmed self-report, not proof of ingestion.</w:t>
      </w:r>
    </w:p>
    <w:p>
      <w:r>
        <w:br w:type="page"/>
      </w:r>
    </w:p>
    <w:p>
      <w:pPr>
        <w:spacing w:after="60"/>
      </w:pPr>
      <w:r>
        <w:rPr>
          <w:b/>
          <w:color w:val="536657"/>
          <w:sz w:val="18"/>
        </w:rPr>
        <w:t>MODULE 3 · B</w:t>
      </w:r>
    </w:p>
    <w:p>
      <w:pPr>
        <w:pStyle w:val="Heading1"/>
      </w:pPr>
      <w:r>
        <w:t>System archetypes and intervention depth</w:t>
      </w:r>
    </w:p>
    <w:p>
      <w:r>
        <w:rPr>
          <w:color w:val="536657"/>
          <w:sz w:val="18"/>
        </w:rPr>
        <w:t>Workbook pp. 18–20 [1]  |  Choose a provisional pattern and test its fit.</w:t>
      </w:r>
    </w:p>
    <w:p>
      <w:r/>
      <w:r>
        <w:rPr>
          <w:b/>
        </w:rPr>
        <w:t>Working archetype: Shifting the Burden.</w:t>
      </w:r>
      <w:r>
        <w:t xml:space="preserve"> Repeated calls may answer a dose-status question quickly, while a shared record and responsibility handover remain weak. Dependence on the quick fix may delay adoption of the longer-term process. Interviews must establish whether this pattern occurs.</w:t>
      </w:r>
    </w:p>
    <w:p>
      <w:pPr>
        <w:keepNext/>
        <w:spacing w:before="60" w:after="60"/>
        <w:jc w:val="center"/>
      </w:pPr>
      <w:r>
        <w:drawing>
          <wp:inline xmlns:a="http://schemas.openxmlformats.org/drawingml/2006/main" xmlns:pic="http://schemas.openxmlformats.org/drawingml/2006/picture">
            <wp:extent cx="6217920" cy="2176272"/>
            <wp:docPr id="6" name="Picture 6" title="Figure 6" descr="Proposed Shifting the Burden pattern. The long-term process includes a delay; the dependency link is a hypothesis."/>
            <wp:cNvGraphicFramePr>
              <a:graphicFrameLocks noChangeAspect="1"/>
            </wp:cNvGraphicFramePr>
            <a:graphic>
              <a:graphicData uri="http://schemas.openxmlformats.org/drawingml/2006/picture">
                <pic:pic>
                  <pic:nvPicPr>
                    <pic:cNvPr id="0" name="06_archetype.png"/>
                    <pic:cNvPicPr/>
                  </pic:nvPicPr>
                  <pic:blipFill>
                    <a:blip r:embed="rId16"/>
                    <a:stretch>
                      <a:fillRect/>
                    </a:stretch>
                  </pic:blipFill>
                  <pic:spPr>
                    <a:xfrm>
                      <a:off x="0" y="0"/>
                      <a:ext cx="6217920" cy="2176272"/>
                    </a:xfrm>
                    <a:prstGeom prst="rect"/>
                  </pic:spPr>
                </pic:pic>
              </a:graphicData>
            </a:graphic>
          </wp:inline>
        </w:drawing>
      </w:r>
    </w:p>
    <w:p>
      <w:pPr>
        <w:pStyle w:val="Caption"/>
      </w:pPr>
      <w:r>
        <w:t>Figure 6. Proposed Shifting the Burden pattern. The long-term process includes a delay; the dependency link is a hypothesis.</w:t>
      </w:r>
    </w:p>
    <w:tbl>
      <w:tblPr>
        <w:tblW w:type="auto" w:w="0"/>
        <w:jc w:val="center"/>
        <w:tblLayout w:type="fixed"/>
        <w:tblLook w:firstColumn="1" w:firstRow="1" w:lastColumn="0" w:lastRow="0" w:noHBand="0" w:noVBand="1" w:val="04A0"/>
      </w:tblPr>
      <w:tblGrid>
        <w:gridCol w:w="2376"/>
        <w:gridCol w:w="7560"/>
      </w:tblGrid>
      <w:tr>
        <w:trPr>
          <w:tblHeader/>
        </w:trPr>
        <w:tc>
          <w:tcPr>
            <w:tcW w:type="dxa" w:w="2376"/>
            <w:shd w:fill="143D33"/>
            <w:tcMar>
              <w:top w:w="65" w:type="dxa"/>
              <w:left w:w="65" w:type="dxa"/>
              <w:bottom w:w="65" w:type="dxa"/>
              <w:right w:w="65" w:type="dxa"/>
            </w:tcMar>
          </w:tcPr>
          <w:p>
            <w:pPr>
              <w:spacing w:after="60" w:before="60"/>
            </w:pPr>
            <w:r>
              <w:rPr>
                <w:b/>
                <w:color w:val="FFFFFF"/>
                <w:sz w:val="18"/>
              </w:rPr>
              <w:t>Archetype</w:t>
            </w:r>
          </w:p>
        </w:tc>
        <w:tc>
          <w:tcPr>
            <w:tcW w:type="dxa" w:w="7560"/>
            <w:shd w:fill="143D33"/>
            <w:tcMar>
              <w:top w:w="65" w:type="dxa"/>
              <w:left w:w="65" w:type="dxa"/>
              <w:bottom w:w="65" w:type="dxa"/>
              <w:right w:w="65" w:type="dxa"/>
            </w:tcMar>
          </w:tcPr>
          <w:p>
            <w:pPr>
              <w:spacing w:after="60" w:before="60"/>
            </w:pPr>
            <w:r>
              <w:rPr>
                <w:b/>
                <w:color w:val="FFFFFF"/>
                <w:sz w:val="18"/>
              </w:rPr>
              <w:t>Possible project relevance</w:t>
            </w:r>
          </w:p>
        </w:tc>
      </w:tr>
      <w:tr>
        <w:trPr>
          <w:cantSplit/>
        </w:trPr>
        <w:tc>
          <w:tcPr>
            <w:tcW w:type="dxa" w:w="2376"/>
            <w:vAlign w:val="center"/>
            <w:shd w:fill="F7F6F0"/>
            <w:tcMar>
              <w:top w:w="65" w:type="dxa"/>
              <w:left w:w="65" w:type="dxa"/>
              <w:bottom w:w="65" w:type="dxa"/>
              <w:right w:w="65" w:type="dxa"/>
            </w:tcMar>
          </w:tcPr>
          <w:p>
            <w:pPr>
              <w:spacing w:before="60" w:after="60" w:line="245" w:lineRule="auto"/>
            </w:pPr>
            <w:r>
              <w:rPr>
                <w:sz w:val="18"/>
              </w:rPr>
              <w:t>Shifting the Burden</w:t>
            </w:r>
          </w:p>
        </w:tc>
        <w:tc>
          <w:tcPr>
            <w:tcW w:type="dxa" w:w="7560"/>
            <w:vAlign w:val="center"/>
            <w:shd w:fill="F7F6F0"/>
            <w:tcMar>
              <w:top w:w="65" w:type="dxa"/>
              <w:left w:w="65" w:type="dxa"/>
              <w:bottom w:w="65" w:type="dxa"/>
              <w:right w:w="65" w:type="dxa"/>
            </w:tcMar>
          </w:tcPr>
          <w:p>
            <w:pPr>
              <w:spacing w:before="60" w:after="60" w:line="245" w:lineRule="auto"/>
            </w:pPr>
            <w:r>
              <w:rPr>
                <w:sz w:val="18"/>
              </w:rPr>
              <w:t>Repeated clarification substitutes for a maintained record; primary working interpretation.</w:t>
            </w:r>
          </w:p>
        </w:tc>
      </w:tr>
      <w:tr>
        <w:trPr>
          <w:cantSplit/>
        </w:trPr>
        <w:tc>
          <w:tcPr>
            <w:tcW w:type="dxa" w:w="2376"/>
            <w:vAlign w:val="center"/>
            <w:tcMar>
              <w:top w:w="65" w:type="dxa"/>
              <w:left w:w="65" w:type="dxa"/>
              <w:bottom w:w="65" w:type="dxa"/>
              <w:right w:w="65" w:type="dxa"/>
            </w:tcMar>
          </w:tcPr>
          <w:p>
            <w:pPr>
              <w:spacing w:before="60" w:after="60" w:line="245" w:lineRule="auto"/>
            </w:pPr>
            <w:r>
              <w:rPr>
                <w:sz w:val="18"/>
              </w:rPr>
              <w:t>Fixes that Fail</w:t>
            </w:r>
          </w:p>
        </w:tc>
        <w:tc>
          <w:tcPr>
            <w:tcW w:type="dxa" w:w="7560"/>
            <w:vAlign w:val="center"/>
            <w:tcMar>
              <w:top w:w="65" w:type="dxa"/>
              <w:left w:w="65" w:type="dxa"/>
              <w:bottom w:w="65" w:type="dxa"/>
              <w:right w:w="65" w:type="dxa"/>
            </w:tcMar>
          </w:tcPr>
          <w:p>
            <w:pPr>
              <w:spacing w:before="60" w:after="60" w:line="245" w:lineRule="auto"/>
            </w:pPr>
            <w:r>
              <w:rPr>
                <w:sz w:val="18"/>
              </w:rPr>
              <w:t>Excessive reminders could create alert fatigue.</w:t>
            </w:r>
          </w:p>
        </w:tc>
      </w:tr>
      <w:tr>
        <w:trPr>
          <w:cantSplit/>
        </w:trPr>
        <w:tc>
          <w:tcPr>
            <w:tcW w:type="dxa" w:w="2376"/>
            <w:vAlign w:val="center"/>
            <w:shd w:fill="F7F6F0"/>
            <w:tcMar>
              <w:top w:w="65" w:type="dxa"/>
              <w:left w:w="65" w:type="dxa"/>
              <w:bottom w:w="65" w:type="dxa"/>
              <w:right w:w="65" w:type="dxa"/>
            </w:tcMar>
          </w:tcPr>
          <w:p>
            <w:pPr>
              <w:spacing w:before="60" w:after="60" w:line="245" w:lineRule="auto"/>
            </w:pPr>
            <w:r>
              <w:rPr>
                <w:sz w:val="18"/>
              </w:rPr>
              <w:t>Limits to Growth</w:t>
            </w:r>
          </w:p>
        </w:tc>
        <w:tc>
          <w:tcPr>
            <w:tcW w:type="dxa" w:w="7560"/>
            <w:vAlign w:val="center"/>
            <w:shd w:fill="F7F6F0"/>
            <w:tcMar>
              <w:top w:w="65" w:type="dxa"/>
              <w:left w:w="65" w:type="dxa"/>
              <w:bottom w:w="65" w:type="dxa"/>
              <w:right w:w="65" w:type="dxa"/>
            </w:tcMar>
          </w:tcPr>
          <w:p>
            <w:pPr>
              <w:spacing w:before="60" w:after="60" w:line="245" w:lineRule="auto"/>
            </w:pPr>
            <w:r>
              <w:rPr>
                <w:sz w:val="18"/>
              </w:rPr>
              <w:t>Review demand could exceed available clinician time.</w:t>
            </w:r>
          </w:p>
        </w:tc>
      </w:tr>
      <w:tr>
        <w:trPr>
          <w:cantSplit/>
        </w:trPr>
        <w:tc>
          <w:tcPr>
            <w:tcW w:type="dxa" w:w="2376"/>
            <w:vAlign w:val="center"/>
            <w:tcMar>
              <w:top w:w="65" w:type="dxa"/>
              <w:left w:w="65" w:type="dxa"/>
              <w:bottom w:w="65" w:type="dxa"/>
              <w:right w:w="65" w:type="dxa"/>
            </w:tcMar>
          </w:tcPr>
          <w:p>
            <w:pPr>
              <w:spacing w:before="60" w:after="60" w:line="245" w:lineRule="auto"/>
            </w:pPr>
            <w:r>
              <w:rPr>
                <w:sz w:val="18"/>
              </w:rPr>
              <w:t>Success to the Successful</w:t>
            </w:r>
          </w:p>
        </w:tc>
        <w:tc>
          <w:tcPr>
            <w:tcW w:type="dxa" w:w="7560"/>
            <w:vAlign w:val="center"/>
            <w:tcMar>
              <w:top w:w="65" w:type="dxa"/>
              <w:left w:w="65" w:type="dxa"/>
              <w:bottom w:w="65" w:type="dxa"/>
              <w:right w:w="65" w:type="dxa"/>
            </w:tcMar>
          </w:tcPr>
          <w:p>
            <w:pPr>
              <w:spacing w:before="60" w:after="60" w:line="245" w:lineRule="auto"/>
            </w:pPr>
            <w:r>
              <w:rPr>
                <w:sz w:val="18"/>
              </w:rPr>
              <w:t>Already-engaged households might receive more support.</w:t>
            </w:r>
          </w:p>
        </w:tc>
      </w:tr>
      <w:tr>
        <w:trPr>
          <w:cantSplit/>
        </w:trPr>
        <w:tc>
          <w:tcPr>
            <w:tcW w:type="dxa" w:w="2376"/>
            <w:vAlign w:val="center"/>
            <w:shd w:fill="F7F6F0"/>
            <w:tcMar>
              <w:top w:w="65" w:type="dxa"/>
              <w:left w:w="65" w:type="dxa"/>
              <w:bottom w:w="65" w:type="dxa"/>
              <w:right w:w="65" w:type="dxa"/>
            </w:tcMar>
          </w:tcPr>
          <w:p>
            <w:pPr>
              <w:spacing w:before="60" w:after="60" w:line="245" w:lineRule="auto"/>
            </w:pPr>
            <w:r>
              <w:rPr>
                <w:sz w:val="18"/>
              </w:rPr>
              <w:t>Tragedy of the Commons</w:t>
            </w:r>
          </w:p>
        </w:tc>
        <w:tc>
          <w:tcPr>
            <w:tcW w:type="dxa" w:w="7560"/>
            <w:vAlign w:val="center"/>
            <w:shd w:fill="F7F6F0"/>
            <w:tcMar>
              <w:top w:w="65" w:type="dxa"/>
              <w:left w:w="65" w:type="dxa"/>
              <w:bottom w:w="65" w:type="dxa"/>
              <w:right w:w="65" w:type="dxa"/>
            </w:tcMar>
          </w:tcPr>
          <w:p>
            <w:pPr>
              <w:spacing w:before="60" w:after="60" w:line="245" w:lineRule="auto"/>
            </w:pPr>
            <w:r>
              <w:rPr>
                <w:sz w:val="18"/>
              </w:rPr>
              <w:t>Several households could compete for limited follow-up capacity.</w:t>
            </w:r>
          </w:p>
        </w:tc>
      </w:tr>
    </w:tbl>
    <w:p>
      <w:pPr>
        <w:spacing w:after="0"/>
      </w:pPr>
    </w:p>
    <w:p>
      <w:pPr>
        <w:pStyle w:val="Heading2"/>
      </w:pPr>
      <w:r>
        <w:t>Where to intervene</w:t>
      </w:r>
    </w:p>
    <w:tbl>
      <w:tblPr>
        <w:tblW w:type="auto" w:w="0"/>
        <w:jc w:val="center"/>
        <w:tblLayout w:type="fixed"/>
        <w:tblLook w:firstColumn="1" w:firstRow="1" w:lastColumn="0" w:lastRow="0" w:noHBand="0" w:noVBand="1" w:val="04A0"/>
      </w:tblPr>
      <w:tblGrid>
        <w:gridCol w:w="1728"/>
        <w:gridCol w:w="3312"/>
        <w:gridCol w:w="4896"/>
      </w:tblGrid>
      <w:tr>
        <w:trPr>
          <w:tblHeader/>
        </w:trPr>
        <w:tc>
          <w:tcPr>
            <w:tcW w:type="dxa" w:w="1728"/>
            <w:shd w:fill="143D33"/>
            <w:tcMar>
              <w:top w:w="65" w:type="dxa"/>
              <w:left w:w="65" w:type="dxa"/>
              <w:bottom w:w="65" w:type="dxa"/>
              <w:right w:w="65" w:type="dxa"/>
            </w:tcMar>
          </w:tcPr>
          <w:p>
            <w:pPr>
              <w:spacing w:after="60" w:before="60"/>
            </w:pPr>
            <w:r>
              <w:rPr>
                <w:b/>
                <w:color w:val="FFFFFF"/>
                <w:sz w:val="18"/>
              </w:rPr>
              <w:t>Level</w:t>
            </w:r>
          </w:p>
        </w:tc>
        <w:tc>
          <w:tcPr>
            <w:tcW w:type="dxa" w:w="3312"/>
            <w:shd w:fill="143D33"/>
            <w:tcMar>
              <w:top w:w="65" w:type="dxa"/>
              <w:left w:w="65" w:type="dxa"/>
              <w:bottom w:w="65" w:type="dxa"/>
              <w:right w:w="65" w:type="dxa"/>
            </w:tcMar>
          </w:tcPr>
          <w:p>
            <w:pPr>
              <w:spacing w:after="60" w:before="60"/>
            </w:pPr>
            <w:r>
              <w:rPr>
                <w:b/>
                <w:color w:val="FFFFFF"/>
                <w:sz w:val="18"/>
              </w:rPr>
              <w:t>Example</w:t>
            </w:r>
          </w:p>
        </w:tc>
        <w:tc>
          <w:tcPr>
            <w:tcW w:type="dxa" w:w="4896"/>
            <w:shd w:fill="143D33"/>
            <w:tcMar>
              <w:top w:w="65" w:type="dxa"/>
              <w:left w:w="65" w:type="dxa"/>
              <w:bottom w:w="65" w:type="dxa"/>
              <w:right w:w="65" w:type="dxa"/>
            </w:tcMar>
          </w:tcPr>
          <w:p>
            <w:pPr>
              <w:spacing w:after="60" w:before="60"/>
            </w:pPr>
            <w:r>
              <w:rPr>
                <w:b/>
                <w:color w:val="FFFFFF"/>
                <w:sz w:val="18"/>
              </w:rPr>
              <w:t>Role in RecoverTrack</w:t>
            </w:r>
          </w:p>
        </w:tc>
      </w:tr>
      <w:tr>
        <w:trPr>
          <w:cantSplit/>
        </w:trPr>
        <w:tc>
          <w:tcPr>
            <w:tcW w:type="dxa" w:w="1728"/>
            <w:vAlign w:val="center"/>
            <w:shd w:fill="F7F6F0"/>
            <w:tcMar>
              <w:top w:w="65" w:type="dxa"/>
              <w:left w:w="65" w:type="dxa"/>
              <w:bottom w:w="65" w:type="dxa"/>
              <w:right w:w="65" w:type="dxa"/>
            </w:tcMar>
          </w:tcPr>
          <w:p>
            <w:pPr>
              <w:spacing w:before="60" w:after="60" w:line="245" w:lineRule="auto"/>
            </w:pPr>
            <w:r>
              <w:rPr>
                <w:sz w:val="18"/>
              </w:rPr>
              <w:t>Event</w:t>
            </w:r>
          </w:p>
        </w:tc>
        <w:tc>
          <w:tcPr>
            <w:tcW w:type="dxa" w:w="3312"/>
            <w:vAlign w:val="center"/>
            <w:shd w:fill="F7F6F0"/>
            <w:tcMar>
              <w:top w:w="65" w:type="dxa"/>
              <w:left w:w="65" w:type="dxa"/>
              <w:bottom w:w="65" w:type="dxa"/>
              <w:right w:w="65" w:type="dxa"/>
            </w:tcMar>
          </w:tcPr>
          <w:p>
            <w:pPr>
              <w:spacing w:before="60" w:after="60" w:line="245" w:lineRule="auto"/>
            </w:pPr>
            <w:r>
              <w:rPr>
                <w:sz w:val="18"/>
              </w:rPr>
              <w:t>Send one more reminder.</w:t>
            </w:r>
          </w:p>
        </w:tc>
        <w:tc>
          <w:tcPr>
            <w:tcW w:type="dxa" w:w="4896"/>
            <w:vAlign w:val="center"/>
            <w:shd w:fill="F7F6F0"/>
            <w:tcMar>
              <w:top w:w="65" w:type="dxa"/>
              <w:left w:w="65" w:type="dxa"/>
              <w:bottom w:w="65" w:type="dxa"/>
              <w:right w:w="65" w:type="dxa"/>
            </w:tcMar>
          </w:tcPr>
          <w:p>
            <w:pPr>
              <w:spacing w:before="60" w:after="60" w:line="245" w:lineRule="auto"/>
            </w:pPr>
            <w:r>
              <w:rPr>
                <w:sz w:val="18"/>
              </w:rPr>
              <w:t>May resolve an immediate gap; does not establish a shared process.</w:t>
            </w:r>
          </w:p>
        </w:tc>
      </w:tr>
      <w:tr>
        <w:trPr>
          <w:cantSplit/>
        </w:trPr>
        <w:tc>
          <w:tcPr>
            <w:tcW w:type="dxa" w:w="1728"/>
            <w:vAlign w:val="center"/>
            <w:tcMar>
              <w:top w:w="65" w:type="dxa"/>
              <w:left w:w="65" w:type="dxa"/>
              <w:bottom w:w="65" w:type="dxa"/>
              <w:right w:w="65" w:type="dxa"/>
            </w:tcMar>
          </w:tcPr>
          <w:p>
            <w:pPr>
              <w:spacing w:before="60" w:after="60" w:line="245" w:lineRule="auto"/>
            </w:pPr>
            <w:r>
              <w:rPr>
                <w:sz w:val="18"/>
              </w:rPr>
              <w:t>Structure</w:t>
            </w:r>
          </w:p>
        </w:tc>
        <w:tc>
          <w:tcPr>
            <w:tcW w:type="dxa" w:w="3312"/>
            <w:vAlign w:val="center"/>
            <w:tcMar>
              <w:top w:w="65" w:type="dxa"/>
              <w:left w:w="65" w:type="dxa"/>
              <w:bottom w:w="65" w:type="dxa"/>
              <w:right w:w="65" w:type="dxa"/>
            </w:tcMar>
          </w:tcPr>
          <w:p>
            <w:pPr>
              <w:spacing w:before="60" w:after="60" w:line="245" w:lineRule="auto"/>
            </w:pPr>
            <w:r>
              <w:rPr>
                <w:sz w:val="18"/>
              </w:rPr>
              <w:t>Maintain a reviewed record and permission rules.</w:t>
            </w:r>
          </w:p>
        </w:tc>
        <w:tc>
          <w:tcPr>
            <w:tcW w:type="dxa" w:w="4896"/>
            <w:vAlign w:val="center"/>
            <w:tcMar>
              <w:top w:w="65" w:type="dxa"/>
              <w:left w:w="65" w:type="dxa"/>
              <w:bottom w:w="65" w:type="dxa"/>
              <w:right w:w="65" w:type="dxa"/>
            </w:tcMar>
          </w:tcPr>
          <w:p>
            <w:pPr>
              <w:spacing w:before="60" w:after="60" w:line="245" w:lineRule="auto"/>
            </w:pPr>
            <w:r>
              <w:rPr>
                <w:sz w:val="18"/>
              </w:rPr>
              <w:t>Implemented software contribution.</w:t>
            </w:r>
          </w:p>
        </w:tc>
      </w:tr>
      <w:tr>
        <w:trPr>
          <w:cantSplit/>
        </w:trPr>
        <w:tc>
          <w:tcPr>
            <w:tcW w:type="dxa" w:w="1728"/>
            <w:vAlign w:val="center"/>
            <w:shd w:fill="F7F6F0"/>
            <w:tcMar>
              <w:top w:w="65" w:type="dxa"/>
              <w:left w:w="65" w:type="dxa"/>
              <w:bottom w:w="65" w:type="dxa"/>
              <w:right w:w="65" w:type="dxa"/>
            </w:tcMar>
          </w:tcPr>
          <w:p>
            <w:pPr>
              <w:spacing w:before="60" w:after="60" w:line="245" w:lineRule="auto"/>
            </w:pPr>
            <w:r>
              <w:rPr>
                <w:sz w:val="18"/>
              </w:rPr>
              <w:t>Rules / mental model</w:t>
            </w:r>
          </w:p>
        </w:tc>
        <w:tc>
          <w:tcPr>
            <w:tcW w:type="dxa" w:w="3312"/>
            <w:vAlign w:val="center"/>
            <w:shd w:fill="F7F6F0"/>
            <w:tcMar>
              <w:top w:w="65" w:type="dxa"/>
              <w:left w:w="65" w:type="dxa"/>
              <w:bottom w:w="65" w:type="dxa"/>
              <w:right w:w="65" w:type="dxa"/>
            </w:tcMar>
          </w:tcPr>
          <w:p>
            <w:pPr>
              <w:spacing w:before="60" w:after="60" w:line="245" w:lineRule="auto"/>
            </w:pPr>
            <w:r>
              <w:rPr>
                <w:sz w:val="18"/>
              </w:rPr>
              <w:t>Agree who reports, how handover works and when concerns are reviewed.</w:t>
            </w:r>
          </w:p>
        </w:tc>
        <w:tc>
          <w:tcPr>
            <w:tcW w:type="dxa" w:w="4896"/>
            <w:vAlign w:val="center"/>
            <w:shd w:fill="F7F6F0"/>
            <w:tcMar>
              <w:top w:w="65" w:type="dxa"/>
              <w:left w:w="65" w:type="dxa"/>
              <w:bottom w:w="65" w:type="dxa"/>
              <w:right w:w="65" w:type="dxa"/>
            </w:tcMar>
          </w:tcPr>
          <w:p>
            <w:pPr>
              <w:spacing w:before="60" w:after="60" w:line="245" w:lineRule="auto"/>
            </w:pPr>
            <w:r>
              <w:rPr>
                <w:sz w:val="18"/>
              </w:rPr>
              <w:t>Proposed field-process contribution; validate with users.</w:t>
            </w:r>
          </w:p>
        </w:tc>
      </w:tr>
    </w:tbl>
    <w:p>
      <w:pPr>
        <w:spacing w:after="0"/>
      </w:pPr>
    </w:p>
    <w:p>
      <w:r>
        <w:rPr>
          <w:color w:val="536657"/>
          <w:sz w:val="18"/>
        </w:rPr>
        <w:t>The chosen direction strengthens an information flow and a reporting practice. Revise the archetype if observations show a different loop; a familiar diagram is not evidence that the pattern exists.</w:t>
      </w:r>
    </w:p>
    <w:p>
      <w:r>
        <w:br w:type="page"/>
      </w:r>
    </w:p>
    <w:p>
      <w:pPr>
        <w:spacing w:after="60"/>
      </w:pPr>
      <w:r>
        <w:rPr>
          <w:b/>
          <w:color w:val="536657"/>
          <w:sz w:val="18"/>
        </w:rPr>
        <w:t>MODULE 4 · A</w:t>
      </w:r>
    </w:p>
    <w:p>
      <w:pPr>
        <w:pStyle w:val="Heading1"/>
      </w:pPr>
      <w:r>
        <w:t>Divergent thinking and convergence</w:t>
      </w:r>
    </w:p>
    <w:p>
      <w:r>
        <w:rPr>
          <w:color w:val="536657"/>
          <w:sz w:val="18"/>
        </w:rPr>
        <w:t>Workbook pp. 21–22 [1]  |  Generate alternatives before choosing the prototype.</w:t>
      </w:r>
    </w:p>
    <w:p>
      <w:r/>
      <w:r>
        <w:rPr>
          <w:b/>
        </w:rPr>
        <w:t>Purpose:</w:t>
      </w:r>
      <w:r>
        <w:t xml:space="preserve"> divergent thinking opens several interdisciplinary options; convergence selects a feasible intervention after considering reach, depth and remaining limitations. The ratings and placements below are design judgements, not measured impacts.</w:t>
      </w:r>
    </w:p>
    <w:tbl>
      <w:tblPr>
        <w:tblW w:type="auto" w:w="0"/>
        <w:jc w:val="center"/>
        <w:tblLayout w:type="fixed"/>
        <w:tblLook w:firstColumn="1" w:firstRow="1" w:lastColumn="0" w:lastRow="0" w:noHBand="0" w:noVBand="1" w:val="04A0"/>
      </w:tblPr>
      <w:tblGrid>
        <w:gridCol w:w="2088"/>
        <w:gridCol w:w="1800"/>
        <w:gridCol w:w="4104"/>
        <w:gridCol w:w="1944"/>
      </w:tblGrid>
      <w:tr>
        <w:trPr>
          <w:tblHeader/>
        </w:trPr>
        <w:tc>
          <w:tcPr>
            <w:tcW w:type="dxa" w:w="2088"/>
            <w:shd w:fill="143D33"/>
            <w:tcMar>
              <w:top w:w="65" w:type="dxa"/>
              <w:left w:w="65" w:type="dxa"/>
              <w:bottom w:w="65" w:type="dxa"/>
              <w:right w:w="65" w:type="dxa"/>
            </w:tcMar>
          </w:tcPr>
          <w:p>
            <w:pPr>
              <w:spacing w:after="60" w:before="60"/>
            </w:pPr>
            <w:r>
              <w:rPr>
                <w:b/>
                <w:color w:val="FFFFFF"/>
                <w:sz w:val="17"/>
              </w:rPr>
              <w:t>ID / idea</w:t>
            </w:r>
          </w:p>
        </w:tc>
        <w:tc>
          <w:tcPr>
            <w:tcW w:type="dxa" w:w="1800"/>
            <w:shd w:fill="143D33"/>
            <w:tcMar>
              <w:top w:w="65" w:type="dxa"/>
              <w:left w:w="65" w:type="dxa"/>
              <w:bottom w:w="65" w:type="dxa"/>
              <w:right w:w="65" w:type="dxa"/>
            </w:tcMar>
          </w:tcPr>
          <w:p>
            <w:pPr>
              <w:spacing w:after="60" w:before="60"/>
            </w:pPr>
            <w:r>
              <w:rPr>
                <w:b/>
                <w:color w:val="FFFFFF"/>
                <w:sz w:val="17"/>
              </w:rPr>
              <w:t>Domains</w:t>
            </w:r>
          </w:p>
        </w:tc>
        <w:tc>
          <w:tcPr>
            <w:tcW w:type="dxa" w:w="4104"/>
            <w:shd w:fill="143D33"/>
            <w:tcMar>
              <w:top w:w="65" w:type="dxa"/>
              <w:left w:w="65" w:type="dxa"/>
              <w:bottom w:w="65" w:type="dxa"/>
              <w:right w:w="65" w:type="dxa"/>
            </w:tcMar>
          </w:tcPr>
          <w:p>
            <w:pPr>
              <w:spacing w:after="60" w:before="60"/>
            </w:pPr>
            <w:r>
              <w:rPr>
                <w:b/>
                <w:color w:val="FFFFFF"/>
                <w:sz w:val="17"/>
              </w:rPr>
              <w:t>What it helps / what remains</w:t>
            </w:r>
          </w:p>
        </w:tc>
        <w:tc>
          <w:tcPr>
            <w:tcW w:type="dxa" w:w="1944"/>
            <w:shd w:fill="143D33"/>
            <w:tcMar>
              <w:top w:w="65" w:type="dxa"/>
              <w:left w:w="65" w:type="dxa"/>
              <w:bottom w:w="65" w:type="dxa"/>
              <w:right w:w="65" w:type="dxa"/>
            </w:tcMar>
          </w:tcPr>
          <w:p>
            <w:pPr>
              <w:spacing w:after="60" w:before="60"/>
            </w:pPr>
            <w:r>
              <w:rPr>
                <w:b/>
                <w:color w:val="FFFFFF"/>
                <w:sz w:val="17"/>
              </w:rPr>
              <w:t>Type / level</w:t>
            </w:r>
          </w:p>
        </w:tc>
      </w:tr>
      <w:tr>
        <w:trPr>
          <w:cantSplit/>
        </w:trPr>
        <w:tc>
          <w:tcPr>
            <w:tcW w:type="dxa" w:w="2088"/>
            <w:vAlign w:val="center"/>
            <w:shd w:fill="F7F6F0"/>
            <w:tcMar>
              <w:top w:w="65" w:type="dxa"/>
              <w:left w:w="65" w:type="dxa"/>
              <w:bottom w:w="65" w:type="dxa"/>
              <w:right w:w="65" w:type="dxa"/>
            </w:tcMar>
          </w:tcPr>
          <w:p>
            <w:pPr>
              <w:spacing w:before="60" w:after="60" w:line="245" w:lineRule="auto"/>
            </w:pPr>
            <w:r>
              <w:rPr>
                <w:sz w:val="17"/>
              </w:rPr>
              <w:t>I1 · Printable dose chart</w:t>
            </w:r>
          </w:p>
        </w:tc>
        <w:tc>
          <w:tcPr>
            <w:tcW w:type="dxa" w:w="1800"/>
            <w:vAlign w:val="center"/>
            <w:shd w:fill="F7F6F0"/>
            <w:tcMar>
              <w:top w:w="65" w:type="dxa"/>
              <w:left w:w="65" w:type="dxa"/>
              <w:bottom w:w="65" w:type="dxa"/>
              <w:right w:w="65" w:type="dxa"/>
            </w:tcMar>
          </w:tcPr>
          <w:p>
            <w:pPr>
              <w:spacing w:before="60" w:after="60" w:line="245" w:lineRule="auto"/>
            </w:pPr>
            <w:r>
              <w:rPr>
                <w:sz w:val="17"/>
              </w:rPr>
              <w:t>CSE + industrial engineering</w:t>
            </w:r>
          </w:p>
        </w:tc>
        <w:tc>
          <w:tcPr>
            <w:tcW w:type="dxa" w:w="4104"/>
            <w:vAlign w:val="center"/>
            <w:shd w:fill="F7F6F0"/>
            <w:tcMar>
              <w:top w:w="65" w:type="dxa"/>
              <w:left w:w="65" w:type="dxa"/>
              <w:bottom w:w="65" w:type="dxa"/>
              <w:right w:w="65" w:type="dxa"/>
            </w:tcMar>
          </w:tcPr>
          <w:p>
            <w:pPr>
              <w:spacing w:before="60" w:after="60" w:line="245" w:lineRule="auto"/>
            </w:pPr>
            <w:r>
              <w:rPr>
                <w:sz w:val="17"/>
              </w:rPr>
              <w:t>Visible plan; remote updates and handovers can remain unclear.</w:t>
            </w:r>
          </w:p>
        </w:tc>
        <w:tc>
          <w:tcPr>
            <w:tcW w:type="dxa" w:w="1944"/>
            <w:vAlign w:val="center"/>
            <w:shd w:fill="F7F6F0"/>
            <w:tcMar>
              <w:top w:w="65" w:type="dxa"/>
              <w:left w:w="65" w:type="dxa"/>
              <w:bottom w:w="65" w:type="dxa"/>
              <w:right w:w="65" w:type="dxa"/>
            </w:tcMar>
          </w:tcPr>
          <w:p>
            <w:pPr>
              <w:spacing w:before="60" w:after="60" w:line="245" w:lineRule="auto"/>
            </w:pPr>
            <w:r>
              <w:rPr>
                <w:sz w:val="17"/>
              </w:rPr>
              <w:t>Product/process; local information aid</w:t>
            </w:r>
          </w:p>
        </w:tc>
      </w:tr>
      <w:tr>
        <w:trPr>
          <w:cantSplit/>
        </w:trPr>
        <w:tc>
          <w:tcPr>
            <w:tcW w:type="dxa" w:w="2088"/>
            <w:vAlign w:val="center"/>
            <w:tcMar>
              <w:top w:w="65" w:type="dxa"/>
              <w:left w:w="65" w:type="dxa"/>
              <w:bottom w:w="65" w:type="dxa"/>
              <w:right w:w="65" w:type="dxa"/>
            </w:tcMar>
          </w:tcPr>
          <w:p>
            <w:pPr>
              <w:spacing w:before="60" w:after="60" w:line="245" w:lineRule="auto"/>
            </w:pPr>
            <w:r>
              <w:rPr>
                <w:sz w:val="17"/>
              </w:rPr>
              <w:t>I2 · Editable OCR draft</w:t>
            </w:r>
          </w:p>
        </w:tc>
        <w:tc>
          <w:tcPr>
            <w:tcW w:type="dxa" w:w="1800"/>
            <w:vAlign w:val="center"/>
            <w:tcMar>
              <w:top w:w="65" w:type="dxa"/>
              <w:left w:w="65" w:type="dxa"/>
              <w:bottom w:w="65" w:type="dxa"/>
              <w:right w:w="65" w:type="dxa"/>
            </w:tcMar>
          </w:tcPr>
          <w:p>
            <w:pPr>
              <w:spacing w:before="60" w:after="60" w:line="245" w:lineRule="auto"/>
            </w:pPr>
            <w:r>
              <w:rPr>
                <w:sz w:val="17"/>
              </w:rPr>
              <w:t>CSE + ECE image processing</w:t>
            </w:r>
          </w:p>
        </w:tc>
        <w:tc>
          <w:tcPr>
            <w:tcW w:type="dxa" w:w="4104"/>
            <w:vAlign w:val="center"/>
            <w:tcMar>
              <w:top w:w="65" w:type="dxa"/>
              <w:left w:w="65" w:type="dxa"/>
              <w:bottom w:w="65" w:type="dxa"/>
              <w:right w:w="65" w:type="dxa"/>
            </w:tcMar>
          </w:tcPr>
          <w:p>
            <w:pPr>
              <w:spacing w:before="60" w:after="60" w:line="245" w:lineRule="auto"/>
            </w:pPr>
            <w:r>
              <w:rPr>
                <w:sz w:val="17"/>
              </w:rPr>
              <w:t>Less repeated typing; recognition errors and status uncertainty remain.</w:t>
            </w:r>
          </w:p>
        </w:tc>
        <w:tc>
          <w:tcPr>
            <w:tcW w:type="dxa" w:w="1944"/>
            <w:vAlign w:val="center"/>
            <w:tcMar>
              <w:top w:w="65" w:type="dxa"/>
              <w:left w:w="65" w:type="dxa"/>
              <w:bottom w:w="65" w:type="dxa"/>
              <w:right w:w="65" w:type="dxa"/>
            </w:tcMar>
          </w:tcPr>
          <w:p>
            <w:pPr>
              <w:spacing w:before="60" w:after="60" w:line="245" w:lineRule="auto"/>
            </w:pPr>
            <w:r>
              <w:rPr>
                <w:sz w:val="17"/>
              </w:rPr>
              <w:t>Product; transfer step</w:t>
            </w:r>
          </w:p>
        </w:tc>
      </w:tr>
      <w:tr>
        <w:trPr>
          <w:cantSplit/>
        </w:trPr>
        <w:tc>
          <w:tcPr>
            <w:tcW w:type="dxa" w:w="2088"/>
            <w:vAlign w:val="center"/>
            <w:shd w:fill="F7F6F0"/>
            <w:tcMar>
              <w:top w:w="65" w:type="dxa"/>
              <w:left w:w="65" w:type="dxa"/>
              <w:bottom w:w="65" w:type="dxa"/>
              <w:right w:w="65" w:type="dxa"/>
            </w:tcMar>
          </w:tcPr>
          <w:p>
            <w:pPr>
              <w:spacing w:before="60" w:after="60" w:line="245" w:lineRule="auto"/>
            </w:pPr>
            <w:r>
              <w:rPr>
                <w:sz w:val="17"/>
              </w:rPr>
              <w:t>I3 · Alarm pillbox</w:t>
            </w:r>
          </w:p>
        </w:tc>
        <w:tc>
          <w:tcPr>
            <w:tcW w:type="dxa" w:w="1800"/>
            <w:vAlign w:val="center"/>
            <w:shd w:fill="F7F6F0"/>
            <w:tcMar>
              <w:top w:w="65" w:type="dxa"/>
              <w:left w:w="65" w:type="dxa"/>
              <w:bottom w:w="65" w:type="dxa"/>
              <w:right w:w="65" w:type="dxa"/>
            </w:tcMar>
          </w:tcPr>
          <w:p>
            <w:pPr>
              <w:spacing w:before="60" w:after="60" w:line="245" w:lineRule="auto"/>
            </w:pPr>
            <w:r>
              <w:rPr>
                <w:sz w:val="17"/>
              </w:rPr>
              <w:t>ECE + mechanical</w:t>
            </w:r>
          </w:p>
        </w:tc>
        <w:tc>
          <w:tcPr>
            <w:tcW w:type="dxa" w:w="4104"/>
            <w:vAlign w:val="center"/>
            <w:shd w:fill="F7F6F0"/>
            <w:tcMar>
              <w:top w:w="65" w:type="dxa"/>
              <w:left w:w="65" w:type="dxa"/>
              <w:bottom w:w="65" w:type="dxa"/>
              <w:right w:w="65" w:type="dxa"/>
            </w:tcMar>
          </w:tcPr>
          <w:p>
            <w:pPr>
              <w:spacing w:before="60" w:after="60" w:line="245" w:lineRule="auto"/>
            </w:pPr>
            <w:r>
              <w:rPr>
                <w:sz w:val="17"/>
              </w:rPr>
              <w:t>Physical dose cue; opening a box does not prove correct ingestion or shared reporting.</w:t>
            </w:r>
          </w:p>
        </w:tc>
        <w:tc>
          <w:tcPr>
            <w:tcW w:type="dxa" w:w="1944"/>
            <w:vAlign w:val="center"/>
            <w:shd w:fill="F7F6F0"/>
            <w:tcMar>
              <w:top w:w="65" w:type="dxa"/>
              <w:left w:w="65" w:type="dxa"/>
              <w:bottom w:w="65" w:type="dxa"/>
              <w:right w:w="65" w:type="dxa"/>
            </w:tcMar>
          </w:tcPr>
          <w:p>
            <w:pPr>
              <w:spacing w:before="60" w:after="60" w:line="245" w:lineRule="auto"/>
            </w:pPr>
            <w:r>
              <w:rPr>
                <w:sz w:val="17"/>
              </w:rPr>
              <w:t>Proposed hardware; local structure</w:t>
            </w:r>
          </w:p>
        </w:tc>
      </w:tr>
      <w:tr>
        <w:trPr>
          <w:cantSplit/>
        </w:trPr>
        <w:tc>
          <w:tcPr>
            <w:tcW w:type="dxa" w:w="2088"/>
            <w:vAlign w:val="center"/>
            <w:tcMar>
              <w:top w:w="65" w:type="dxa"/>
              <w:left w:w="65" w:type="dxa"/>
              <w:bottom w:w="65" w:type="dxa"/>
              <w:right w:w="65" w:type="dxa"/>
            </w:tcMar>
          </w:tcPr>
          <w:p>
            <w:pPr>
              <w:spacing w:before="60" w:after="60" w:line="245" w:lineRule="auto"/>
            </w:pPr>
            <w:r>
              <w:rPr>
                <w:sz w:val="17"/>
              </w:rPr>
              <w:t>I4 · Shared reviewed record</w:t>
            </w:r>
          </w:p>
        </w:tc>
        <w:tc>
          <w:tcPr>
            <w:tcW w:type="dxa" w:w="1800"/>
            <w:vAlign w:val="center"/>
            <w:tcMar>
              <w:top w:w="65" w:type="dxa"/>
              <w:left w:w="65" w:type="dxa"/>
              <w:bottom w:w="65" w:type="dxa"/>
              <w:right w:w="65" w:type="dxa"/>
            </w:tcMar>
          </w:tcPr>
          <w:p>
            <w:pPr>
              <w:spacing w:before="60" w:after="60" w:line="245" w:lineRule="auto"/>
            </w:pPr>
            <w:r>
              <w:rPr>
                <w:sz w:val="17"/>
              </w:rPr>
              <w:t>CSE + industrial engineering</w:t>
            </w:r>
          </w:p>
        </w:tc>
        <w:tc>
          <w:tcPr>
            <w:tcW w:type="dxa" w:w="4104"/>
            <w:vAlign w:val="center"/>
            <w:tcMar>
              <w:top w:w="65" w:type="dxa"/>
              <w:left w:w="65" w:type="dxa"/>
              <w:bottom w:w="65" w:type="dxa"/>
              <w:right w:w="65" w:type="dxa"/>
            </w:tcMar>
          </w:tcPr>
          <w:p>
            <w:pPr>
              <w:spacing w:before="60" w:after="60" w:line="245" w:lineRule="auto"/>
            </w:pPr>
            <w:r>
              <w:rPr>
                <w:sz w:val="17"/>
              </w:rPr>
              <w:t>Common history and roles; connectivity and reporting effort remain.</w:t>
            </w:r>
          </w:p>
        </w:tc>
        <w:tc>
          <w:tcPr>
            <w:tcW w:type="dxa" w:w="1944"/>
            <w:vAlign w:val="center"/>
            <w:tcMar>
              <w:top w:w="65" w:type="dxa"/>
              <w:left w:w="65" w:type="dxa"/>
              <w:bottom w:w="65" w:type="dxa"/>
              <w:right w:w="65" w:type="dxa"/>
            </w:tcMar>
          </w:tcPr>
          <w:p>
            <w:pPr>
              <w:spacing w:before="60" w:after="60" w:line="245" w:lineRule="auto"/>
            </w:pPr>
            <w:r>
              <w:rPr>
                <w:sz w:val="17"/>
              </w:rPr>
              <w:t>Product/process/behaviour; structure</w:t>
            </w:r>
          </w:p>
        </w:tc>
      </w:tr>
      <w:tr>
        <w:trPr>
          <w:cantSplit/>
        </w:trPr>
        <w:tc>
          <w:tcPr>
            <w:tcW w:type="dxa" w:w="2088"/>
            <w:vAlign w:val="center"/>
            <w:shd w:fill="F7F6F0"/>
            <w:tcMar>
              <w:top w:w="65" w:type="dxa"/>
              <w:left w:w="65" w:type="dxa"/>
              <w:bottom w:w="65" w:type="dxa"/>
              <w:right w:w="65" w:type="dxa"/>
            </w:tcMar>
          </w:tcPr>
          <w:p>
            <w:pPr>
              <w:spacing w:before="60" w:after="60" w:line="245" w:lineRule="auto"/>
            </w:pPr>
            <w:r>
              <w:rPr>
                <w:sz w:val="17"/>
              </w:rPr>
              <w:t>I5 · Teach-back and named owner</w:t>
            </w:r>
          </w:p>
        </w:tc>
        <w:tc>
          <w:tcPr>
            <w:tcW w:type="dxa" w:w="1800"/>
            <w:vAlign w:val="center"/>
            <w:shd w:fill="F7F6F0"/>
            <w:tcMar>
              <w:top w:w="65" w:type="dxa"/>
              <w:left w:w="65" w:type="dxa"/>
              <w:bottom w:w="65" w:type="dxa"/>
              <w:right w:w="65" w:type="dxa"/>
            </w:tcMar>
          </w:tcPr>
          <w:p>
            <w:pPr>
              <w:spacing w:before="60" w:after="60" w:line="245" w:lineRule="auto"/>
            </w:pPr>
            <w:r>
              <w:rPr>
                <w:sz w:val="17"/>
              </w:rPr>
              <w:t>Industrial engineering + CSE</w:t>
            </w:r>
          </w:p>
        </w:tc>
        <w:tc>
          <w:tcPr>
            <w:tcW w:type="dxa" w:w="4104"/>
            <w:vAlign w:val="center"/>
            <w:shd w:fill="F7F6F0"/>
            <w:tcMar>
              <w:top w:w="65" w:type="dxa"/>
              <w:left w:w="65" w:type="dxa"/>
              <w:bottom w:w="65" w:type="dxa"/>
              <w:right w:w="65" w:type="dxa"/>
            </w:tcMar>
          </w:tcPr>
          <w:p>
            <w:pPr>
              <w:spacing w:before="60" w:after="60" w:line="245" w:lineRule="auto"/>
            </w:pPr>
            <w:r>
              <w:rPr>
                <w:sz w:val="17"/>
              </w:rPr>
              <w:t>Clearer handover; requires staff participation and continued practice.</w:t>
            </w:r>
          </w:p>
        </w:tc>
        <w:tc>
          <w:tcPr>
            <w:tcW w:type="dxa" w:w="1944"/>
            <w:vAlign w:val="center"/>
            <w:shd w:fill="F7F6F0"/>
            <w:tcMar>
              <w:top w:w="65" w:type="dxa"/>
              <w:left w:w="65" w:type="dxa"/>
              <w:bottom w:w="65" w:type="dxa"/>
              <w:right w:w="65" w:type="dxa"/>
            </w:tcMar>
          </w:tcPr>
          <w:p>
            <w:pPr>
              <w:spacing w:before="60" w:after="60" w:line="245" w:lineRule="auto"/>
            </w:pPr>
            <w:r>
              <w:rPr>
                <w:sz w:val="17"/>
              </w:rPr>
              <w:t>Proposed process/behaviour; rules</w:t>
            </w:r>
          </w:p>
        </w:tc>
      </w:tr>
    </w:tbl>
    <w:p>
      <w:pPr>
        <w:spacing w:after="0"/>
      </w:pPr>
    </w:p>
    <w:p>
      <w:pPr>
        <w:keepNext/>
        <w:spacing w:before="60" w:after="60"/>
        <w:jc w:val="center"/>
      </w:pPr>
      <w:r>
        <w:drawing>
          <wp:inline xmlns:a="http://schemas.openxmlformats.org/drawingml/2006/main" xmlns:pic="http://schemas.openxmlformats.org/drawingml/2006/picture">
            <wp:extent cx="6217920" cy="3108960"/>
            <wp:docPr id="7" name="Picture 7" title="Figure 7" descr="Workbook-aligned selection map: systemic impact versus depth of implementation. Placement is qualitative; feasibility is assessed separately."/>
            <wp:cNvGraphicFramePr>
              <a:graphicFrameLocks noChangeAspect="1"/>
            </wp:cNvGraphicFramePr>
            <a:graphic>
              <a:graphicData uri="http://schemas.openxmlformats.org/drawingml/2006/picture">
                <pic:pic>
                  <pic:nvPicPr>
                    <pic:cNvPr id="0" name="07_impact_matrix.png"/>
                    <pic:cNvPicPr/>
                  </pic:nvPicPr>
                  <pic:blipFill>
                    <a:blip r:embed="rId17"/>
                    <a:stretch>
                      <a:fillRect/>
                    </a:stretch>
                  </pic:blipFill>
                  <pic:spPr>
                    <a:xfrm>
                      <a:off x="0" y="0"/>
                      <a:ext cx="6217920" cy="3108960"/>
                    </a:xfrm>
                    <a:prstGeom prst="rect"/>
                  </pic:spPr>
                </pic:pic>
              </a:graphicData>
            </a:graphic>
          </wp:inline>
        </w:drawing>
      </w:r>
    </w:p>
    <w:p>
      <w:pPr>
        <w:pStyle w:val="Caption"/>
      </w:pPr>
      <w:r>
        <w:t>Figure 7. Workbook-aligned selection map: systemic impact versus depth of implementation. Placement is qualitative; feasibility is assessed separately.</w:t>
      </w:r>
    </w:p>
    <w:p>
      <w:r>
        <w:rPr>
          <w:color w:val="536657"/>
          <w:sz w:val="18"/>
        </w:rPr>
        <w:t xml:space="preserve">The workbook’s horizontal axis runs from event/symptom fixes toward mental-model or physical/structural change. It is </w:t>
      </w:r>
      <w:r>
        <w:rPr>
          <w:b/>
          <w:color w:val="536657"/>
          <w:sz w:val="18"/>
        </w:rPr>
        <w:t>not</w:t>
      </w:r>
      <w:r>
        <w:rPr>
          <w:color w:val="536657"/>
          <w:sz w:val="18"/>
        </w:rPr>
        <w:t xml:space="preserve"> an implementation-ease axis. No numerical improvement is implied by a point’s position.</w:t>
      </w:r>
    </w:p>
    <w:p>
      <w:r>
        <w:br w:type="page"/>
      </w:r>
    </w:p>
    <w:p>
      <w:pPr>
        <w:spacing w:after="60"/>
      </w:pPr>
      <w:r>
        <w:rPr>
          <w:b/>
          <w:color w:val="536657"/>
          <w:sz w:val="18"/>
        </w:rPr>
        <w:t>MODULE 4 · B</w:t>
      </w:r>
    </w:p>
    <w:p>
      <w:pPr>
        <w:pStyle w:val="Heading1"/>
      </w:pPr>
      <w:r>
        <w:t>Selected solution and architecture</w:t>
      </w:r>
    </w:p>
    <w:p>
      <w:r>
        <w:rPr>
          <w:color w:val="536657"/>
          <w:sz w:val="18"/>
        </w:rPr>
        <w:t>Workbook p. 23 [1]  |  Connect the intervention to a feasible prototype.</w:t>
      </w:r>
    </w:p>
    <w:tbl>
      <w:tblPr>
        <w:tblW w:type="auto" w:w="0"/>
        <w:jc w:val="center"/>
        <w:tblLayout w:type="fixed"/>
        <w:tblLook w:firstColumn="1" w:firstRow="1" w:lastColumn="0" w:lastRow="0" w:noHBand="0" w:noVBand="1" w:val="04A0"/>
      </w:tblPr>
      <w:tblGrid>
        <w:gridCol w:w="936"/>
        <w:gridCol w:w="2592"/>
        <w:gridCol w:w="3240"/>
        <w:gridCol w:w="3168"/>
      </w:tblGrid>
      <w:tr>
        <w:trPr>
          <w:tblHeader/>
        </w:trPr>
        <w:tc>
          <w:tcPr>
            <w:tcW w:type="dxa" w:w="936"/>
            <w:shd w:fill="143D33"/>
            <w:tcMar>
              <w:top w:w="65" w:type="dxa"/>
              <w:left w:w="65" w:type="dxa"/>
              <w:bottom w:w="65" w:type="dxa"/>
              <w:right w:w="65" w:type="dxa"/>
            </w:tcMar>
          </w:tcPr>
          <w:p>
            <w:pPr>
              <w:spacing w:after="60" w:before="60"/>
            </w:pPr>
            <w:r>
              <w:rPr>
                <w:b/>
                <w:color w:val="FFFFFF"/>
                <w:sz w:val="18"/>
              </w:rPr>
              <w:t>Idea</w:t>
            </w:r>
          </w:p>
        </w:tc>
        <w:tc>
          <w:tcPr>
            <w:tcW w:type="dxa" w:w="2592"/>
            <w:shd w:fill="143D33"/>
            <w:tcMar>
              <w:top w:w="65" w:type="dxa"/>
              <w:left w:w="65" w:type="dxa"/>
              <w:bottom w:w="65" w:type="dxa"/>
              <w:right w:w="65" w:type="dxa"/>
            </w:tcMar>
          </w:tcPr>
          <w:p>
            <w:pPr>
              <w:spacing w:after="60" w:before="60"/>
            </w:pPr>
            <w:r>
              <w:rPr>
                <w:b/>
                <w:color w:val="FFFFFF"/>
                <w:sz w:val="18"/>
              </w:rPr>
              <w:t>Expected reach</w:t>
            </w:r>
          </w:p>
        </w:tc>
        <w:tc>
          <w:tcPr>
            <w:tcW w:type="dxa" w:w="3240"/>
            <w:shd w:fill="143D33"/>
            <w:tcMar>
              <w:top w:w="65" w:type="dxa"/>
              <w:left w:w="65" w:type="dxa"/>
              <w:bottom w:w="65" w:type="dxa"/>
              <w:right w:w="65" w:type="dxa"/>
            </w:tcMar>
          </w:tcPr>
          <w:p>
            <w:pPr>
              <w:spacing w:after="60" w:before="60"/>
            </w:pPr>
            <w:r>
              <w:rPr>
                <w:b/>
                <w:color w:val="FFFFFF"/>
                <w:sz w:val="18"/>
              </w:rPr>
              <w:t>System-change depth</w:t>
            </w:r>
          </w:p>
        </w:tc>
        <w:tc>
          <w:tcPr>
            <w:tcW w:type="dxa" w:w="3168"/>
            <w:shd w:fill="143D33"/>
            <w:tcMar>
              <w:top w:w="65" w:type="dxa"/>
              <w:left w:w="65" w:type="dxa"/>
              <w:bottom w:w="65" w:type="dxa"/>
              <w:right w:w="65" w:type="dxa"/>
            </w:tcMar>
          </w:tcPr>
          <w:p>
            <w:pPr>
              <w:spacing w:after="60" w:before="60"/>
            </w:pPr>
            <w:r>
              <w:rPr>
                <w:b/>
                <w:color w:val="FFFFFF"/>
                <w:sz w:val="18"/>
              </w:rPr>
              <w:t>Implementation ease</w:t>
            </w:r>
          </w:p>
        </w:tc>
      </w:tr>
      <w:tr>
        <w:trPr>
          <w:cantSplit/>
        </w:trPr>
        <w:tc>
          <w:tcPr>
            <w:tcW w:type="dxa" w:w="936"/>
            <w:vAlign w:val="center"/>
            <w:shd w:fill="F7F6F0"/>
            <w:tcMar>
              <w:top w:w="65" w:type="dxa"/>
              <w:left w:w="65" w:type="dxa"/>
              <w:bottom w:w="65" w:type="dxa"/>
              <w:right w:w="65" w:type="dxa"/>
            </w:tcMar>
          </w:tcPr>
          <w:p>
            <w:pPr>
              <w:spacing w:before="60" w:after="60" w:line="245" w:lineRule="auto"/>
            </w:pPr>
            <w:r>
              <w:rPr>
                <w:sz w:val="18"/>
              </w:rPr>
              <w:t>I1</w:t>
            </w:r>
          </w:p>
        </w:tc>
        <w:tc>
          <w:tcPr>
            <w:tcW w:type="dxa" w:w="2592"/>
            <w:vAlign w:val="center"/>
            <w:shd w:fill="F7F6F0"/>
            <w:tcMar>
              <w:top w:w="65" w:type="dxa"/>
              <w:left w:w="65" w:type="dxa"/>
              <w:bottom w:w="65" w:type="dxa"/>
              <w:right w:w="65" w:type="dxa"/>
            </w:tcMar>
          </w:tcPr>
          <w:p>
            <w:pPr>
              <w:spacing w:before="60" w:after="60" w:line="245" w:lineRule="auto"/>
            </w:pPr>
            <w:r>
              <w:rPr>
                <w:sz w:val="18"/>
              </w:rPr>
              <w:t>Low</w:t>
            </w:r>
          </w:p>
        </w:tc>
        <w:tc>
          <w:tcPr>
            <w:tcW w:type="dxa" w:w="3240"/>
            <w:vAlign w:val="center"/>
            <w:shd w:fill="F7F6F0"/>
            <w:tcMar>
              <w:top w:w="65" w:type="dxa"/>
              <w:left w:w="65" w:type="dxa"/>
              <w:bottom w:w="65" w:type="dxa"/>
              <w:right w:w="65" w:type="dxa"/>
            </w:tcMar>
          </w:tcPr>
          <w:p>
            <w:pPr>
              <w:spacing w:before="60" w:after="60" w:line="245" w:lineRule="auto"/>
            </w:pPr>
            <w:r>
              <w:rPr>
                <w:sz w:val="18"/>
              </w:rPr>
              <w:t>Low</w:t>
            </w:r>
          </w:p>
        </w:tc>
        <w:tc>
          <w:tcPr>
            <w:tcW w:type="dxa" w:w="3168"/>
            <w:vAlign w:val="center"/>
            <w:shd w:fill="F7F6F0"/>
            <w:tcMar>
              <w:top w:w="65" w:type="dxa"/>
              <w:left w:w="65" w:type="dxa"/>
              <w:bottom w:w="65" w:type="dxa"/>
              <w:right w:w="65" w:type="dxa"/>
            </w:tcMar>
          </w:tcPr>
          <w:p>
            <w:pPr>
              <w:spacing w:before="60" w:after="60" w:line="245" w:lineRule="auto"/>
            </w:pPr>
            <w:r>
              <w:rPr>
                <w:sz w:val="18"/>
              </w:rPr>
              <w:t>High</w:t>
            </w:r>
          </w:p>
        </w:tc>
      </w:tr>
      <w:tr>
        <w:trPr>
          <w:cantSplit/>
        </w:trPr>
        <w:tc>
          <w:tcPr>
            <w:tcW w:type="dxa" w:w="936"/>
            <w:vAlign w:val="center"/>
            <w:tcMar>
              <w:top w:w="65" w:type="dxa"/>
              <w:left w:w="65" w:type="dxa"/>
              <w:bottom w:w="65" w:type="dxa"/>
              <w:right w:w="65" w:type="dxa"/>
            </w:tcMar>
          </w:tcPr>
          <w:p>
            <w:pPr>
              <w:spacing w:before="60" w:after="60" w:line="245" w:lineRule="auto"/>
            </w:pPr>
            <w:r>
              <w:rPr>
                <w:sz w:val="18"/>
              </w:rPr>
              <w:t>I2</w:t>
            </w:r>
          </w:p>
        </w:tc>
        <w:tc>
          <w:tcPr>
            <w:tcW w:type="dxa" w:w="2592"/>
            <w:vAlign w:val="center"/>
            <w:tcMar>
              <w:top w:w="65" w:type="dxa"/>
              <w:left w:w="65" w:type="dxa"/>
              <w:bottom w:w="65" w:type="dxa"/>
              <w:right w:w="65" w:type="dxa"/>
            </w:tcMar>
          </w:tcPr>
          <w:p>
            <w:pPr>
              <w:spacing w:before="60" w:after="60" w:line="245" w:lineRule="auto"/>
            </w:pPr>
            <w:r>
              <w:rPr>
                <w:sz w:val="18"/>
              </w:rPr>
              <w:t>Medium</w:t>
            </w:r>
          </w:p>
        </w:tc>
        <w:tc>
          <w:tcPr>
            <w:tcW w:type="dxa" w:w="3240"/>
            <w:vAlign w:val="center"/>
            <w:tcMar>
              <w:top w:w="65" w:type="dxa"/>
              <w:left w:w="65" w:type="dxa"/>
              <w:bottom w:w="65" w:type="dxa"/>
              <w:right w:w="65" w:type="dxa"/>
            </w:tcMar>
          </w:tcPr>
          <w:p>
            <w:pPr>
              <w:spacing w:before="60" w:after="60" w:line="245" w:lineRule="auto"/>
            </w:pPr>
            <w:r>
              <w:rPr>
                <w:sz w:val="18"/>
              </w:rPr>
              <w:t>Low–medium</w:t>
            </w:r>
          </w:p>
        </w:tc>
        <w:tc>
          <w:tcPr>
            <w:tcW w:type="dxa" w:w="3168"/>
            <w:vAlign w:val="center"/>
            <w:tcMar>
              <w:top w:w="65" w:type="dxa"/>
              <w:left w:w="65" w:type="dxa"/>
              <w:bottom w:w="65" w:type="dxa"/>
              <w:right w:w="65" w:type="dxa"/>
            </w:tcMar>
          </w:tcPr>
          <w:p>
            <w:pPr>
              <w:spacing w:before="60" w:after="60" w:line="245" w:lineRule="auto"/>
            </w:pPr>
            <w:r>
              <w:rPr>
                <w:sz w:val="18"/>
              </w:rPr>
              <w:t>Medium</w:t>
            </w:r>
          </w:p>
        </w:tc>
      </w:tr>
      <w:tr>
        <w:trPr>
          <w:cantSplit/>
        </w:trPr>
        <w:tc>
          <w:tcPr>
            <w:tcW w:type="dxa" w:w="936"/>
            <w:vAlign w:val="center"/>
            <w:shd w:fill="F7F6F0"/>
            <w:tcMar>
              <w:top w:w="65" w:type="dxa"/>
              <w:left w:w="65" w:type="dxa"/>
              <w:bottom w:w="65" w:type="dxa"/>
              <w:right w:w="65" w:type="dxa"/>
            </w:tcMar>
          </w:tcPr>
          <w:p>
            <w:pPr>
              <w:spacing w:before="60" w:after="60" w:line="245" w:lineRule="auto"/>
            </w:pPr>
            <w:r>
              <w:rPr>
                <w:sz w:val="18"/>
              </w:rPr>
              <w:t>I3</w:t>
            </w:r>
          </w:p>
        </w:tc>
        <w:tc>
          <w:tcPr>
            <w:tcW w:type="dxa" w:w="2592"/>
            <w:vAlign w:val="center"/>
            <w:shd w:fill="F7F6F0"/>
            <w:tcMar>
              <w:top w:w="65" w:type="dxa"/>
              <w:left w:w="65" w:type="dxa"/>
              <w:bottom w:w="65" w:type="dxa"/>
              <w:right w:w="65" w:type="dxa"/>
            </w:tcMar>
          </w:tcPr>
          <w:p>
            <w:pPr>
              <w:spacing w:before="60" w:after="60" w:line="245" w:lineRule="auto"/>
            </w:pPr>
            <w:r>
              <w:rPr>
                <w:sz w:val="18"/>
              </w:rPr>
              <w:t>Medium</w:t>
            </w:r>
          </w:p>
        </w:tc>
        <w:tc>
          <w:tcPr>
            <w:tcW w:type="dxa" w:w="3240"/>
            <w:vAlign w:val="center"/>
            <w:shd w:fill="F7F6F0"/>
            <w:tcMar>
              <w:top w:w="65" w:type="dxa"/>
              <w:left w:w="65" w:type="dxa"/>
              <w:bottom w:w="65" w:type="dxa"/>
              <w:right w:w="65" w:type="dxa"/>
            </w:tcMar>
          </w:tcPr>
          <w:p>
            <w:pPr>
              <w:spacing w:before="60" w:after="60" w:line="245" w:lineRule="auto"/>
            </w:pPr>
            <w:r>
              <w:rPr>
                <w:sz w:val="18"/>
              </w:rPr>
              <w:t>Medium</w:t>
            </w:r>
          </w:p>
        </w:tc>
        <w:tc>
          <w:tcPr>
            <w:tcW w:type="dxa" w:w="3168"/>
            <w:vAlign w:val="center"/>
            <w:shd w:fill="F7F6F0"/>
            <w:tcMar>
              <w:top w:w="65" w:type="dxa"/>
              <w:left w:w="65" w:type="dxa"/>
              <w:bottom w:w="65" w:type="dxa"/>
              <w:right w:w="65" w:type="dxa"/>
            </w:tcMar>
          </w:tcPr>
          <w:p>
            <w:pPr>
              <w:spacing w:before="60" w:after="60" w:line="245" w:lineRule="auto"/>
            </w:pPr>
            <w:r>
              <w:rPr>
                <w:sz w:val="18"/>
              </w:rPr>
              <w:t>Low</w:t>
            </w:r>
          </w:p>
        </w:tc>
      </w:tr>
      <w:tr>
        <w:trPr>
          <w:cantSplit/>
        </w:trPr>
        <w:tc>
          <w:tcPr>
            <w:tcW w:type="dxa" w:w="936"/>
            <w:vAlign w:val="center"/>
            <w:tcMar>
              <w:top w:w="65" w:type="dxa"/>
              <w:left w:w="65" w:type="dxa"/>
              <w:bottom w:w="65" w:type="dxa"/>
              <w:right w:w="65" w:type="dxa"/>
            </w:tcMar>
          </w:tcPr>
          <w:p>
            <w:pPr>
              <w:spacing w:before="60" w:after="60" w:line="245" w:lineRule="auto"/>
            </w:pPr>
            <w:r>
              <w:rPr>
                <w:sz w:val="18"/>
              </w:rPr>
              <w:t>I4</w:t>
            </w:r>
          </w:p>
        </w:tc>
        <w:tc>
          <w:tcPr>
            <w:tcW w:type="dxa" w:w="2592"/>
            <w:vAlign w:val="center"/>
            <w:tcMar>
              <w:top w:w="65" w:type="dxa"/>
              <w:left w:w="65" w:type="dxa"/>
              <w:bottom w:w="65" w:type="dxa"/>
              <w:right w:w="65" w:type="dxa"/>
            </w:tcMar>
          </w:tcPr>
          <w:p>
            <w:pPr>
              <w:spacing w:before="60" w:after="60" w:line="245" w:lineRule="auto"/>
            </w:pPr>
            <w:r>
              <w:rPr>
                <w:sz w:val="18"/>
              </w:rPr>
              <w:t>High</w:t>
            </w:r>
          </w:p>
        </w:tc>
        <w:tc>
          <w:tcPr>
            <w:tcW w:type="dxa" w:w="3240"/>
            <w:vAlign w:val="center"/>
            <w:tcMar>
              <w:top w:w="65" w:type="dxa"/>
              <w:left w:w="65" w:type="dxa"/>
              <w:bottom w:w="65" w:type="dxa"/>
              <w:right w:w="65" w:type="dxa"/>
            </w:tcMar>
          </w:tcPr>
          <w:p>
            <w:pPr>
              <w:spacing w:before="60" w:after="60" w:line="245" w:lineRule="auto"/>
            </w:pPr>
            <w:r>
              <w:rPr>
                <w:sz w:val="18"/>
              </w:rPr>
              <w:t>High</w:t>
            </w:r>
          </w:p>
        </w:tc>
        <w:tc>
          <w:tcPr>
            <w:tcW w:type="dxa" w:w="3168"/>
            <w:vAlign w:val="center"/>
            <w:tcMar>
              <w:top w:w="65" w:type="dxa"/>
              <w:left w:w="65" w:type="dxa"/>
              <w:bottom w:w="65" w:type="dxa"/>
              <w:right w:w="65" w:type="dxa"/>
            </w:tcMar>
          </w:tcPr>
          <w:p>
            <w:pPr>
              <w:spacing w:before="60" w:after="60" w:line="245" w:lineRule="auto"/>
            </w:pPr>
            <w:r>
              <w:rPr>
                <w:sz w:val="18"/>
              </w:rPr>
              <w:t>Medium</w:t>
            </w:r>
          </w:p>
        </w:tc>
      </w:tr>
      <w:tr>
        <w:trPr>
          <w:cantSplit/>
        </w:trPr>
        <w:tc>
          <w:tcPr>
            <w:tcW w:type="dxa" w:w="936"/>
            <w:vAlign w:val="center"/>
            <w:shd w:fill="F7F6F0"/>
            <w:tcMar>
              <w:top w:w="65" w:type="dxa"/>
              <w:left w:w="65" w:type="dxa"/>
              <w:bottom w:w="65" w:type="dxa"/>
              <w:right w:w="65" w:type="dxa"/>
            </w:tcMar>
          </w:tcPr>
          <w:p>
            <w:pPr>
              <w:spacing w:before="60" w:after="60" w:line="245" w:lineRule="auto"/>
            </w:pPr>
            <w:r>
              <w:rPr>
                <w:sz w:val="18"/>
              </w:rPr>
              <w:t>I5</w:t>
            </w:r>
          </w:p>
        </w:tc>
        <w:tc>
          <w:tcPr>
            <w:tcW w:type="dxa" w:w="2592"/>
            <w:vAlign w:val="center"/>
            <w:shd w:fill="F7F6F0"/>
            <w:tcMar>
              <w:top w:w="65" w:type="dxa"/>
              <w:left w:w="65" w:type="dxa"/>
              <w:bottom w:w="65" w:type="dxa"/>
              <w:right w:w="65" w:type="dxa"/>
            </w:tcMar>
          </w:tcPr>
          <w:p>
            <w:pPr>
              <w:spacing w:before="60" w:after="60" w:line="245" w:lineRule="auto"/>
            </w:pPr>
            <w:r>
              <w:rPr>
                <w:sz w:val="18"/>
              </w:rPr>
              <w:t>Medium</w:t>
            </w:r>
          </w:p>
        </w:tc>
        <w:tc>
          <w:tcPr>
            <w:tcW w:type="dxa" w:w="3240"/>
            <w:vAlign w:val="center"/>
            <w:shd w:fill="F7F6F0"/>
            <w:tcMar>
              <w:top w:w="65" w:type="dxa"/>
              <w:left w:w="65" w:type="dxa"/>
              <w:bottom w:w="65" w:type="dxa"/>
              <w:right w:w="65" w:type="dxa"/>
            </w:tcMar>
          </w:tcPr>
          <w:p>
            <w:pPr>
              <w:spacing w:before="60" w:after="60" w:line="245" w:lineRule="auto"/>
            </w:pPr>
            <w:r>
              <w:rPr>
                <w:sz w:val="18"/>
              </w:rPr>
              <w:t>High</w:t>
            </w:r>
          </w:p>
        </w:tc>
        <w:tc>
          <w:tcPr>
            <w:tcW w:type="dxa" w:w="3168"/>
            <w:vAlign w:val="center"/>
            <w:shd w:fill="F7F6F0"/>
            <w:tcMar>
              <w:top w:w="65" w:type="dxa"/>
              <w:left w:w="65" w:type="dxa"/>
              <w:bottom w:w="65" w:type="dxa"/>
              <w:right w:w="65" w:type="dxa"/>
            </w:tcMar>
          </w:tcPr>
          <w:p>
            <w:pPr>
              <w:spacing w:before="60" w:after="60" w:line="245" w:lineRule="auto"/>
            </w:pPr>
            <w:r>
              <w:rPr>
                <w:sz w:val="18"/>
              </w:rPr>
              <w:t>Medium</w:t>
            </w:r>
          </w:p>
        </w:tc>
      </w:tr>
    </w:tbl>
    <w:p>
      <w:pPr>
        <w:spacing w:after="0"/>
      </w:pPr>
    </w:p>
    <w:p>
      <w:r/>
      <w:r>
        <w:rPr>
          <w:b/>
        </w:rPr>
        <w:t>Selection:</w:t>
      </w:r>
      <w:r>
        <w:t xml:space="preserve"> I4 is the main intervention; I2 supports entry of prescription details. I5 is a proposed field-workflow extension. The software currently implements reviewed prescriptions, shared schedules, self-reported doses and role-based views. It does not establish a validated clinical benefit.</w:t>
      </w:r>
    </w:p>
    <w:p>
      <w:pPr>
        <w:keepNext/>
        <w:spacing w:before="60" w:after="60"/>
        <w:jc w:val="center"/>
      </w:pPr>
      <w:r>
        <w:drawing>
          <wp:inline xmlns:a="http://schemas.openxmlformats.org/drawingml/2006/main" xmlns:pic="http://schemas.openxmlformats.org/drawingml/2006/picture">
            <wp:extent cx="6217920" cy="2611526"/>
            <wp:docPr id="8" name="Picture 8" title="Figure 8" descr="Current prototype architecture. OCR reaches scheduling only through editable fields and human review. [2, 4]"/>
            <wp:cNvGraphicFramePr>
              <a:graphicFrameLocks noChangeAspect="1"/>
            </wp:cNvGraphicFramePr>
            <a:graphic>
              <a:graphicData uri="http://schemas.openxmlformats.org/drawingml/2006/picture">
                <pic:pic>
                  <pic:nvPicPr>
                    <pic:cNvPr id="0" name="08_architecture.png"/>
                    <pic:cNvPicPr/>
                  </pic:nvPicPr>
                  <pic:blipFill>
                    <a:blip r:embed="rId18"/>
                    <a:stretch>
                      <a:fillRect/>
                    </a:stretch>
                  </pic:blipFill>
                  <pic:spPr>
                    <a:xfrm>
                      <a:off x="0" y="0"/>
                      <a:ext cx="6217920" cy="2611526"/>
                    </a:xfrm>
                    <a:prstGeom prst="rect"/>
                  </pic:spPr>
                </pic:pic>
              </a:graphicData>
            </a:graphic>
          </wp:inline>
        </w:drawing>
      </w:r>
    </w:p>
    <w:p>
      <w:pPr>
        <w:pStyle w:val="Caption"/>
      </w:pPr>
      <w:r>
        <w:t>Figure 8. Current prototype architecture. OCR reaches scheduling only through editable fields and human review. [2, 4]</w:t>
      </w:r>
    </w:p>
    <w:p>
      <w:pPr>
        <w:pStyle w:val="Heading2"/>
      </w:pPr>
      <w:r>
        <w:t>Engineering-domain integration</w:t>
      </w:r>
    </w:p>
    <w:tbl>
      <w:tblPr>
        <w:tblW w:type="auto" w:w="0"/>
        <w:jc w:val="center"/>
        <w:tblLayout w:type="fixed"/>
        <w:tblLook w:firstColumn="1" w:firstRow="1" w:lastColumn="0" w:lastRow="0" w:noHBand="0" w:noVBand="1" w:val="04A0"/>
      </w:tblPr>
      <w:tblGrid>
        <w:gridCol w:w="2304"/>
        <w:gridCol w:w="7632"/>
      </w:tblGrid>
      <w:tr>
        <w:trPr>
          <w:tblHeader/>
        </w:trPr>
        <w:tc>
          <w:tcPr>
            <w:tcW w:type="dxa" w:w="2304"/>
            <w:shd w:fill="143D33"/>
            <w:tcMar>
              <w:top w:w="65" w:type="dxa"/>
              <w:left w:w="65" w:type="dxa"/>
              <w:bottom w:w="65" w:type="dxa"/>
              <w:right w:w="65" w:type="dxa"/>
            </w:tcMar>
          </w:tcPr>
          <w:p>
            <w:pPr>
              <w:spacing w:after="60" w:before="60"/>
            </w:pPr>
            <w:r>
              <w:rPr>
                <w:b/>
                <w:color w:val="FFFFFF"/>
                <w:sz w:val="18"/>
              </w:rPr>
              <w:t>Domain</w:t>
            </w:r>
          </w:p>
        </w:tc>
        <w:tc>
          <w:tcPr>
            <w:tcW w:type="dxa" w:w="7632"/>
            <w:shd w:fill="143D33"/>
            <w:tcMar>
              <w:top w:w="65" w:type="dxa"/>
              <w:left w:w="65" w:type="dxa"/>
              <w:bottom w:w="65" w:type="dxa"/>
              <w:right w:w="65" w:type="dxa"/>
            </w:tcMar>
          </w:tcPr>
          <w:p>
            <w:pPr>
              <w:spacing w:after="60" w:before="60"/>
            </w:pPr>
            <w:r>
              <w:rPr>
                <w:b/>
                <w:color w:val="FFFFFF"/>
                <w:sz w:val="18"/>
              </w:rPr>
              <w:t>Applied contribution</w:t>
            </w:r>
          </w:p>
        </w:tc>
      </w:tr>
      <w:tr>
        <w:trPr>
          <w:cantSplit/>
        </w:trPr>
        <w:tc>
          <w:tcPr>
            <w:tcW w:type="dxa" w:w="2304"/>
            <w:vAlign w:val="center"/>
            <w:shd w:fill="F7F6F0"/>
            <w:tcMar>
              <w:top w:w="65" w:type="dxa"/>
              <w:left w:w="65" w:type="dxa"/>
              <w:bottom w:w="65" w:type="dxa"/>
              <w:right w:w="65" w:type="dxa"/>
            </w:tcMar>
          </w:tcPr>
          <w:p>
            <w:pPr>
              <w:spacing w:before="60" w:after="60" w:line="245" w:lineRule="auto"/>
            </w:pPr>
            <w:r>
              <w:rPr>
                <w:sz w:val="18"/>
              </w:rPr>
              <w:t>CSE / software engineering</w:t>
            </w:r>
          </w:p>
        </w:tc>
        <w:tc>
          <w:tcPr>
            <w:tcW w:type="dxa" w:w="7632"/>
            <w:vAlign w:val="center"/>
            <w:shd w:fill="F7F6F0"/>
            <w:tcMar>
              <w:top w:w="65" w:type="dxa"/>
              <w:left w:w="65" w:type="dxa"/>
              <w:bottom w:w="65" w:type="dxa"/>
              <w:right w:w="65" w:type="dxa"/>
            </w:tcMar>
          </w:tcPr>
          <w:p>
            <w:pPr>
              <w:spacing w:before="60" w:after="60" w:line="245" w:lineRule="auto"/>
            </w:pPr>
            <w:r>
              <w:rPr>
                <w:sz w:val="18"/>
              </w:rPr>
              <w:t>React UI, Express API, review gates, household permissions, scheduling and AES-256-GCM record payloads in Neon PostgreSQL.</w:t>
            </w:r>
          </w:p>
        </w:tc>
      </w:tr>
      <w:tr>
        <w:trPr>
          <w:cantSplit/>
        </w:trPr>
        <w:tc>
          <w:tcPr>
            <w:tcW w:type="dxa" w:w="2304"/>
            <w:vAlign w:val="center"/>
            <w:tcMar>
              <w:top w:w="65" w:type="dxa"/>
              <w:left w:w="65" w:type="dxa"/>
              <w:bottom w:w="65" w:type="dxa"/>
              <w:right w:w="65" w:type="dxa"/>
            </w:tcMar>
          </w:tcPr>
          <w:p>
            <w:pPr>
              <w:spacing w:before="60" w:after="60" w:line="245" w:lineRule="auto"/>
            </w:pPr>
            <w:r>
              <w:rPr>
                <w:sz w:val="18"/>
              </w:rPr>
              <w:t>ECE / image processing</w:t>
            </w:r>
          </w:p>
        </w:tc>
        <w:tc>
          <w:tcPr>
            <w:tcW w:type="dxa" w:w="7632"/>
            <w:vAlign w:val="center"/>
            <w:tcMar>
              <w:top w:w="65" w:type="dxa"/>
              <w:left w:w="65" w:type="dxa"/>
              <w:bottom w:w="65" w:type="dxa"/>
              <w:right w:w="65" w:type="dxa"/>
            </w:tcMar>
          </w:tcPr>
          <w:p>
            <w:pPr>
              <w:spacing w:before="60" w:after="60" w:line="245" w:lineRule="auto"/>
            </w:pPr>
            <w:r>
              <w:rPr>
                <w:sz w:val="18"/>
              </w:rPr>
              <w:t>Existing phone camera and image quality; Sharp preparation and OCR input. The project studies capture quality, without claiming a custom camera circuit or sensor.</w:t>
            </w:r>
          </w:p>
        </w:tc>
      </w:tr>
    </w:tbl>
    <w:p>
      <w:pPr>
        <w:spacing w:after="0"/>
      </w:pPr>
    </w:p>
    <w:p>
      <w:r>
        <w:t xml:space="preserve">Human-factors design and care-team input support both domains. </w:t>
      </w:r>
      <w:r>
        <w:rPr>
          <w:b/>
        </w:rPr>
        <w:t>Operational boundary:</w:t>
      </w:r>
      <w:r>
        <w:t xml:space="preserve"> reminders depend on open-app requests; closed-app push/email/WhatsApp/calls are not connected. Attention flags use transparent experimental rules and do not diagnose or change treatment. [2, 4]</w:t>
      </w:r>
    </w:p>
    <w:p>
      <w:r>
        <w:br w:type="page"/>
      </w:r>
    </w:p>
    <w:p>
      <w:pPr>
        <w:spacing w:after="60"/>
      </w:pPr>
      <w:r>
        <w:rPr>
          <w:b/>
          <w:color w:val="536657"/>
          <w:sz w:val="18"/>
        </w:rPr>
        <w:t>MODULE 5 · A</w:t>
      </w:r>
    </w:p>
    <w:p>
      <w:pPr>
        <w:pStyle w:val="Heading1"/>
      </w:pPr>
      <w:r>
        <w:t>Rapid prototyping and the critical assumption</w:t>
      </w:r>
    </w:p>
    <w:p>
      <w:r>
        <w:rPr>
          <w:color w:val="536657"/>
          <w:sz w:val="18"/>
        </w:rPr>
        <w:t>Workbook pp. 24–25 [1]  |  Test the most consequential uncertainty.</w:t>
      </w:r>
    </w:p>
    <w:p>
      <w:pPr>
        <w:shd w:fill="E7EDDF"/>
        <w:spacing w:before="80" w:after="120"/>
      </w:pPr>
      <w:r/>
      <w:r>
        <w:rPr>
          <w:b/>
        </w:rPr>
        <w:t>Critical assumption:</w:t>
      </w:r>
      <w:r>
        <w:t xml:space="preserve"> a caregiver can correct and verify all five extracted medication fields, with every field correct and each review completed in </w:t>
      </w:r>
      <w:r>
        <w:rPr>
          <w:b/>
        </w:rPr>
        <w:t>under 30 seconds</w:t>
      </w:r>
      <w:r>
        <w:t>. This is a proposed test of review accuracy and effort, not a claim of safe clinical use. [3]</w:t>
      </w:r>
    </w:p>
    <w:tbl>
      <w:tblPr>
        <w:tblW w:type="auto" w:w="0"/>
        <w:jc w:val="center"/>
        <w:tblLayout w:type="fixed"/>
        <w:tblLook w:firstColumn="1" w:firstRow="1" w:lastColumn="0" w:lastRow="0" w:noHBand="0" w:noVBand="1" w:val="04A0"/>
      </w:tblPr>
      <w:tblGrid>
        <w:gridCol w:w="2952"/>
        <w:gridCol w:w="2088"/>
        <w:gridCol w:w="4896"/>
      </w:tblGrid>
      <w:tr>
        <w:trPr>
          <w:tblHeader/>
        </w:trPr>
        <w:tc>
          <w:tcPr>
            <w:tcW w:type="dxa" w:w="2952"/>
            <w:shd w:fill="143D33"/>
            <w:tcMar>
              <w:top w:w="65" w:type="dxa"/>
              <w:left w:w="65" w:type="dxa"/>
              <w:bottom w:w="65" w:type="dxa"/>
              <w:right w:w="65" w:type="dxa"/>
            </w:tcMar>
          </w:tcPr>
          <w:p>
            <w:pPr>
              <w:spacing w:after="60" w:before="60"/>
            </w:pPr>
            <w:r>
              <w:rPr>
                <w:b/>
                <w:color w:val="FFFFFF"/>
                <w:sz w:val="18"/>
              </w:rPr>
              <w:t>Assumption</w:t>
            </w:r>
          </w:p>
        </w:tc>
        <w:tc>
          <w:tcPr>
            <w:tcW w:type="dxa" w:w="2088"/>
            <w:shd w:fill="143D33"/>
            <w:tcMar>
              <w:top w:w="65" w:type="dxa"/>
              <w:left w:w="65" w:type="dxa"/>
              <w:bottom w:w="65" w:type="dxa"/>
              <w:right w:w="65" w:type="dxa"/>
            </w:tcMar>
          </w:tcPr>
          <w:p>
            <w:pPr>
              <w:spacing w:after="60" w:before="60"/>
            </w:pPr>
            <w:r>
              <w:rPr>
                <w:b/>
                <w:color w:val="FFFFFF"/>
                <w:sz w:val="18"/>
              </w:rPr>
              <w:t>Severity / uncertainty</w:t>
            </w:r>
          </w:p>
        </w:tc>
        <w:tc>
          <w:tcPr>
            <w:tcW w:type="dxa" w:w="4896"/>
            <w:shd w:fill="143D33"/>
            <w:tcMar>
              <w:top w:w="65" w:type="dxa"/>
              <w:left w:w="65" w:type="dxa"/>
              <w:bottom w:w="65" w:type="dxa"/>
              <w:right w:w="65" w:type="dxa"/>
            </w:tcMar>
          </w:tcPr>
          <w:p>
            <w:pPr>
              <w:spacing w:after="60" w:before="60"/>
            </w:pPr>
            <w:r>
              <w:rPr>
                <w:b/>
                <w:color w:val="FFFFFF"/>
                <w:sz w:val="18"/>
              </w:rPr>
              <w:t>Current response</w:t>
            </w:r>
          </w:p>
        </w:tc>
      </w:tr>
      <w:tr>
        <w:trPr>
          <w:cantSplit/>
        </w:trPr>
        <w:tc>
          <w:tcPr>
            <w:tcW w:type="dxa" w:w="2952"/>
            <w:vAlign w:val="center"/>
            <w:shd w:fill="F7F6F0"/>
            <w:tcMar>
              <w:top w:w="65" w:type="dxa"/>
              <w:left w:w="65" w:type="dxa"/>
              <w:bottom w:w="65" w:type="dxa"/>
              <w:right w:w="65" w:type="dxa"/>
            </w:tcMar>
          </w:tcPr>
          <w:p>
            <w:pPr>
              <w:spacing w:before="60" w:after="60" w:line="245" w:lineRule="auto"/>
            </w:pPr>
            <w:r>
              <w:rPr>
                <w:sz w:val="18"/>
              </w:rPr>
              <w:t>C1 · Accurate, quick human review</w:t>
            </w:r>
          </w:p>
        </w:tc>
        <w:tc>
          <w:tcPr>
            <w:tcW w:type="dxa" w:w="2088"/>
            <w:vAlign w:val="center"/>
            <w:shd w:fill="F7F6F0"/>
            <w:tcMar>
              <w:top w:w="65" w:type="dxa"/>
              <w:left w:w="65" w:type="dxa"/>
              <w:bottom w:w="65" w:type="dxa"/>
              <w:right w:w="65" w:type="dxa"/>
            </w:tcMar>
          </w:tcPr>
          <w:p>
            <w:pPr>
              <w:spacing w:before="60" w:after="60" w:line="245" w:lineRule="auto"/>
            </w:pPr>
            <w:r>
              <w:rPr>
                <w:sz w:val="18"/>
              </w:rPr>
              <w:t>High / high</w:t>
            </w:r>
          </w:p>
        </w:tc>
        <w:tc>
          <w:tcPr>
            <w:tcW w:type="dxa" w:w="4896"/>
            <w:vAlign w:val="center"/>
            <w:shd w:fill="F7F6F0"/>
            <w:tcMar>
              <w:top w:w="65" w:type="dxa"/>
              <w:left w:w="65" w:type="dxa"/>
              <w:bottom w:w="65" w:type="dxa"/>
              <w:right w:w="65" w:type="dxa"/>
            </w:tcMar>
          </w:tcPr>
          <w:p>
            <w:pPr>
              <w:spacing w:before="60" w:after="60" w:line="245" w:lineRule="auto"/>
            </w:pPr>
            <w:r>
              <w:rPr>
                <w:sz w:val="18"/>
              </w:rPr>
              <w:t>Editable drafts; required confirmation; volunteer study pending.</w:t>
            </w:r>
          </w:p>
        </w:tc>
      </w:tr>
      <w:tr>
        <w:trPr>
          <w:cantSplit/>
        </w:trPr>
        <w:tc>
          <w:tcPr>
            <w:tcW w:type="dxa" w:w="2952"/>
            <w:vAlign w:val="center"/>
            <w:tcMar>
              <w:top w:w="65" w:type="dxa"/>
              <w:left w:w="65" w:type="dxa"/>
              <w:bottom w:w="65" w:type="dxa"/>
              <w:right w:w="65" w:type="dxa"/>
            </w:tcMar>
          </w:tcPr>
          <w:p>
            <w:pPr>
              <w:spacing w:before="60" w:after="60" w:line="245" w:lineRule="auto"/>
            </w:pPr>
            <w:r>
              <w:rPr>
                <w:sz w:val="18"/>
              </w:rPr>
              <w:t>C2 · Self-reports accurately reflect dose-taking</w:t>
            </w:r>
          </w:p>
        </w:tc>
        <w:tc>
          <w:tcPr>
            <w:tcW w:type="dxa" w:w="2088"/>
            <w:vAlign w:val="center"/>
            <w:tcMar>
              <w:top w:w="65" w:type="dxa"/>
              <w:left w:w="65" w:type="dxa"/>
              <w:bottom w:w="65" w:type="dxa"/>
              <w:right w:w="65" w:type="dxa"/>
            </w:tcMar>
          </w:tcPr>
          <w:p>
            <w:pPr>
              <w:spacing w:before="60" w:after="60" w:line="245" w:lineRule="auto"/>
            </w:pPr>
            <w:r>
              <w:rPr>
                <w:sz w:val="18"/>
              </w:rPr>
              <w:t>High / high</w:t>
            </w:r>
          </w:p>
        </w:tc>
        <w:tc>
          <w:tcPr>
            <w:tcW w:type="dxa" w:w="4896"/>
            <w:vAlign w:val="center"/>
            <w:tcMar>
              <w:top w:w="65" w:type="dxa"/>
              <w:left w:w="65" w:type="dxa"/>
              <w:bottom w:w="65" w:type="dxa"/>
              <w:right w:w="65" w:type="dxa"/>
            </w:tcMar>
          </w:tcPr>
          <w:p>
            <w:pPr>
              <w:spacing w:before="60" w:after="60" w:line="245" w:lineRule="auto"/>
            </w:pPr>
            <w:r>
              <w:rPr>
                <w:sz w:val="18"/>
              </w:rPr>
              <w:t>Treat entries as self-reports; do not infer actual ingestion.</w:t>
            </w:r>
          </w:p>
        </w:tc>
      </w:tr>
      <w:tr>
        <w:trPr>
          <w:cantSplit/>
        </w:trPr>
        <w:tc>
          <w:tcPr>
            <w:tcW w:type="dxa" w:w="2952"/>
            <w:vAlign w:val="center"/>
            <w:shd w:fill="F7F6F0"/>
            <w:tcMar>
              <w:top w:w="65" w:type="dxa"/>
              <w:left w:w="65" w:type="dxa"/>
              <w:bottom w:w="65" w:type="dxa"/>
              <w:right w:w="65" w:type="dxa"/>
            </w:tcMar>
          </w:tcPr>
          <w:p>
            <w:pPr>
              <w:spacing w:before="60" w:after="60" w:line="245" w:lineRule="auto"/>
            </w:pPr>
            <w:r>
              <w:rPr>
                <w:sz w:val="18"/>
              </w:rPr>
              <w:t>C3 · Free hosting meets required availability</w:t>
            </w:r>
          </w:p>
        </w:tc>
        <w:tc>
          <w:tcPr>
            <w:tcW w:type="dxa" w:w="2088"/>
            <w:vAlign w:val="center"/>
            <w:shd w:fill="F7F6F0"/>
            <w:tcMar>
              <w:top w:w="65" w:type="dxa"/>
              <w:left w:w="65" w:type="dxa"/>
              <w:bottom w:w="65" w:type="dxa"/>
              <w:right w:w="65" w:type="dxa"/>
            </w:tcMar>
          </w:tcPr>
          <w:p>
            <w:pPr>
              <w:spacing w:before="60" w:after="60" w:line="245" w:lineRule="auto"/>
            </w:pPr>
            <w:r>
              <w:rPr>
                <w:sz w:val="18"/>
              </w:rPr>
              <w:t>Medium / medium</w:t>
            </w:r>
          </w:p>
        </w:tc>
        <w:tc>
          <w:tcPr>
            <w:tcW w:type="dxa" w:w="4896"/>
            <w:vAlign w:val="center"/>
            <w:shd w:fill="F7F6F0"/>
            <w:tcMar>
              <w:top w:w="65" w:type="dxa"/>
              <w:left w:w="65" w:type="dxa"/>
              <w:bottom w:w="65" w:type="dxa"/>
              <w:right w:w="65" w:type="dxa"/>
            </w:tcMar>
          </w:tcPr>
          <w:p>
            <w:pPr>
              <w:spacing w:before="60" w:after="60" w:line="245" w:lineRule="auto"/>
            </w:pPr>
            <w:r>
              <w:rPr>
                <w:sz w:val="18"/>
              </w:rPr>
              <w:t>Durable storage and failure states; quotas and cold starts remain.</w:t>
            </w:r>
          </w:p>
        </w:tc>
      </w:tr>
      <w:tr>
        <w:trPr>
          <w:cantSplit/>
        </w:trPr>
        <w:tc>
          <w:tcPr>
            <w:tcW w:type="dxa" w:w="2952"/>
            <w:vAlign w:val="center"/>
            <w:tcMar>
              <w:top w:w="65" w:type="dxa"/>
              <w:left w:w="65" w:type="dxa"/>
              <w:bottom w:w="65" w:type="dxa"/>
              <w:right w:w="65" w:type="dxa"/>
            </w:tcMar>
          </w:tcPr>
          <w:p>
            <w:pPr>
              <w:spacing w:before="60" w:after="60" w:line="245" w:lineRule="auto"/>
            </w:pPr>
            <w:r>
              <w:rPr>
                <w:sz w:val="18"/>
              </w:rPr>
              <w:t>C4 · Access stays within authorized roles</w:t>
            </w:r>
          </w:p>
        </w:tc>
        <w:tc>
          <w:tcPr>
            <w:tcW w:type="dxa" w:w="2088"/>
            <w:vAlign w:val="center"/>
            <w:tcMar>
              <w:top w:w="65" w:type="dxa"/>
              <w:left w:w="65" w:type="dxa"/>
              <w:bottom w:w="65" w:type="dxa"/>
              <w:right w:w="65" w:type="dxa"/>
            </w:tcMar>
          </w:tcPr>
          <w:p>
            <w:pPr>
              <w:spacing w:before="60" w:after="60" w:line="245" w:lineRule="auto"/>
            </w:pPr>
            <w:r>
              <w:rPr>
                <w:sz w:val="18"/>
              </w:rPr>
              <w:t>High / medium</w:t>
            </w:r>
          </w:p>
        </w:tc>
        <w:tc>
          <w:tcPr>
            <w:tcW w:type="dxa" w:w="4896"/>
            <w:vAlign w:val="center"/>
            <w:tcMar>
              <w:top w:w="65" w:type="dxa"/>
              <w:left w:w="65" w:type="dxa"/>
              <w:bottom w:w="65" w:type="dxa"/>
              <w:right w:w="65" w:type="dxa"/>
            </w:tcMar>
          </w:tcPr>
          <w:p>
            <w:pPr>
              <w:spacing w:before="60" w:after="60" w:line="245" w:lineRule="auto"/>
            </w:pPr>
            <w:r>
              <w:rPr>
                <w:sz w:val="18"/>
              </w:rPr>
              <w:t>Household, role and consent checks tested; production privacy duties remain.</w:t>
            </w:r>
          </w:p>
        </w:tc>
      </w:tr>
    </w:tbl>
    <w:p>
      <w:pPr>
        <w:spacing w:after="0"/>
      </w:pPr>
    </w:p>
    <w:p>
      <w:pPr>
        <w:keepNext/>
        <w:spacing w:before="60" w:after="60"/>
        <w:jc w:val="center"/>
      </w:pPr>
      <w:r>
        <w:drawing>
          <wp:inline xmlns:a="http://schemas.openxmlformats.org/drawingml/2006/main" xmlns:pic="http://schemas.openxmlformats.org/drawingml/2006/picture">
            <wp:extent cx="6217920" cy="2362810"/>
            <wp:docPr id="9" name="Picture 9" title="Figure 9" descr="Qualitative risk selection. Positions are design judgements, not probabilities; C1 is the selected experiment."/>
            <wp:cNvGraphicFramePr>
              <a:graphicFrameLocks noChangeAspect="1"/>
            </wp:cNvGraphicFramePr>
            <a:graphic>
              <a:graphicData uri="http://schemas.openxmlformats.org/drawingml/2006/picture">
                <pic:pic>
                  <pic:nvPicPr>
                    <pic:cNvPr id="0" name="09_risk_matrix.png"/>
                    <pic:cNvPicPr/>
                  </pic:nvPicPr>
                  <pic:blipFill>
                    <a:blip r:embed="rId19"/>
                    <a:stretch>
                      <a:fillRect/>
                    </a:stretch>
                  </pic:blipFill>
                  <pic:spPr>
                    <a:xfrm>
                      <a:off x="0" y="0"/>
                      <a:ext cx="6217920" cy="2362810"/>
                    </a:xfrm>
                    <a:prstGeom prst="rect"/>
                  </pic:spPr>
                </pic:pic>
              </a:graphicData>
            </a:graphic>
          </wp:inline>
        </w:drawing>
      </w:r>
    </w:p>
    <w:p>
      <w:pPr>
        <w:pStyle w:val="Caption"/>
      </w:pPr>
      <w:r>
        <w:t>Figure 9. Qualitative risk selection. Positions are design judgements, not probabilities; C1 is the selected experiment.</w:t>
      </w:r>
    </w:p>
    <w:p>
      <w:pPr>
        <w:pStyle w:val="Heading2"/>
      </w:pPr>
      <w:r>
        <w:t>Proposed experiment — not yet conducted</w:t>
      </w:r>
    </w:p>
    <w:p>
      <w:r/>
      <w:r>
        <w:rPr>
          <w:b/>
        </w:rPr>
        <w:t>1.</w:t>
      </w:r>
      <w:r>
        <w:t xml:space="preserve"> Recruit five consenting volunteers; assign four fictional cards each: 20 review tasks, balanced across clear and difficult images.</w:t>
      </w:r>
    </w:p>
    <w:p>
      <w:r/>
      <w:r>
        <w:rPr>
          <w:b/>
        </w:rPr>
        <w:t>2.</w:t>
      </w:r>
      <w:r>
        <w:t xml:space="preserve"> Independently verify reference name, strength, amount, frequency and duration. Save raw output before correction.</w:t>
      </w:r>
    </w:p>
    <w:p>
      <w:r/>
      <w:r>
        <w:rPr>
          <w:b/>
        </w:rPr>
        <w:t>3.</w:t>
      </w:r>
      <w:r>
        <w:t xml:space="preserve"> Time draft display to submission. Retain errors, retakes, rejected reads and manual fallbacks; report median and P90.</w:t>
      </w:r>
    </w:p>
    <w:p>
      <w:r/>
      <w:r>
        <w:rPr>
          <w:b/>
        </w:rPr>
        <w:t>4.</w:t>
      </w:r>
      <w:r>
        <w:t xml:space="preserve"> Check final fields against the references. Separately verify explicit times, dates and timezone. Run a balanced manual-entry round before claiming time savings.</w:t>
      </w:r>
    </w:p>
    <w:p>
      <w:r>
        <w:rPr>
          <w:color w:val="536657"/>
          <w:sz w:val="18"/>
        </w:rPr>
      </w:r>
      <w:r>
        <w:rPr>
          <w:b/>
          <w:color w:val="536657"/>
          <w:sz w:val="18"/>
        </w:rPr>
        <w:t>Pass:</w:t>
      </w:r>
      <w:r>
        <w:rPr>
          <w:color w:val="536657"/>
          <w:sz w:val="18"/>
        </w:rPr>
        <w:t xml:space="preserve"> every field correct in every task and every task &lt;30 s. </w:t>
      </w:r>
      <w:r>
        <w:rPr>
          <w:b/>
          <w:color w:val="536657"/>
          <w:sz w:val="18"/>
        </w:rPr>
        <w:t>Fail:</w:t>
      </w:r>
      <w:r>
        <w:rPr>
          <w:color w:val="536657"/>
          <w:sz w:val="18"/>
        </w:rPr>
        <w:t xml:space="preserve"> any field error or task ≥30 s. The target applies to review, not complete account or household setup. [3]</w:t>
      </w:r>
    </w:p>
    <w:p>
      <w:r>
        <w:br w:type="page"/>
      </w:r>
    </w:p>
    <w:p>
      <w:pPr>
        <w:spacing w:after="60"/>
      </w:pPr>
      <w:r>
        <w:rPr>
          <w:b/>
          <w:color w:val="536657"/>
          <w:sz w:val="18"/>
        </w:rPr>
        <w:t>MODULE 5 · B</w:t>
      </w:r>
    </w:p>
    <w:p>
      <w:pPr>
        <w:pStyle w:val="Heading1"/>
      </w:pPr>
      <w:r>
        <w:t>Measured results and validation conclusion</w:t>
      </w:r>
    </w:p>
    <w:p>
      <w:r>
        <w:rPr>
          <w:color w:val="536657"/>
          <w:sz w:val="18"/>
        </w:rPr>
        <w:t>Project records [2–4]  |  Separate engineering evidence from field outcomes.</w:t>
      </w:r>
    </w:p>
    <w:p>
      <w:pPr>
        <w:keepNext/>
        <w:spacing w:before="60" w:after="60"/>
        <w:jc w:val="center"/>
      </w:pPr>
      <w:r>
        <w:drawing>
          <wp:inline xmlns:a="http://schemas.openxmlformats.org/drawingml/2006/main" xmlns:pic="http://schemas.openxmlformats.org/drawingml/2006/picture">
            <wp:extent cx="6217920" cy="2487168"/>
            <wp:docPr id="10" name="Picture 10" title="Figure 10" descr="Exact raw OCR matches on 20 generated printed cards, using the local Python/native-Tesseract pipeline. [3]"/>
            <wp:cNvGraphicFramePr>
              <a:graphicFrameLocks noChangeAspect="1"/>
            </wp:cNvGraphicFramePr>
            <a:graphic>
              <a:graphicData uri="http://schemas.openxmlformats.org/drawingml/2006/picture">
                <pic:pic>
                  <pic:nvPicPr>
                    <pic:cNvPr id="0" name="10_ocr_results.png"/>
                    <pic:cNvPicPr/>
                  </pic:nvPicPr>
                  <pic:blipFill>
                    <a:blip r:embed="rId20"/>
                    <a:stretch>
                      <a:fillRect/>
                    </a:stretch>
                  </pic:blipFill>
                  <pic:spPr>
                    <a:xfrm>
                      <a:off x="0" y="0"/>
                      <a:ext cx="6217920" cy="2487168"/>
                    </a:xfrm>
                    <a:prstGeom prst="rect"/>
                  </pic:spPr>
                </pic:pic>
              </a:graphicData>
            </a:graphic>
          </wp:inline>
        </w:drawing>
      </w:r>
    </w:p>
    <w:p>
      <w:pPr>
        <w:pStyle w:val="Caption"/>
      </w:pPr>
      <w:r>
        <w:t>Figure 10. Exact raw OCR matches on 20 generated printed cards, using the local Python/native-Tesseract pipeline. [3]</w:t>
      </w:r>
    </w:p>
    <w:p>
      <w:r>
        <w:t xml:space="preserve">All five fields matched on </w:t>
      </w:r>
      <w:r>
        <w:rPr>
          <w:b/>
        </w:rPr>
        <w:t>13/20 cards (65%)</w:t>
      </w:r>
      <w:r>
        <w:t xml:space="preserve">; </w:t>
      </w:r>
      <w:r>
        <w:rPr>
          <w:b/>
        </w:rPr>
        <w:t>7/20 (35%)</w:t>
      </w:r>
      <w:r>
        <w:t xml:space="preserve"> had at least one mismatch. Skew, faint print and clutter exposed failures. These figures describe synthetic printed inputs, not handwriting, real prescriptions or accuracy of the hosted Tesseract.js engine.</w:t>
      </w:r>
    </w:p>
    <w:p>
      <w:r/>
      <w:r>
        <w:rPr>
          <w:b/>
        </w:rPr>
        <w:t>Recorded software evidence:</w:t>
      </w:r>
      <w:r>
        <w:t xml:space="preserve"> 114 passing cases across completed runs: 57 Node, 10 MongoDB, 9 PostgreSQL, 21 Python and 17 browser cases. They test behavior, permissions, review gates and persistence; they are separate from the pending volunteer study. [4]</w:t>
      </w:r>
    </w:p>
    <w:p>
      <w:pPr>
        <w:pStyle w:val="Heading2"/>
      </w:pPr>
      <w:r>
        <w:t>Required before/after comparison</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shd w:fill="143D33"/>
            <w:tcMar>
              <w:top w:w="65" w:type="dxa"/>
              <w:left w:w="65" w:type="dxa"/>
              <w:bottom w:w="65" w:type="dxa"/>
              <w:right w:w="65" w:type="dxa"/>
            </w:tcMar>
          </w:tcPr>
          <w:p>
            <w:pPr>
              <w:spacing w:after="60" w:before="60"/>
            </w:pPr>
            <w:r>
              <w:rPr>
                <w:b/>
                <w:color w:val="FFFFFF"/>
                <w:sz w:val="18"/>
              </w:rPr>
              <w:t>Module 1 measure</w:t>
            </w:r>
          </w:p>
        </w:tc>
        <w:tc>
          <w:tcPr>
            <w:tcW w:type="dxa" w:w="2736"/>
            <w:shd w:fill="143D33"/>
            <w:tcMar>
              <w:top w:w="65" w:type="dxa"/>
              <w:left w:w="65" w:type="dxa"/>
              <w:bottom w:w="65" w:type="dxa"/>
              <w:right w:w="65" w:type="dxa"/>
            </w:tcMar>
          </w:tcPr>
          <w:p>
            <w:pPr>
              <w:spacing w:after="60" w:before="60"/>
            </w:pPr>
            <w:r>
              <w:rPr>
                <w:b/>
                <w:color w:val="FFFFFF"/>
                <w:sz w:val="18"/>
              </w:rPr>
              <w:t>Before intervention</w:t>
            </w:r>
          </w:p>
        </w:tc>
        <w:tc>
          <w:tcPr>
            <w:tcW w:type="dxa" w:w="2736"/>
            <w:shd w:fill="143D33"/>
            <w:tcMar>
              <w:top w:w="65" w:type="dxa"/>
              <w:left w:w="65" w:type="dxa"/>
              <w:bottom w:w="65" w:type="dxa"/>
              <w:right w:w="65" w:type="dxa"/>
            </w:tcMar>
          </w:tcPr>
          <w:p>
            <w:pPr>
              <w:spacing w:after="60" w:before="60"/>
            </w:pPr>
            <w:r>
              <w:rPr>
                <w:b/>
                <w:color w:val="FFFFFF"/>
                <w:sz w:val="18"/>
              </w:rPr>
              <w:t>After intervention</w:t>
            </w:r>
          </w:p>
        </w:tc>
      </w:tr>
      <w:tr>
        <w:trPr>
          <w:cantSplit/>
        </w:trPr>
        <w:tc>
          <w:tcPr>
            <w:tcW w:type="dxa" w:w="4464"/>
            <w:vAlign w:val="center"/>
            <w:shd w:fill="F7F6F0"/>
            <w:tcMar>
              <w:top w:w="65" w:type="dxa"/>
              <w:left w:w="65" w:type="dxa"/>
              <w:bottom w:w="65" w:type="dxa"/>
              <w:right w:w="65" w:type="dxa"/>
            </w:tcMar>
          </w:tcPr>
          <w:p>
            <w:pPr>
              <w:spacing w:before="60" w:after="60" w:line="245" w:lineRule="auto"/>
            </w:pPr>
            <w:r>
              <w:rPr>
                <w:sz w:val="18"/>
              </w:rPr>
              <w:t>A · Median checked-plan setup time, minutes</w:t>
            </w:r>
          </w:p>
        </w:tc>
        <w:tc>
          <w:tcPr>
            <w:tcW w:type="dxa" w:w="2736"/>
            <w:vAlign w:val="center"/>
            <w:shd w:fill="F7F6F0"/>
            <w:tcMar>
              <w:top w:w="65" w:type="dxa"/>
              <w:left w:w="65" w:type="dxa"/>
              <w:bottom w:w="65" w:type="dxa"/>
              <w:right w:w="65" w:type="dxa"/>
            </w:tcMar>
          </w:tcPr>
          <w:p>
            <w:pPr>
              <w:spacing w:before="60" w:after="60" w:line="245" w:lineRule="auto"/>
            </w:pPr>
            <w:r>
              <w:rPr>
                <w:sz w:val="18"/>
              </w:rPr>
              <w:t>Not measured locally</w:t>
            </w:r>
          </w:p>
        </w:tc>
        <w:tc>
          <w:tcPr>
            <w:tcW w:type="dxa" w:w="2736"/>
            <w:vAlign w:val="center"/>
            <w:shd w:fill="F7F6F0"/>
            <w:tcMar>
              <w:top w:w="65" w:type="dxa"/>
              <w:left w:w="65" w:type="dxa"/>
              <w:bottom w:w="65" w:type="dxa"/>
              <w:right w:w="65" w:type="dxa"/>
            </w:tcMar>
          </w:tcPr>
          <w:p>
            <w:pPr>
              <w:spacing w:before="60" w:after="60" w:line="245" w:lineRule="auto"/>
            </w:pPr>
            <w:r>
              <w:rPr>
                <w:sz w:val="18"/>
              </w:rPr>
              <w:t>Not measured locally</w:t>
            </w:r>
          </w:p>
        </w:tc>
      </w:tr>
      <w:tr>
        <w:trPr>
          <w:cantSplit/>
        </w:trPr>
        <w:tc>
          <w:tcPr>
            <w:tcW w:type="dxa" w:w="4464"/>
            <w:vAlign w:val="center"/>
            <w:tcMar>
              <w:top w:w="65" w:type="dxa"/>
              <w:left w:w="65" w:type="dxa"/>
              <w:bottom w:w="65" w:type="dxa"/>
              <w:right w:w="65" w:type="dxa"/>
            </w:tcMar>
          </w:tcPr>
          <w:p>
            <w:pPr>
              <w:spacing w:before="60" w:after="60" w:line="245" w:lineRule="auto"/>
            </w:pPr>
            <w:r>
              <w:rPr>
                <w:sz w:val="18"/>
              </w:rPr>
              <w:t>B · Unresolved due-dose status at cutoff, %</w:t>
            </w:r>
          </w:p>
        </w:tc>
        <w:tc>
          <w:tcPr>
            <w:tcW w:type="dxa" w:w="2736"/>
            <w:vAlign w:val="center"/>
            <w:tcMar>
              <w:top w:w="65" w:type="dxa"/>
              <w:left w:w="65" w:type="dxa"/>
              <w:bottom w:w="65" w:type="dxa"/>
              <w:right w:w="65" w:type="dxa"/>
            </w:tcMar>
          </w:tcPr>
          <w:p>
            <w:pPr>
              <w:spacing w:before="60" w:after="60" w:line="245" w:lineRule="auto"/>
            </w:pPr>
            <w:r>
              <w:rPr>
                <w:sz w:val="18"/>
              </w:rPr>
              <w:t>Not measured locally</w:t>
            </w:r>
          </w:p>
        </w:tc>
        <w:tc>
          <w:tcPr>
            <w:tcW w:type="dxa" w:w="2736"/>
            <w:vAlign w:val="center"/>
            <w:tcMar>
              <w:top w:w="65" w:type="dxa"/>
              <w:left w:w="65" w:type="dxa"/>
              <w:bottom w:w="65" w:type="dxa"/>
              <w:right w:w="65" w:type="dxa"/>
            </w:tcMar>
          </w:tcPr>
          <w:p>
            <w:pPr>
              <w:spacing w:before="60" w:after="60" w:line="245" w:lineRule="auto"/>
            </w:pPr>
            <w:r>
              <w:rPr>
                <w:sz w:val="18"/>
              </w:rPr>
              <w:t>Not measured locally</w:t>
            </w:r>
          </w:p>
        </w:tc>
      </w:tr>
    </w:tbl>
    <w:p>
      <w:pPr>
        <w:spacing w:after="0"/>
      </w:pPr>
    </w:p>
    <w:p>
      <w:r>
        <w:rPr>
          <w:color w:val="536657"/>
          <w:sz w:val="18"/>
        </w:rPr>
        <w:t>Use comparable observation periods and the same review cutoff. Exclude future doses. The OCR benchmark and software tests cannot replace these local field baselines.</w:t>
      </w:r>
    </w:p>
    <w:p>
      <w:pPr>
        <w:pStyle w:val="Heading2"/>
      </w:pPr>
      <w:r>
        <w:t>Conclusion and next iteration</w:t>
      </w:r>
    </w:p>
    <w:p>
      <w:pPr>
        <w:shd w:fill="E7EDDF"/>
        <w:spacing w:before="80" w:after="120"/>
      </w:pPr>
      <w:r>
        <w:t xml:space="preserve">The software workflow is demonstrated, but the critical human-review assumption is </w:t>
      </w:r>
      <w:r>
        <w:rPr>
          <w:b/>
        </w:rPr>
        <w:t>not yet validated</w:t>
      </w:r>
      <w:r>
        <w:t>. Required review and manual entry provide recovery paths; no measured post-review accuracy or improvement in medication adherence has been established.</w:t>
      </w:r>
    </w:p>
    <w:p>
      <w:pPr>
        <w:pStyle w:val="ListBullet"/>
        <w:spacing w:after="60" w:line="252" w:lineRule="auto"/>
      </w:pPr>
      <w:r>
        <w:t>Run the controlled review study; improve capture guidance where errors persist.</w:t>
      </w:r>
    </w:p>
    <w:p>
      <w:pPr>
        <w:pStyle w:val="ListBullet"/>
        <w:spacing w:after="60" w:line="252" w:lineRule="auto"/>
      </w:pPr>
      <w:r>
        <w:t>Collect consented local baseline A/B data, then compare the proposed intervention.</w:t>
      </w:r>
    </w:p>
    <w:p>
      <w:pPr>
        <w:pStyle w:val="ListBullet"/>
        <w:spacing w:after="60" w:line="252" w:lineRule="auto"/>
      </w:pPr>
      <w:r>
        <w:t>Validate handover and workload effects before extending notifications or clinical use.</w:t>
      </w:r>
    </w:p>
    <w:p>
      <w:r>
        <w:br w:type="page"/>
      </w:r>
    </w:p>
    <w:p>
      <w:pPr>
        <w:spacing w:after="60"/>
      </w:pPr>
      <w:r>
        <w:rPr>
          <w:b/>
          <w:color w:val="536657"/>
          <w:sz w:val="18"/>
        </w:rPr>
        <w:t>SYNTHESIS AND SOURCES</w:t>
      </w:r>
    </w:p>
    <w:p>
      <w:pPr>
        <w:pStyle w:val="Heading1"/>
      </w:pPr>
      <w:r>
        <w:t>What makes the project distinctive</w:t>
      </w:r>
    </w:p>
    <w:p>
      <w:r>
        <w:rPr>
          <w:color w:val="536657"/>
          <w:sz w:val="18"/>
        </w:rPr>
        <w:t>A clear contribution, bounded claims and a traceable next experiment.</w:t>
      </w:r>
    </w:p>
    <w:p>
      <w:pPr>
        <w:pStyle w:val="Heading2"/>
      </w:pPr>
      <w:r>
        <w:t>Project contribution</w:t>
      </w:r>
    </w:p>
    <w:p>
      <w:r>
        <w:t>RecoverTrack addresses recovery coordination through a reviewed shared record, visible reporting history and role-based access. Its systems contribution is the connection between understandable instructions, household information flow and appropriate human follow-up. The prototype combines image capture, human correction, scheduling and daily reports in one workflow while keeping treatment decisions with people.</w:t>
      </w:r>
    </w:p>
    <w:tbl>
      <w:tblPr>
        <w:tblW w:type="auto" w:w="0"/>
        <w:jc w:val="center"/>
        <w:tblLayout w:type="fixed"/>
        <w:tblLook w:firstColumn="1" w:firstRow="1" w:lastColumn="0" w:lastRow="0" w:noHBand="0" w:noVBand="1" w:val="04A0"/>
      </w:tblPr>
      <w:tblGrid>
        <w:gridCol w:w="2592"/>
        <w:gridCol w:w="7344"/>
      </w:tblGrid>
      <w:tr>
        <w:trPr>
          <w:tblHeader/>
        </w:trPr>
        <w:tc>
          <w:tcPr>
            <w:tcW w:type="dxa" w:w="2592"/>
            <w:shd w:fill="143D33"/>
            <w:tcMar>
              <w:top w:w="65" w:type="dxa"/>
              <w:left w:w="65" w:type="dxa"/>
              <w:bottom w:w="65" w:type="dxa"/>
              <w:right w:w="65" w:type="dxa"/>
            </w:tcMar>
          </w:tcPr>
          <w:p>
            <w:pPr>
              <w:spacing w:after="60" w:before="60"/>
            </w:pPr>
            <w:r>
              <w:rPr>
                <w:b/>
                <w:color w:val="FFFFFF"/>
                <w:sz w:val="18"/>
              </w:rPr>
              <w:t>Strength</w:t>
            </w:r>
          </w:p>
        </w:tc>
        <w:tc>
          <w:tcPr>
            <w:tcW w:type="dxa" w:w="7344"/>
            <w:shd w:fill="143D33"/>
            <w:tcMar>
              <w:top w:w="65" w:type="dxa"/>
              <w:left w:w="65" w:type="dxa"/>
              <w:bottom w:w="65" w:type="dxa"/>
              <w:right w:w="65" w:type="dxa"/>
            </w:tcMar>
          </w:tcPr>
          <w:p>
            <w:pPr>
              <w:spacing w:after="60" w:before="60"/>
            </w:pPr>
            <w:r>
              <w:rPr>
                <w:b/>
                <w:color w:val="FFFFFF"/>
                <w:sz w:val="18"/>
              </w:rPr>
              <w:t>Evidence or boundary</w:t>
            </w:r>
          </w:p>
        </w:tc>
      </w:tr>
      <w:tr>
        <w:trPr>
          <w:cantSplit/>
        </w:trPr>
        <w:tc>
          <w:tcPr>
            <w:tcW w:type="dxa" w:w="2592"/>
            <w:vAlign w:val="center"/>
            <w:shd w:fill="F7F6F0"/>
            <w:tcMar>
              <w:top w:w="65" w:type="dxa"/>
              <w:left w:w="65" w:type="dxa"/>
              <w:bottom w:w="65" w:type="dxa"/>
              <w:right w:w="65" w:type="dxa"/>
            </w:tcMar>
          </w:tcPr>
          <w:p>
            <w:pPr>
              <w:spacing w:before="60" w:after="60" w:line="245" w:lineRule="auto"/>
            </w:pPr>
            <w:r>
              <w:rPr>
                <w:sz w:val="18"/>
              </w:rPr>
              <w:t>System-level reasoning</w:t>
            </w:r>
          </w:p>
        </w:tc>
        <w:tc>
          <w:tcPr>
            <w:tcW w:type="dxa" w:w="7344"/>
            <w:vAlign w:val="center"/>
            <w:shd w:fill="F7F6F0"/>
            <w:tcMar>
              <w:top w:w="65" w:type="dxa"/>
              <w:left w:w="65" w:type="dxa"/>
              <w:bottom w:w="65" w:type="dxa"/>
              <w:right w:w="65" w:type="dxa"/>
            </w:tcMar>
          </w:tcPr>
          <w:p>
            <w:pPr>
              <w:spacing w:before="60" w:after="60" w:line="245" w:lineRule="auto"/>
            </w:pPr>
            <w:r>
              <w:rPr>
                <w:sz w:val="18"/>
              </w:rPr>
              <w:t>PID → stakeholder structure → feedback → leverage → prototype.</w:t>
            </w:r>
          </w:p>
        </w:tc>
      </w:tr>
      <w:tr>
        <w:trPr>
          <w:cantSplit/>
        </w:trPr>
        <w:tc>
          <w:tcPr>
            <w:tcW w:type="dxa" w:w="2592"/>
            <w:vAlign w:val="center"/>
            <w:tcMar>
              <w:top w:w="65" w:type="dxa"/>
              <w:left w:w="65" w:type="dxa"/>
              <w:bottom w:w="65" w:type="dxa"/>
              <w:right w:w="65" w:type="dxa"/>
            </w:tcMar>
          </w:tcPr>
          <w:p>
            <w:pPr>
              <w:spacing w:before="60" w:after="60" w:line="245" w:lineRule="auto"/>
            </w:pPr>
            <w:r>
              <w:rPr>
                <w:sz w:val="18"/>
              </w:rPr>
              <w:t>Controlled prescription transfer</w:t>
            </w:r>
          </w:p>
        </w:tc>
        <w:tc>
          <w:tcPr>
            <w:tcW w:type="dxa" w:w="7344"/>
            <w:vAlign w:val="center"/>
            <w:tcMar>
              <w:top w:w="65" w:type="dxa"/>
              <w:left w:w="65" w:type="dxa"/>
              <w:bottom w:w="65" w:type="dxa"/>
              <w:right w:w="65" w:type="dxa"/>
            </w:tcMar>
          </w:tcPr>
          <w:p>
            <w:pPr>
              <w:spacing w:before="60" w:after="60" w:line="245" w:lineRule="auto"/>
            </w:pPr>
            <w:r>
              <w:rPr>
                <w:sz w:val="18"/>
              </w:rPr>
              <w:t>Extracted fields remain drafts until review; manual entry stays available.</w:t>
            </w:r>
          </w:p>
        </w:tc>
      </w:tr>
      <w:tr>
        <w:trPr>
          <w:cantSplit/>
        </w:trPr>
        <w:tc>
          <w:tcPr>
            <w:tcW w:type="dxa" w:w="2592"/>
            <w:vAlign w:val="center"/>
            <w:shd w:fill="F7F6F0"/>
            <w:tcMar>
              <w:top w:w="65" w:type="dxa"/>
              <w:left w:w="65" w:type="dxa"/>
              <w:bottom w:w="65" w:type="dxa"/>
              <w:right w:w="65" w:type="dxa"/>
            </w:tcMar>
          </w:tcPr>
          <w:p>
            <w:pPr>
              <w:spacing w:before="60" w:after="60" w:line="245" w:lineRule="auto"/>
            </w:pPr>
            <w:r>
              <w:rPr>
                <w:sz w:val="18"/>
              </w:rPr>
              <w:t>Transparent attention flags</w:t>
            </w:r>
          </w:p>
        </w:tc>
        <w:tc>
          <w:tcPr>
            <w:tcW w:type="dxa" w:w="7344"/>
            <w:vAlign w:val="center"/>
            <w:shd w:fill="F7F6F0"/>
            <w:tcMar>
              <w:top w:w="65" w:type="dxa"/>
              <w:left w:w="65" w:type="dxa"/>
              <w:bottom w:w="65" w:type="dxa"/>
              <w:right w:w="65" w:type="dxa"/>
            </w:tcMar>
          </w:tcPr>
          <w:p>
            <w:pPr>
              <w:spacing w:before="60" w:after="60" w:line="245" w:lineRule="auto"/>
            </w:pPr>
            <w:r>
              <w:rPr>
                <w:sz w:val="18"/>
              </w:rPr>
              <w:t>Rules summarize recorded patterns; no diagnosis or clinical prediction claim.</w:t>
            </w:r>
          </w:p>
        </w:tc>
      </w:tr>
      <w:tr>
        <w:trPr>
          <w:cantSplit/>
        </w:trPr>
        <w:tc>
          <w:tcPr>
            <w:tcW w:type="dxa" w:w="2592"/>
            <w:vAlign w:val="center"/>
            <w:tcMar>
              <w:top w:w="65" w:type="dxa"/>
              <w:left w:w="65" w:type="dxa"/>
              <w:bottom w:w="65" w:type="dxa"/>
              <w:right w:w="65" w:type="dxa"/>
            </w:tcMar>
          </w:tcPr>
          <w:p>
            <w:pPr>
              <w:spacing w:before="60" w:after="60" w:line="245" w:lineRule="auto"/>
            </w:pPr>
            <w:r>
              <w:rPr>
                <w:sz w:val="18"/>
              </w:rPr>
              <w:t>Accountable sharing</w:t>
            </w:r>
          </w:p>
        </w:tc>
        <w:tc>
          <w:tcPr>
            <w:tcW w:type="dxa" w:w="7344"/>
            <w:vAlign w:val="center"/>
            <w:tcMar>
              <w:top w:w="65" w:type="dxa"/>
              <w:left w:w="65" w:type="dxa"/>
              <w:bottom w:w="65" w:type="dxa"/>
              <w:right w:w="65" w:type="dxa"/>
            </w:tcMar>
          </w:tcPr>
          <w:p>
            <w:pPr>
              <w:spacing w:before="60" w:after="60" w:line="245" w:lineRule="auto"/>
            </w:pPr>
            <w:r>
              <w:rPr>
                <w:sz w:val="18"/>
              </w:rPr>
              <w:t>Individual roles, household permissions, consent and actor history.</w:t>
            </w:r>
          </w:p>
        </w:tc>
      </w:tr>
      <w:tr>
        <w:trPr>
          <w:cantSplit/>
        </w:trPr>
        <w:tc>
          <w:tcPr>
            <w:tcW w:type="dxa" w:w="2592"/>
            <w:vAlign w:val="center"/>
            <w:shd w:fill="F7F6F0"/>
            <w:tcMar>
              <w:top w:w="65" w:type="dxa"/>
              <w:left w:w="65" w:type="dxa"/>
              <w:bottom w:w="65" w:type="dxa"/>
              <w:right w:w="65" w:type="dxa"/>
            </w:tcMar>
          </w:tcPr>
          <w:p>
            <w:pPr>
              <w:spacing w:before="60" w:after="60" w:line="245" w:lineRule="auto"/>
            </w:pPr>
            <w:r>
              <w:rPr>
                <w:sz w:val="18"/>
              </w:rPr>
              <w:t>Honest evaluation</w:t>
            </w:r>
          </w:p>
        </w:tc>
        <w:tc>
          <w:tcPr>
            <w:tcW w:type="dxa" w:w="7344"/>
            <w:vAlign w:val="center"/>
            <w:shd w:fill="F7F6F0"/>
            <w:tcMar>
              <w:top w:w="65" w:type="dxa"/>
              <w:left w:w="65" w:type="dxa"/>
              <w:bottom w:w="65" w:type="dxa"/>
              <w:right w:w="65" w:type="dxa"/>
            </w:tcMar>
          </w:tcPr>
          <w:p>
            <w:pPr>
              <w:spacing w:before="60" w:after="60" w:line="245" w:lineRule="auto"/>
            </w:pPr>
            <w:r>
              <w:rPr>
                <w:sz w:val="18"/>
              </w:rPr>
              <w:t>Raw OCR limitations are reported; field and volunteer targets stay unclaimed.</w:t>
            </w:r>
          </w:p>
        </w:tc>
      </w:tr>
    </w:tbl>
    <w:p>
      <w:pPr>
        <w:spacing w:after="0"/>
      </w:pPr>
    </w:p>
    <w:p>
      <w:pPr>
        <w:pStyle w:val="Heading2"/>
      </w:pPr>
      <w:r>
        <w:t>Before submitting the final record</w:t>
      </w:r>
    </w:p>
    <w:p>
      <w:r/>
      <w:r>
        <w:rPr>
          <w:b/>
        </w:rPr>
        <w:t>1.</w:t>
      </w:r>
      <w:r>
        <w:t xml:space="preserve"> Replace the proposed local scope with your actual approved site and participant details.</w:t>
      </w:r>
    </w:p>
    <w:p>
      <w:r/>
      <w:r>
        <w:rPr>
          <w:b/>
        </w:rPr>
        <w:t>2.</w:t>
      </w:r>
      <w:r>
        <w:t xml:space="preserve"> Add cited local A/B measurements and genuine stakeholder notes; do not invent quotations or results.</w:t>
      </w:r>
    </w:p>
    <w:p>
      <w:r/>
      <w:r>
        <w:rPr>
          <w:b/>
        </w:rPr>
        <w:t>3.</w:t>
      </w:r>
      <w:r>
        <w:t xml:space="preserve"> Run the review study, record failures and update the CLD and conclusion when evidence changes.</w:t>
      </w:r>
    </w:p>
    <w:p>
      <w:pPr>
        <w:pStyle w:val="Heading2"/>
      </w:pPr>
      <w:r>
        <w:t>Sources and traceability</w:t>
      </w:r>
    </w:p>
    <w:p>
      <w:r>
        <w:rPr>
          <w:color w:val="536657"/>
          <w:sz w:val="18"/>
        </w:rPr>
      </w:r>
      <w:r>
        <w:rPr>
          <w:b/>
          <w:color w:val="536657"/>
          <w:sz w:val="18"/>
        </w:rPr>
        <w:t>[1] Supplied PSE workbook:</w:t>
      </w:r>
      <w:r>
        <w:rPr>
          <w:color w:val="536657"/>
          <w:sz w:val="18"/>
        </w:rPr>
        <w:t xml:space="preserve"> “PSE All Modules 1 2 3 4 5.pdf,” 25 pages. Module 1: pp. 4–8; Module 2: pp. 9–15; Module 3: pp. 16–20; Module 4: pp. 21–23; Module 5: pp. 24–25. Frameworks and selection-axis definitions come from this document.</w:t>
      </w:r>
    </w:p>
    <w:p>
      <w:r>
        <w:rPr>
          <w:color w:val="536657"/>
          <w:sz w:val="18"/>
        </w:rPr>
      </w:r>
      <w:r>
        <w:rPr>
          <w:b/>
          <w:color w:val="536657"/>
          <w:sz w:val="18"/>
        </w:rPr>
        <w:t>[2] RecoverTrack project source:</w:t>
      </w:r>
      <w:r>
        <w:rPr>
          <w:color w:val="536657"/>
          <w:sz w:val="18"/>
        </w:rPr>
        <w:t xml:space="preserve"> README.md, docs/IMPLEMENTATION.md and server/intelligence-node.mjs. Current architecture and implemented limits take precedence over the older proposal PDFs’ planned TrOCR, logistic-regression, MongoDB and external-notification stack.</w:t>
      </w:r>
    </w:p>
    <w:p>
      <w:r>
        <w:rPr>
          <w:color w:val="536657"/>
          <w:sz w:val="18"/>
        </w:rPr>
      </w:r>
      <w:r>
        <w:rPr>
          <w:b/>
          <w:color w:val="536657"/>
          <w:sz w:val="18"/>
        </w:rPr>
        <w:t>[3] OCR evaluation:</w:t>
      </w:r>
      <w:r>
        <w:rPr>
          <w:color w:val="536657"/>
          <w:sz w:val="18"/>
        </w:rPr>
        <w:t xml:space="preserve"> docs/OCR_EVALUATION.md and docs/ocr-evaluation.json, recorded 23 October 2026; 20 generated printed cards with field-level references. The human-review study is still pending.</w:t>
      </w:r>
    </w:p>
    <w:p>
      <w:r>
        <w:rPr>
          <w:color w:val="536657"/>
          <w:sz w:val="18"/>
        </w:rPr>
      </w:r>
      <w:r>
        <w:rPr>
          <w:b/>
          <w:color w:val="536657"/>
          <w:sz w:val="18"/>
        </w:rPr>
        <w:t>[4] Software verification:</w:t>
      </w:r>
      <w:r>
        <w:rPr>
          <w:color w:val="536657"/>
          <w:sz w:val="18"/>
        </w:rPr>
        <w:t xml:space="preserve"> docs/VALIDATION.md, completed project test runs; the 114-case count spans separate suites/runs. It is not a patient sample or a clinical outcome study.</w:t>
      </w:r>
    </w:p>
    <w:p>
      <w:hyperlink r:id="rId21">
        <w:r>
          <w:rPr>
            <w:color w:val="143D33"/>
            <w:u w:val="single"/>
          </w:rPr>
          <w:t>Repository and supporting project records</w:t>
        </w:r>
      </w:hyperlink>
    </w:p>
    <w:p>
      <w:hyperlink r:id="rId22">
        <w:r>
          <w:rPr>
            <w:color w:val="143D33"/>
            <w:u w:val="single"/>
          </w:rPr>
          <w:t>Live prototype</w:t>
        </w:r>
      </w:hyperlink>
    </w:p>
    <w:p>
      <w:r>
        <w:rPr>
          <w:rFonts w:ascii="Arial" w:hAnsi="Arial"/>
          <w:sz w:val="18"/>
        </w:rPr>
        <w:t>All ten diagrams and charts are embedded in this Word document. Print or copy them into your record book with their captions and evidence labels. No separate diagram files are needed.</w:t>
      </w:r>
    </w:p>
    <w:sectPr w:rsidR="00FC693F" w:rsidRPr="0006063C" w:rsidSect="00034616">
      <w:headerReference w:type="default" r:id="rId9"/>
      <w:footerReference w:type="default" r:id="rId10"/>
      <w:pgSz w:w="11905" w:h="16838"/>
      <w:pgMar w:top="907" w:right="950" w:bottom="893" w:left="950"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Arial" w:hAnsi="Arial"/>
        <w:color w:val="536657"/>
        <w:sz w:val="16"/>
      </w:rPr>
      <w:t>Modules 1–5  •  Project-stage system study</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6657"/>
        <w:sz w:val="16"/>
      </w:rPr>
      <w:t>RECOVERTRACK  /  PSE PROJECT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color w:val="213B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143D33"/>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43D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13B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213B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Arial" w:hAnsi="Arial"/>
      <w:b/>
      <w:bCs/>
      <w:color w:val="53665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github.com/Candypopppsss/Recover_track" TargetMode="External"/><Relationship Id="rId22" Type="http://schemas.openxmlformats.org/officeDocument/2006/relationships/hyperlink" Target="https://recovertrack-pink.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RecoverTrack — Complete PSE Modules 1–5 with Diagrams</dc:title>
  <dc:subject>Concise systems-thinking project record with diagrams and evidence boundaries</dc:subject>
  <dc:creator>RecoverTrack Project Team</dc:creator>
  <cp:keywords>RecoverTrack, PSE, PID, systems thinking, causal loops, prototype validation</cp:keywords>
  <dc:description>Prepared from the supplied PSE workbook and project records. Field measurements and human-review results are not fabricated.</dc:description>
  <cp:lastModifiedBy/>
  <cp:revision>1</cp:revision>
  <dcterms:created xsi:type="dcterms:W3CDTF">2013-12-23T23:15:00Z</dcterms:created>
  <dcterms:modified xsi:type="dcterms:W3CDTF">2013-12-23T23:15:00Z</dcterms:modified>
  <cp:category/>
</cp:coreProperties>
</file>