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t>실제 파렛트 영상의 의사 레이블을 이용한</w:t>
        <w:br/>
        <w:t>DOPE 자기학습 성능 평가</w:t>
      </w:r>
    </w:p>
    <w:p>
      <w:pPr>
        <w:ind w:firstLine="0"/>
        <w:jc w:val="center"/>
      </w:pPr>
      <w:r>
        <w:rPr>
          <w:rFonts w:ascii="NanumGothic" w:hAnsi="NanumGothic" w:eastAsia="NanumGothic" w:cs="NanumGothic"/>
          <w:b w:val="0"/>
          <w:color w:val="000000"/>
          <w:sz w:val="22"/>
        </w:rPr>
        <w:t>Evaluation of DOPE Self Training Using Pseudo Labels from Real Pallet Images</w:t>
      </w:r>
    </w:p>
    <w:p>
      <w:pPr>
        <w:pStyle w:val="Heading2"/>
      </w:pPr>
      <w:r>
        <w:t>국문초록</w:t>
      </w:r>
    </w:p>
    <w:p>
      <w:r>
        <w:t>합성 영상으로 학습한 물체 자세 추정 모델은 실제 촬영 환경의 조명, 재질 및 배경 변화에 따라 예측 성능이 달라질 수 있다. 본 연구는 DOPE를 기반으로 실제 파렛트 영상에서 의사 레이블(pseudo-label)을 생성하고, 이를 합성 데이터와 함께 재학습하는 자기학습(self-training) 절차를 구현하여 성능 변화를 평가한다. 직사각형 플라스틱, 소형 목재, 정사각형 녹색 플라스틱의 실제 학습 영상은 종류별로 분리하였다. 예측의 신뢰도, RANSAC 기하 적합성, 한 점을 제외한 재추정인 LOO 및 수평 반전 일관성을 이용하여 학습할 기준점을 선별하였다.</w:t>
      </w:r>
    </w:p>
    <w:p>
      <w:r>
        <w:t>기본 모델과 고정된 1차 및 2차 자기학습 모델을 292장의 주 평가 영상에서 비교하였다. 원본 영상의 기준점 오차가 10픽셀 이내인 비율인 PCK@10px는 2차 학습에서 직사각형 플라스틱 26.19%에서 39.49%, 소형 목재 29.77%에서 60.12%, 녹색 플라스틱 47.72%에서 69.67%로 증가하였다. 일반 플라스틱 184장 전체를 사용한 별도 보조 평가에서도 29.87%에서 47.06%로 증가하였다.</w:t>
      </w:r>
    </w:p>
    <w:p>
      <w:r>
        <w:t>동일한 횟수로 합성 데이터만 추가 학습한 대조군과 비교하면 주 평가의 2차 PCK@10px에서 목재만 더 높은 값을 보였다. 따라서 기본 모델 대비 개선을 자기학습만의 효과로 모두 해석하지 않고, 파렛트 종류와 필터 조건에 따른 차이를 함께 분석하였다. 본 결과는 단일 시드와 반복 평가 자료에 대한 2차원 기준점 비교이며 독립적인 실제 6차원 자세 정확도 검증을 뜻하지 않는다.</w:t>
      </w:r>
    </w:p>
    <w:p>
      <w:r>
        <w:t>주제어  DOPE, 파렛트, 자기학습, 의사 레이블, 합성 데이터, 기준점 추정</w:t>
      </w:r>
    </w:p>
    <w:p>
      <w:pPr>
        <w:pStyle w:val="Heading1"/>
        <w:pageBreakBefore/>
        <w:ind w:firstLine="0"/>
      </w:pPr>
      <w:r>
        <w:t>Abstract</w:t>
      </w:r>
    </w:p>
    <w:p>
      <w:r>
        <w:t>This study evaluates self training of a DOPE model using pseudo labels obtained from real pallet images. Separate real-image pools are used for rectangular plastic, small wood, and square green plastic pallets, while a common synthetic set is retained during training. Predicted corners are screened using confidence, RANSAC, leave one out pose fitting, and horizontal flip consistency. Accepted raw corner predictions supervise masked belief maps, without replacing the targets with projected corners.</w:t>
      </w:r>
    </w:p>
    <w:p>
      <w:r>
        <w:t>The baseline and two fixed self-training rounds are compared on 292 reference-evaluation images. PCK at a 10-pixel threshold increases from 26.19% to 39.49% for rectangular plastic, from 29.77% to 60.12% for wood, and from 47.72% to 69.67% for green plastic after the second round. A separate evaluation of all 184 plastic images increases from 29.87% to 47.06%. An ablation removes flip consistency while retaining the remaining geometric filters.</w:t>
      </w:r>
    </w:p>
    <w:p>
      <w:r>
        <w:t>A matched control continues training on synthetic data alone. Self training exceeds this control for wood in the second-round primary PCK comparison, but not for every pallet type. The findings support an empirical account of adapting DOPE to available real pallet images, with mixed results across data types and filtering conditions. All rounds are reported, rather than choosing a checkpoint from evaluation outcomes. The results use one seed and repeated reference evaluations, and do not constitute an independent physical six-dimensional pose benchmark.</w:t>
      </w:r>
    </w:p>
    <w:p>
      <w:r>
        <w:t>Keywords  DOPE, pallet, self training, pseudo label, synthetic data, keypoint estimation</w:t>
      </w:r>
    </w:p>
    <w:p>
      <w:pPr>
        <w:pStyle w:val="Heading1"/>
        <w:pageBreakBefore/>
        <w:ind w:firstLine="0"/>
      </w:pPr>
      <w:r>
        <w:t>목차</w:t>
      </w:r>
    </w:p>
    <w:p>
      <w:pPr>
        <w:spacing w:after="180"/>
        <w:ind w:firstLine="0"/>
      </w:pPr>
      <w:r>
        <w:t>제1장 서론    4</w:t>
      </w:r>
    </w:p>
    <w:p>
      <w:pPr>
        <w:spacing w:after="180"/>
        <w:ind w:firstLine="0"/>
      </w:pPr>
      <w:r>
        <w:t>제2장 관련 연구    5</w:t>
      </w:r>
    </w:p>
    <w:p>
      <w:pPr>
        <w:spacing w:after="180"/>
        <w:ind w:firstLine="0"/>
      </w:pPr>
      <w:r>
        <w:t>제3장 자기학습 방법  1 전체 절차와 종류별 학습    6</w:t>
      </w:r>
    </w:p>
    <w:p>
      <w:pPr>
        <w:spacing w:after="180"/>
        <w:ind w:firstLine="0"/>
      </w:pPr>
      <w:r>
        <w:t>제3장 자기학습 방법  2 기준점 선별 조건    7</w:t>
      </w:r>
    </w:p>
    <w:p>
      <w:pPr>
        <w:spacing w:after="180"/>
        <w:ind w:firstLine="0"/>
      </w:pPr>
      <w:r>
        <w:t>제3장 자기학습 방법  3 목표 함수와 최적화    8</w:t>
      </w:r>
    </w:p>
    <w:p>
      <w:pPr>
        <w:spacing w:after="180"/>
        <w:ind w:firstLine="0"/>
      </w:pPr>
      <w:r>
        <w:t>제4장 실험 자료와 조건  1 데이터 구성    9</w:t>
      </w:r>
    </w:p>
    <w:p>
      <w:pPr>
        <w:spacing w:after="180"/>
        <w:ind w:firstLine="0"/>
      </w:pPr>
      <w:r>
        <w:t>제4장 실험 자료와 조건  2 평가 지표와 비교 방법    10</w:t>
      </w:r>
    </w:p>
    <w:p>
      <w:pPr>
        <w:spacing w:after="180"/>
        <w:ind w:firstLine="0"/>
      </w:pPr>
      <w:r>
        <w:t>제5장 실험 결과  1 LOO와 flip을 사용한 주 결과    11</w:t>
      </w:r>
    </w:p>
    <w:p>
      <w:pPr>
        <w:spacing w:after="180"/>
        <w:ind w:firstLine="0"/>
      </w:pPr>
      <w:r>
        <w:t>제5장 실험 결과  2 학습 차수와 의사 레이블 수    12</w:t>
      </w:r>
    </w:p>
    <w:p>
      <w:pPr>
        <w:spacing w:after="180"/>
        <w:ind w:firstLine="0"/>
      </w:pPr>
      <w:r>
        <w:t>제5장 실험 결과  3 flip 제거 비교    13</w:t>
      </w:r>
    </w:p>
    <w:p>
      <w:pPr>
        <w:spacing w:after="180"/>
        <w:ind w:firstLine="0"/>
      </w:pPr>
      <w:r>
        <w:t>제5장 실험 결과  4 보조 평가    14</w:t>
      </w:r>
    </w:p>
    <w:p>
      <w:pPr>
        <w:spacing w:after="180"/>
        <w:ind w:firstLine="0"/>
      </w:pPr>
      <w:r>
        <w:t>제6장 고찰    15</w:t>
      </w:r>
    </w:p>
    <w:p>
      <w:pPr>
        <w:spacing w:after="180"/>
        <w:ind w:firstLine="0"/>
      </w:pPr>
      <w:r>
        <w:t>제7장 결론    16</w:t>
      </w:r>
    </w:p>
    <w:p>
      <w:pPr>
        <w:spacing w:after="180"/>
        <w:ind w:firstLine="0"/>
      </w:pPr>
      <w:r>
        <w:t>참고문헌    17</w:t>
      </w:r>
    </w:p>
    <w:p>
      <w:pPr>
        <w:spacing w:after="180"/>
        <w:ind w:firstLine="0"/>
      </w:pPr>
      <w:r>
        <w:t>부록 재현 자료와 실험 식별    18</w:t>
      </w:r>
    </w:p>
    <w:p>
      <w:r>
        <w:t>본문의 표와 그림은 고정된 실험 결과에서 생성하였다. 단위가 %인 PCK와 %p인 변화량을 구분하여 읽는다.</w:t>
      </w:r>
    </w:p>
    <w:p>
      <w:pPr>
        <w:pStyle w:val="Heading1"/>
        <w:pageBreakBefore/>
        <w:ind w:firstLine="0"/>
      </w:pPr>
      <w:r>
        <w:t>제1장 서론</w:t>
      </w:r>
    </w:p>
    <w:p>
      <w:pPr>
        <w:pStyle w:val="Heading2"/>
      </w:pPr>
      <w:r>
        <w:t>1 연구 배경</w:t>
      </w:r>
    </w:p>
    <w:p>
      <w:r>
        <w:t>물류 현장에서 파렛트의 위치와 방향을 인식하려면 영상에서 물체의 기준점을 안정적으로 찾는 과정이 필요하다. DOPE는 RGB 영상으로부터 물체의 3차원 경계 상자에 대응하는 기준점을 예측하고, 알려진 물체 형상과 카메라 정보를 사용하여 자세를 계산하는 방법이다[1]. 본 연구에서는 이 과정 중 실제 영상의 2차원 기준점 예측을 평가 대상으로 삼는다.</w:t>
      </w:r>
    </w:p>
    <w:p>
      <w:r>
        <w:t>합성 영상은 기준점 주석을 자동으로 얻을 수 있어 학습 자료를 확보하기에 유리하다. 다만 합성과 실제 영상의 외관 차이 때문에 합성 학습 모델의 실제 영상 성능을 별도로 확인해야 한다. 실제 영상 전체에 새 정답을 작성하는 대신, 기존 모델의 예측 중 신뢰할 수 있는 부분을 학습에 이용하는 자기학습을 적용할 수 있다.</w:t>
      </w:r>
    </w:p>
    <w:p>
      <w:pPr>
        <w:pStyle w:val="Heading2"/>
      </w:pPr>
      <w:r>
        <w:t>2 연구 목적과 범위</w:t>
      </w:r>
    </w:p>
    <w:p>
      <w:r>
        <w:t>본 연구의 목적은 현재 확보한 합성 학습 모델과 실제 파렛트 자료를 이용하여 DOPE 자기학습 절차를 구성하고, 학습 전후의 성능 변화를 수치로 확인하는 것이다. 새로운 신경망 구조의 제안이나 모든 대조군에 대한 일관된 우수성을 전제로 두지 않는다. 세 종류의 파렛트를 각각 학습하고 1차와 2차 결과를 모두 보고하여, 적용 가능한 조건과 성능이 제한되는 조건을 구분한다.</w:t>
      </w:r>
    </w:p>
    <w:p>
      <w:r>
        <w:t>실험은 기본 모델 대비 변화, 같은 학습량의 합성 추가학습 대비 변화, flip 일관성 사용 여부에 따른 차이를 다룬다. 학습에는 평가 주석을 사용하지 않는다. 평가 자료가 이미 분석에 사용된 기록이 있고 일부 기준점의 생성 출처가 혼합되어 있으므로, 연구 범위는 보유 자료에서 수행한 반복적인 2차원 기준점 성능 평가로 한정한다.</w:t>
      </w:r>
    </w:p>
    <w:p>
      <w:pPr>
        <w:pStyle w:val="Heading2"/>
      </w:pPr>
      <w:r>
        <w:t>3 논문의 구성</w:t>
      </w:r>
    </w:p>
    <w:p>
      <w:r>
        <w:t>제2장은 DOPE와 자기학습 관련 연구를 정리한다. 제3장은 의사 레이블 선별과 학습 방법을 설명하고, 제4장은 데이터 및 평가 조건을 기술한다. 제5장은 주 결과와 비교 실험을 제시한다. 제6장은 결과의 의미와 한계를 논의하며, 제7장에서 결론을 제시한다.</w:t>
      </w:r>
    </w:p>
    <w:p>
      <w:pPr>
        <w:pStyle w:val="Heading1"/>
        <w:pageBreakBefore/>
        <w:ind w:firstLine="0"/>
      </w:pPr>
      <w:r>
        <w:t>제2장 관련 연구</w:t>
      </w:r>
    </w:p>
    <w:p>
      <w:pPr>
        <w:pStyle w:val="Heading2"/>
      </w:pPr>
      <w:r>
        <w:t>1 합성 영상 기반 물체 자세 추정</w:t>
      </w:r>
    </w:p>
    <w:p>
      <w:r>
        <w:t>Tremblay 등의 DOPE는 합성 데이터로 학습한 RGB 기반 자세 추정을 로봇 파지에 적용하였다[1]. Tobin 등의 도메인 무작위화 연구는 렌더링의 외관과 환경을 변화시키며 합성에서 실제 영상으로의 전이를 다루었다[2]. 이들 연구는 합성 데이터 활용의 배경을 제공하지만, 본 실험의 특정 파렛트 자료에서 얻은 정확도를 보장하지는 않는다.</w:t>
      </w:r>
    </w:p>
    <w:p>
      <w:pPr>
        <w:pStyle w:val="Heading2"/>
      </w:pPr>
      <w:r>
        <w:t>2 의사 레이블을 이용한 자기학습</w:t>
      </w:r>
    </w:p>
    <w:p>
      <w:r>
        <w:t>Noisy Student는 teacher의 의사 레이블을 활용하여 student를 학습하고 잡음을 주는 자기학습 방식을 연구하였다[3]. FixMatch는 신뢰도가 높은 의사 레이블과 약한 증강 및 강한 증강 간의 일관성을 결합한 반지도학습 방법이다[4]. 본 연구 역시 모델 예측을 실제 영상의 학습 신호로 사용하지만, 해당 방법들을 그대로 재현하지는 않는다. 분류 레이블 대신 DOPE의 기준점 예측을 사용하고, 물체 기하와 LOO 및 flip 조건으로 감독할 기준점을 선택한다.</w:t>
      </w:r>
    </w:p>
    <w:p>
      <w:pPr>
        <w:pStyle w:val="Heading2"/>
      </w:pPr>
      <w:r>
        <w:t>3 기하 적합성과 의사 레이블 선별</w:t>
      </w:r>
    </w:p>
    <w:p>
      <w:r>
        <w:t>EPnP는 알려진 3차원 점과 2차원 대응점으로부터 카메라 자세를 구하는 방법이다[5]. RANSAC은 이상치를 포함한 관측에서 모델에 맞는 지지 집합을 찾는 데 사용된다[6]. 본 실험은 이 기하 추정을 의사 레이블 검사에 사용한다. 검사 대상 점을 자세 적합에 포함시키면 그 점의 예측 오류를 스스로 설명할 수 있으므로, LOO 검사에서는 해당 점을 제외한 나머지 지지점으로 자세를 다시 적합한다.</w:t>
      </w:r>
    </w:p>
    <w:p>
      <w:r>
        <w:t>수평 반전 일관성은 원본 영상과 반전 영상의 예측을 같은 좌표계와 의미 채널로 돌려놓은 뒤 비교하는 조건이다. 이는 본 실험에서 구현한 필터 구성 요소이며 독립적인 정확도 보증 조건은 아니다. 본 연구는 이 조건의 포함 여부를 별도 비교하여, 의사 레이블 수와 최종 성능이 어떻게 달라지는지 확인한다.</w:t>
      </w:r>
    </w:p>
    <w:p>
      <w:pPr>
        <w:pStyle w:val="Heading1"/>
        <w:pageBreakBefore/>
        <w:ind w:firstLine="0"/>
      </w:pPr>
      <w:r>
        <w:t>제3장 자기학습 방법</w:t>
      </w:r>
    </w:p>
    <w:p>
      <w:pPr>
        <w:ind w:firstLine="0"/>
      </w:pPr>
      <w:r>
        <w:rPr>
          <w:rFonts w:ascii="NanumGothic" w:hAnsi="NanumGothic" w:eastAsia="NanumGothic" w:cs="NanumGothic"/>
          <w:b/>
          <w:color w:val="000000"/>
          <w:sz w:val="24"/>
        </w:rPr>
        <w:t>1 전체 절차와 종류별 학습</w:t>
      </w:r>
    </w:p>
    <w:p>
      <w:pPr>
        <w:keepNext/>
        <w:spacing w:line="240" w:lineRule="auto"/>
        <w:ind w:firstLine="0"/>
        <w:jc w:val="center"/>
      </w:pPr>
      <w:r>
        <w:drawing>
          <wp:inline xmlns:a="http://schemas.openxmlformats.org/drawingml/2006/main" xmlns:pic="http://schemas.openxmlformats.org/drawingml/2006/picture">
            <wp:extent cx="5806440" cy="2057657"/>
            <wp:docPr id="1" name="Picture 1" descr="그림 1 종류별 DOPE 자기학습 절차"/>
            <wp:cNvGraphicFramePr>
              <a:graphicFrameLocks noChangeAspect="1"/>
            </wp:cNvGraphicFramePr>
            <a:graphic>
              <a:graphicData uri="http://schemas.openxmlformats.org/drawingml/2006/picture">
                <pic:pic>
                  <pic:nvPicPr>
                    <pic:cNvPr id="0" name="fig01_pipeline.png"/>
                    <pic:cNvPicPr/>
                  </pic:nvPicPr>
                  <pic:blipFill>
                    <a:blip r:embed="rId10"/>
                    <a:stretch>
                      <a:fillRect/>
                    </a:stretch>
                  </pic:blipFill>
                  <pic:spPr>
                    <a:xfrm>
                      <a:off x="0" y="0"/>
                      <a:ext cx="5806440" cy="2057657"/>
                    </a:xfrm>
                    <a:prstGeom prst="rect"/>
                  </pic:spPr>
                </pic:pic>
              </a:graphicData>
            </a:graphic>
          </wp:inline>
        </w:drawing>
      </w:r>
    </w:p>
    <w:p>
      <w:pPr>
        <w:pStyle w:val="Caption"/>
      </w:pPr>
      <w:r>
        <w:t>그림 1 종류별 DOPE 자기학습 절차</w:t>
      </w:r>
    </w:p>
    <w:p>
      <w:r>
        <w:t>기본 모델 R0는 합성 데이터로 학습된 고정 체크포인트이다. 각 파렛트 종류의 실제 학습 후보 1,000장에 R0를 적용한 뒤, 필터를 통과한 영상과 기준점으로 1차 의사 레이블 집합을 만든다. R0에서 시작하여 합성 데이터와 이 집합을 함께 사용해 R1을 학습한다. 이어서 해당 종류의 R1을 teacher로 사용해 같은 후보 풀의 의사 레이블을 갱신하고, R1의 가중치와 최적화 상태를 이어 R2를 학습한다.</w:t>
      </w:r>
    </w:p>
    <w:p>
      <w:r>
        <w:t>세 종류의 실제 영상은 서로 섞지 않는다. 녹색 파렛트의 R1과 R2는 녹색 실제 영상에서 얻은 의사 레이블만 사용하며, 목재와 일반 플라스틱도 각각 같은 원칙을 따른다. 합성 데이터 2,212장은 세 종류 모델과 합성 추가학습 대조군에서 공통으로 사용한다. 이 합성 자료의 개별 항목을 실제 재질 세 종류에 정확히 대응시키는 자산 정보는 확인되지 않았다.</w:t>
      </w:r>
    </w:p>
    <w:p>
      <w:r>
        <w:t>주 실험은 LOO와 flip 필터를 모두 사용한다. 비교 실험은 다른 설정을 유지하고 flip 조건만 제거한다. 각 조건의 고정된 R1과 R2를 모두 평가하며, 평가 점수를 보고 가장 좋은 차수나 임계값을 선택하는 절차를 두지 않는다. 다만 주 실험과 비교 실험의 실제 데이터 지지 집합은 필터 통과 여부에 따라 달라질 수 있다.</w:t>
      </w:r>
    </w:p>
    <w:p>
      <w:r>
        <w:t>의사 레이블은 필터가 승인한 원래 예측 좌표이다. PnP 재투영점은 검사와 크기 정규화에 사용하지만 학습 목표 좌표를 재투영점으로 바꾸지 않는다. 따라서 기하 검사와 목표 좌표 생성을 구분하여 구현한다.</w:t>
      </w:r>
    </w:p>
    <w:p>
      <w:pPr>
        <w:pStyle w:val="Heading1"/>
        <w:pageBreakBefore/>
        <w:ind w:firstLine="0"/>
      </w:pPr>
      <w:r>
        <w:t>제3장 자기학습 방법</w:t>
      </w:r>
    </w:p>
    <w:p>
      <w:pPr>
        <w:ind w:firstLine="0"/>
      </w:pPr>
      <w:r>
        <w:rPr>
          <w:rFonts w:ascii="NanumGothic" w:hAnsi="NanumGothic" w:eastAsia="NanumGothic" w:cs="NanumGothic"/>
          <w:b/>
          <w:color w:val="000000"/>
          <w:sz w:val="24"/>
        </w:rPr>
        <w:t>2 기준점 선별 조건</w:t>
      </w:r>
    </w:p>
    <w:p>
      <w:pPr>
        <w:pStyle w:val="Caption"/>
        <w:keepNext/>
      </w:pPr>
      <w:r>
        <w:t>표 1 의사 레이블 필터의 고정 조건</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7560"/>
      </w:tblGrid>
      <w:tr>
        <w:trPr>
          <w:tblHeader/>
          <w:cantSplit/>
        </w:trPr>
        <w:tc>
          <w:tcPr>
            <w:tcW w:type="dxa" w:w="1800"/>
            <w:vAlign w:val="center"/>
            <w:tcMar>
              <w:top w:w="72" w:type="dxa"/>
              <w:bottom w:w="72" w:type="dxa"/>
              <w:left w:w="90" w:type="dxa"/>
              <w:right w:w="90" w:type="dxa"/>
            </w:tcMar>
            <w:shd w:fill="294C68"/>
          </w:tcPr>
          <w:p>
            <w:pPr>
              <w:spacing w:line="264" w:lineRule="auto" w:after="0"/>
              <w:ind w:firstLine="0"/>
              <w:jc w:val="left"/>
            </w:pPr>
            <w:r>
              <w:rPr>
                <w:rFonts w:ascii="NanumGothic" w:hAnsi="NanumGothic" w:eastAsia="NanumGothic" w:cs="NanumGothic"/>
                <w:b/>
                <w:color w:val="FFFFFF"/>
                <w:sz w:val="19"/>
              </w:rPr>
              <w:t>항목</w:t>
            </w:r>
          </w:p>
        </w:tc>
        <w:tc>
          <w:tcPr>
            <w:tcW w:type="dxa" w:w="7560"/>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조건</w:t>
            </w:r>
          </w:p>
        </w:tc>
      </w:tr>
      <w:tr>
        <w:trPr>
          <w:cantSplit/>
        </w:trPr>
        <w:tc>
          <w:tcPr>
            <w:tcW w:type="dxa" w:w="1800"/>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예측 신뢰도</w:t>
            </w:r>
          </w:p>
        </w:tc>
        <w:tc>
          <w:tcPr>
            <w:tcW w:type="dxa" w:w="756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0.3 이상, 유효한 원본 영상 내부 좌표</w:t>
            </w:r>
          </w:p>
        </w:tc>
      </w:tr>
      <w:tr>
        <w:trPr>
          <w:cantSplit/>
        </w:trPr>
        <w:tc>
          <w:tcPr>
            <w:tcW w:type="dxa" w:w="1800"/>
            <w:vAlign w:val="center"/>
            <w:tcMar>
              <w:top w:w="72" w:type="dxa"/>
              <w:bottom w:w="72" w:type="dxa"/>
              <w:left w:w="90" w:type="dxa"/>
              <w:right w:w="90" w:type="dxa"/>
            </w:tcMar>
            <w:shd w:fill="F4F6F8"/>
          </w:tcPr>
          <w:p>
            <w:pPr>
              <w:spacing w:line="264" w:lineRule="auto" w:after="0"/>
              <w:ind w:firstLine="0"/>
              <w:jc w:val="left"/>
            </w:pPr>
            <w:r>
              <w:rPr>
                <w:rFonts w:ascii="NanumGothic" w:hAnsi="NanumGothic" w:eastAsia="NanumGothic" w:cs="NanumGothic"/>
                <w:b w:val="0"/>
                <w:color w:val="000000"/>
                <w:sz w:val="19"/>
              </w:rPr>
              <w:t>형상과 카메라</w:t>
            </w:r>
          </w:p>
        </w:tc>
        <w:tc>
          <w:tcPr>
            <w:tcW w:type="dxa" w:w="756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종류별 알려진 8개 모서리 형상과 원본 좌표계 K</w:t>
            </w:r>
          </w:p>
        </w:tc>
      </w:tr>
      <w:tr>
        <w:trPr>
          <w:cantSplit/>
        </w:trPr>
        <w:tc>
          <w:tcPr>
            <w:tcW w:type="dxa" w:w="1800"/>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RANSAC</w:t>
            </w:r>
          </w:p>
        </w:tc>
        <w:tc>
          <w:tcPr>
            <w:tcW w:type="dxa" w:w="756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5점 표본, 50회, 원본 영상 재투영 오차 5px</w:t>
            </w:r>
          </w:p>
        </w:tc>
      </w:tr>
      <w:tr>
        <w:trPr>
          <w:cantSplit/>
        </w:trPr>
        <w:tc>
          <w:tcPr>
            <w:tcW w:type="dxa" w:w="1800"/>
            <w:vAlign w:val="center"/>
            <w:tcMar>
              <w:top w:w="72" w:type="dxa"/>
              <w:bottom w:w="72" w:type="dxa"/>
              <w:left w:w="90" w:type="dxa"/>
              <w:right w:w="90" w:type="dxa"/>
            </w:tcMar>
            <w:shd w:fill="F4F6F8"/>
          </w:tcPr>
          <w:p>
            <w:pPr>
              <w:spacing w:line="264" w:lineRule="auto" w:after="0"/>
              <w:ind w:firstLine="0"/>
              <w:jc w:val="left"/>
            </w:pPr>
            <w:r>
              <w:rPr>
                <w:rFonts w:ascii="NanumGothic" w:hAnsi="NanumGothic" w:eastAsia="NanumGothic" w:cs="NanumGothic"/>
                <w:b w:val="0"/>
                <w:color w:val="000000"/>
                <w:sz w:val="19"/>
              </w:rPr>
              <w:t>최소 지지</w:t>
            </w:r>
          </w:p>
        </w:tc>
        <w:tc>
          <w:tcPr>
            <w:tcW w:type="dxa" w:w="756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신뢰할 수 있는 모서리 기준점 6개 이상</w:t>
            </w:r>
          </w:p>
        </w:tc>
      </w:tr>
      <w:tr>
        <w:trPr>
          <w:cantSplit/>
        </w:trPr>
        <w:tc>
          <w:tcPr>
            <w:tcW w:type="dxa" w:w="1800"/>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LOO 점 오차</w:t>
            </w:r>
          </w:p>
        </w:tc>
        <w:tc>
          <w:tcPr>
            <w:tcW w:type="dxa" w:w="756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해당 점 제외 후 EPnP 및 LM 재적합, 오차 / D &lt; 0.05</w:t>
            </w:r>
          </w:p>
        </w:tc>
      </w:tr>
      <w:tr>
        <w:trPr>
          <w:cantSplit/>
        </w:trPr>
        <w:tc>
          <w:tcPr>
            <w:tcW w:type="dxa" w:w="1800"/>
            <w:vAlign w:val="center"/>
            <w:tcMar>
              <w:top w:w="72" w:type="dxa"/>
              <w:bottom w:w="72" w:type="dxa"/>
              <w:left w:w="90" w:type="dxa"/>
              <w:right w:w="90" w:type="dxa"/>
            </w:tcMar>
            <w:shd w:fill="F4F6F8"/>
          </w:tcPr>
          <w:p>
            <w:pPr>
              <w:spacing w:line="264" w:lineRule="auto" w:after="0"/>
              <w:ind w:firstLine="0"/>
              <w:jc w:val="left"/>
            </w:pPr>
            <w:r>
              <w:rPr>
                <w:rFonts w:ascii="NanumGothic" w:hAnsi="NanumGothic" w:eastAsia="NanumGothic" w:cs="NanumGothic"/>
                <w:b w:val="0"/>
                <w:color w:val="000000"/>
                <w:sz w:val="19"/>
              </w:rPr>
              <w:t>LOO 중앙값</w:t>
            </w:r>
          </w:p>
        </w:tc>
        <w:tc>
          <w:tcPr>
            <w:tcW w:type="dxa" w:w="756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정규화한 LOO 오차의 중앙값 &lt; 0.05</w:t>
            </w:r>
          </w:p>
        </w:tc>
      </w:tr>
      <w:tr>
        <w:trPr>
          <w:cantSplit/>
        </w:trPr>
        <w:tc>
          <w:tcPr>
            <w:tcW w:type="dxa" w:w="1800"/>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flip 일관성</w:t>
            </w:r>
          </w:p>
        </w:tc>
        <w:tc>
          <w:tcPr>
            <w:tcW w:type="dxa" w:w="756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원본과 반전 복원 예측의 점별 및 중앙값 오차 / D &lt; 0.05</w:t>
            </w:r>
          </w:p>
        </w:tc>
      </w:tr>
      <w:tr>
        <w:trPr>
          <w:cantSplit/>
        </w:trPr>
        <w:tc>
          <w:tcPr>
            <w:tcW w:type="dxa" w:w="1800"/>
            <w:vAlign w:val="center"/>
            <w:tcMar>
              <w:top w:w="72" w:type="dxa"/>
              <w:bottom w:w="72" w:type="dxa"/>
              <w:left w:w="90" w:type="dxa"/>
              <w:right w:w="90" w:type="dxa"/>
            </w:tcMar>
            <w:shd w:fill="F4F6F8"/>
          </w:tcPr>
          <w:p>
            <w:pPr>
              <w:spacing w:line="264" w:lineRule="auto" w:after="0"/>
              <w:ind w:firstLine="0"/>
              <w:jc w:val="left"/>
            </w:pPr>
            <w:r>
              <w:rPr>
                <w:rFonts w:ascii="NanumGothic" w:hAnsi="NanumGothic" w:eastAsia="NanumGothic" w:cs="NanumGothic"/>
                <w:b w:val="0"/>
                <w:color w:val="000000"/>
                <w:sz w:val="19"/>
              </w:rPr>
              <w:t>깊이와 채널</w:t>
            </w:r>
          </w:p>
        </w:tc>
        <w:tc>
          <w:tcPr>
            <w:tcW w:type="dxa" w:w="756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적합한 형상의 모든 깊이 양수, 중심점 채널은 감독 제외</w:t>
            </w:r>
          </w:p>
        </w:tc>
      </w:tr>
    </w:tbl>
    <w:p>
      <w:pPr>
        <w:spacing w:after="20" w:before="0" w:line="72" w:lineRule="auto"/>
      </w:pPr>
    </w:p>
    <w:p>
      <w:r>
        <w:t>D는 적합된 형상의 8개 모서리를 영상에 재투영한 후 얻는 최대 두 점 사이 거리이다. 축 정렬 경계 상자의 대각선을 사용하지 않는다. RANSAC의 5px 임계값은 원본 영상 픽셀 단위이고, LOO와 flip의 0.05는 D로 나눈 무차원 값이다. 평가 지표 PCK@10px의 10px와는 다른 조건이다.</w:t>
      </w:r>
    </w:p>
    <w:p>
      <w:r>
        <w:t>LOO에서는 RANSAC 지지 집합에서 검사할 점 하나를 제거하고, 남은 최소 5점으로 EPnP 초기 추정과 LM 보정을 모두 수행한다. 제외한 점은 초기 추정에도 보정에도 넣지 않는다. 원본과 반전 영상의 신뢰도와 유효성을 각각 확인하며, 반전 좌표는 x = W − 1 − xflip으로 복원하고 모서리 채널 0↔1, 2↔3, 4↔5, 6↔7을 교환한다.</w:t>
      </w:r>
    </w:p>
    <w:p>
      <w:r>
        <w:t>flip 없는 비교의 신규 실행에서는 반전 영상을 생성하거나 추론하지 않으며, flip 좌표·신뢰도·오차 및 동률 결정 조건도 사용하지 않는다. 1차는 기존 두 영상 추론에서 원본 좌표·유효성·신뢰도 9개 채널만 가져와 모든 기하 판정을 다시 계산하고, 2차는 해당 1차 모델로 원본만 추론한다. 원본 경계, RANSAC, LOO, 최소 6점 및 중심점 제외 조건은 유지한다.</w:t>
      </w:r>
    </w:p>
    <w:p>
      <w:pPr>
        <w:pStyle w:val="Heading1"/>
        <w:pageBreakBefore/>
        <w:ind w:firstLine="0"/>
      </w:pPr>
      <w:r>
        <w:t>제3장 자기학습 방법</w:t>
      </w:r>
    </w:p>
    <w:p>
      <w:pPr>
        <w:ind w:firstLine="0"/>
      </w:pPr>
      <w:r>
        <w:rPr>
          <w:rFonts w:ascii="NanumGothic" w:hAnsi="NanumGothic" w:eastAsia="NanumGothic" w:cs="NanumGothic"/>
          <w:b/>
          <w:color w:val="000000"/>
          <w:sz w:val="24"/>
        </w:rPr>
        <w:t>3 목표 함수와 최적화</w:t>
      </w:r>
    </w:p>
    <w:p>
      <w:r>
        <w:t>DOPE의 여섯 단계 출력에 감독을 적용한다. 합성 영상은 모서리와 중심점의 belief map 및 affinity field 목표를 사용한다. 실제 영상은 신뢰할 수 있는 모서리의 belief map만 사용하며, 검증하지 않은 채널과 중심점, 실제 영상의 affinity field는 손실에서 제외한다. 미승인 채널을 값이 0인 정답으로 학습하지 않도록 마스크를 적용한다.</w:t>
      </w:r>
    </w:p>
    <w:p>
      <w:pPr>
        <w:spacing w:before="160" w:after="200" w:line="600" w:lineRule="atLeast"/>
        <w:jc w:val="center"/>
      </w:pPr>
      <m:oMathPara>
        <m:oMath>
          <m:r>
            <m:t>L = </m:t>
          </m:r>
          <m:sSub>
            <m:e>
              <m:r>
                <m:t>L</m:t>
              </m:r>
            </m:e>
            <m:sub>
              <m:r>
                <m:t>syn</m:t>
              </m:r>
            </m:sub>
          </m:sSub>
          <m:r>
            <m:t> + λ</m:t>
          </m:r>
          <m:sSub>
            <m:e>
              <m:r>
                <m:t>L</m:t>
              </m:r>
            </m:e>
            <m:sub>
              <m:r>
                <m:t>real</m:t>
              </m:r>
            </m:sub>
          </m:sSub>
          <m:r>
            <m:t>,  λ = 1</m:t>
          </m:r>
        </m:oMath>
      </m:oMathPara>
    </w:p>
    <w:p>
      <w:r>
        <w:t>전체 손실은 합성 손실과 실제 의사 레이블 손실의 합이며 λ는 1이다. 각 belief 손실은 승인된 채널과 픽셀 수에 대해 정규화한 평균 제곱 오차이다. 의사 레이블의 belief map은 표준편차 σ = 2인 가우시안 목표를 사용한다. 원본 예측 좌표를 입력 변환과 출력 격자 좌표로 옮기고, 학습 목표와 복호화의 좌표 규약을 일치시킨다.</w:t>
      </w:r>
    </w:p>
    <w:p>
      <w:pPr>
        <w:pStyle w:val="Caption"/>
        <w:keepNext/>
      </w:pPr>
      <w:r>
        <w:t>표 2 공통 학습 조건</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7416"/>
      </w:tblGrid>
      <w:tr>
        <w:trPr>
          <w:tblHeader/>
          <w:cantSplit/>
        </w:trPr>
        <w:tc>
          <w:tcPr>
            <w:tcW w:type="dxa" w:w="1944"/>
            <w:vAlign w:val="center"/>
            <w:tcMar>
              <w:top w:w="72" w:type="dxa"/>
              <w:bottom w:w="72" w:type="dxa"/>
              <w:left w:w="90" w:type="dxa"/>
              <w:right w:w="90" w:type="dxa"/>
            </w:tcMar>
            <w:shd w:fill="294C68"/>
          </w:tcPr>
          <w:p>
            <w:pPr>
              <w:spacing w:line="264" w:lineRule="auto" w:after="0"/>
              <w:ind w:firstLine="0"/>
              <w:jc w:val="left"/>
            </w:pPr>
            <w:r>
              <w:rPr>
                <w:rFonts w:ascii="NanumGothic" w:hAnsi="NanumGothic" w:eastAsia="NanumGothic" w:cs="NanumGothic"/>
                <w:b/>
                <w:color w:val="FFFFFF"/>
                <w:sz w:val="19"/>
              </w:rPr>
              <w:t>항목</w:t>
            </w:r>
          </w:p>
        </w:tc>
        <w:tc>
          <w:tcPr>
            <w:tcW w:type="dxa" w:w="7416"/>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설정</w:t>
            </w:r>
          </w:p>
        </w:tc>
      </w:tr>
      <w:tr>
        <w:trPr>
          <w:cantSplit/>
        </w:trPr>
        <w:tc>
          <w:tcPr>
            <w:tcW w:type="dxa" w:w="1944"/>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초기 모델</w:t>
            </w:r>
          </w:p>
        </w:tc>
        <w:tc>
          <w:tcPr>
            <w:tcW w:type="dxa" w:w="7416"/>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동일한 합성 학습 R0에서 종류별로 독립 시작</w:t>
            </w:r>
          </w:p>
        </w:tc>
      </w:tr>
      <w:tr>
        <w:trPr>
          <w:cantSplit/>
        </w:trPr>
        <w:tc>
          <w:tcPr>
            <w:tcW w:type="dxa" w:w="1944"/>
            <w:vAlign w:val="center"/>
            <w:tcMar>
              <w:top w:w="72" w:type="dxa"/>
              <w:bottom w:w="72" w:type="dxa"/>
              <w:left w:w="90" w:type="dxa"/>
              <w:right w:w="90" w:type="dxa"/>
            </w:tcMar>
            <w:shd w:fill="F4F6F8"/>
          </w:tcPr>
          <w:p>
            <w:pPr>
              <w:spacing w:line="264" w:lineRule="auto" w:after="0"/>
              <w:ind w:firstLine="0"/>
              <w:jc w:val="left"/>
            </w:pPr>
            <w:r>
              <w:rPr>
                <w:rFonts w:ascii="NanumGothic" w:hAnsi="NanumGothic" w:eastAsia="NanumGothic" w:cs="NanumGothic"/>
                <w:b w:val="0"/>
                <w:color w:val="000000"/>
                <w:sz w:val="19"/>
              </w:rPr>
              <w:t>라운드와 업데이트</w:t>
            </w:r>
          </w:p>
        </w:tc>
        <w:tc>
          <w:tcPr>
            <w:tcW w:type="dxa" w:w="7416"/>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라운드별 3 epoch 및 828 update, 총 1,656 update</w:t>
            </w:r>
          </w:p>
        </w:tc>
      </w:tr>
      <w:tr>
        <w:trPr>
          <w:cantSplit/>
        </w:trPr>
        <w:tc>
          <w:tcPr>
            <w:tcW w:type="dxa" w:w="1944"/>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합성 노출</w:t>
            </w:r>
          </w:p>
        </w:tc>
        <w:tc>
          <w:tcPr>
            <w:tcW w:type="dxa" w:w="7416"/>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epoch별 276 batch × 8장, 모든 조건에서 같은 순서</w:t>
            </w:r>
          </w:p>
        </w:tc>
      </w:tr>
      <w:tr>
        <w:trPr>
          <w:cantSplit/>
        </w:trPr>
        <w:tc>
          <w:tcPr>
            <w:tcW w:type="dxa" w:w="1944"/>
            <w:vAlign w:val="center"/>
            <w:tcMar>
              <w:top w:w="72" w:type="dxa"/>
              <w:bottom w:w="72" w:type="dxa"/>
              <w:left w:w="90" w:type="dxa"/>
              <w:right w:w="90" w:type="dxa"/>
            </w:tcMar>
            <w:shd w:fill="F4F6F8"/>
          </w:tcPr>
          <w:p>
            <w:pPr>
              <w:spacing w:line="264" w:lineRule="auto" w:after="0"/>
              <w:ind w:firstLine="0"/>
              <w:jc w:val="left"/>
            </w:pPr>
            <w:r>
              <w:rPr>
                <w:rFonts w:ascii="NanumGothic" w:hAnsi="NanumGothic" w:eastAsia="NanumGothic" w:cs="NanumGothic"/>
                <w:b w:val="0"/>
                <w:color w:val="000000"/>
                <w:sz w:val="19"/>
              </w:rPr>
              <w:t>최적화</w:t>
            </w:r>
          </w:p>
        </w:tc>
        <w:tc>
          <w:tcPr>
            <w:tcW w:type="dxa" w:w="7416"/>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Adam, 학습률 0.00001, weight decay 0.0001</w:t>
            </w:r>
          </w:p>
        </w:tc>
      </w:tr>
      <w:tr>
        <w:trPr>
          <w:cantSplit/>
        </w:trPr>
        <w:tc>
          <w:tcPr>
            <w:tcW w:type="dxa" w:w="1944"/>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배치와 난수</w:t>
            </w:r>
          </w:p>
        </w:tc>
        <w:tc>
          <w:tcPr>
            <w:tcW w:type="dxa" w:w="7416"/>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합성 batch 8, 실제 batch 최대 8, seed 42</w:t>
            </w:r>
          </w:p>
        </w:tc>
      </w:tr>
      <w:tr>
        <w:trPr>
          <w:cantSplit/>
        </w:trPr>
        <w:tc>
          <w:tcPr>
            <w:tcW w:type="dxa" w:w="1944"/>
            <w:vAlign w:val="center"/>
            <w:tcMar>
              <w:top w:w="72" w:type="dxa"/>
              <w:bottom w:w="72" w:type="dxa"/>
              <w:left w:w="90" w:type="dxa"/>
              <w:right w:w="90" w:type="dxa"/>
            </w:tcMar>
            <w:shd w:fill="F4F6F8"/>
          </w:tcPr>
          <w:p>
            <w:pPr>
              <w:spacing w:line="264" w:lineRule="auto" w:after="0"/>
              <w:ind w:firstLine="0"/>
              <w:jc w:val="left"/>
            </w:pPr>
            <w:r>
              <w:rPr>
                <w:rFonts w:ascii="NanumGothic" w:hAnsi="NanumGothic" w:eastAsia="NanumGothic" w:cs="NanumGothic"/>
                <w:b w:val="0"/>
                <w:color w:val="000000"/>
                <w:sz w:val="19"/>
              </w:rPr>
              <w:t>정밀도</w:t>
            </w:r>
          </w:p>
        </w:tc>
        <w:tc>
          <w:tcPr>
            <w:tcW w:type="dxa" w:w="7416"/>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AMP 순전파, FP32 손실 및 파라미터, gradient scaling</w:t>
            </w:r>
          </w:p>
        </w:tc>
      </w:tr>
      <w:tr>
        <w:trPr>
          <w:cantSplit/>
        </w:trPr>
        <w:tc>
          <w:tcPr>
            <w:tcW w:type="dxa" w:w="1944"/>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실제 영상 증강</w:t>
            </w:r>
          </w:p>
        </w:tc>
        <w:tc>
          <w:tcPr>
            <w:tcW w:type="dxa" w:w="7416"/>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밝기·대비·채도·색상, 흐림, 잡음, 지우기 등 광도 증강</w:t>
            </w:r>
          </w:p>
        </w:tc>
      </w:tr>
    </w:tbl>
    <w:p>
      <w:pPr>
        <w:spacing w:after="20" w:before="0" w:line="72" w:lineRule="auto"/>
      </w:pPr>
    </w:p>
    <w:p>
      <w:r>
        <w:t>학습 중 좌표를 바꾸는 수평 반전 증강은 사용하지 않는다. 본 실험의 flip은 의사 레이블을 검사하는 두 영상 추론 조건이다. R1과 R2 사이에서 최적화 및 scaler 상태를 유지한다. 합성 추가학습 대조군은 동일 R0, seed, 합성 자료 순서와 1,656회 업데이트를 사용하고 실제 영상 손실만 제외한다.</w:t>
      </w:r>
    </w:p>
    <w:p>
      <w:r>
        <w:t>입력은 100px 반사 패딩 후 원래 크기로 조정하고 짧은 변 400과 8의 배수에 맞춘다. ImageNet 정규화와 고정 복호화를 사용하며, 예측을 원본 좌표로 복원해 검사하고 평가한다.</w:t>
      </w:r>
    </w:p>
    <w:p>
      <w:pPr>
        <w:pStyle w:val="Heading1"/>
        <w:pageBreakBefore/>
        <w:ind w:firstLine="0"/>
      </w:pPr>
      <w:r>
        <w:t>제4장 실험 자료와 조건</w:t>
      </w:r>
    </w:p>
    <w:p>
      <w:pPr>
        <w:ind w:firstLine="0"/>
      </w:pPr>
      <w:r>
        <w:rPr>
          <w:rFonts w:ascii="NanumGothic" w:hAnsi="NanumGothic" w:eastAsia="NanumGothic" w:cs="NanumGothic"/>
          <w:b/>
          <w:color w:val="000000"/>
          <w:sz w:val="24"/>
        </w:rPr>
        <w:t>1 데이터 구성</w:t>
      </w:r>
    </w:p>
    <w:p>
      <w:pPr>
        <w:pStyle w:val="Caption"/>
        <w:keepNext/>
      </w:pPr>
      <w:r>
        <w:t>표 3 종류별 데이터 구성</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2088"/>
        <w:gridCol w:w="2160"/>
        <w:gridCol w:w="2160"/>
      </w:tblGrid>
      <w:tr>
        <w:trPr>
          <w:tblHeader/>
          <w:cantSplit/>
        </w:trPr>
        <w:tc>
          <w:tcPr>
            <w:tcW w:type="dxa" w:w="2952"/>
            <w:vAlign w:val="center"/>
            <w:tcMar>
              <w:top w:w="72" w:type="dxa"/>
              <w:bottom w:w="72" w:type="dxa"/>
              <w:left w:w="90" w:type="dxa"/>
              <w:right w:w="90" w:type="dxa"/>
            </w:tcMar>
            <w:shd w:fill="294C68"/>
          </w:tcPr>
          <w:p>
            <w:pPr>
              <w:spacing w:line="264" w:lineRule="auto" w:after="0"/>
              <w:ind w:firstLine="0"/>
              <w:jc w:val="left"/>
            </w:pPr>
            <w:r>
              <w:rPr>
                <w:rFonts w:ascii="NanumGothic" w:hAnsi="NanumGothic" w:eastAsia="NanumGothic" w:cs="NanumGothic"/>
                <w:b/>
                <w:color w:val="FFFFFF"/>
                <w:sz w:val="19"/>
              </w:rPr>
              <w:t>종류</w:t>
            </w:r>
          </w:p>
        </w:tc>
        <w:tc>
          <w:tcPr>
            <w:tcW w:type="dxa" w:w="2088"/>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실제 학습 후보</w:t>
            </w:r>
          </w:p>
        </w:tc>
        <w:tc>
          <w:tcPr>
            <w:tcW w:type="dxa" w:w="2160"/>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주 평가 영상</w:t>
            </w:r>
          </w:p>
        </w:tc>
        <w:tc>
          <w:tcPr>
            <w:tcW w:type="dxa" w:w="2160"/>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주 평가 기준점</w:t>
            </w:r>
          </w:p>
        </w:tc>
      </w:tr>
      <w:tr>
        <w:trPr>
          <w:cantSplit/>
        </w:trPr>
        <w:tc>
          <w:tcPr>
            <w:tcW w:type="dxa" w:w="2952"/>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직사각형 플라스틱</w:t>
            </w:r>
          </w:p>
        </w:tc>
        <w:tc>
          <w:tcPr>
            <w:tcW w:type="dxa" w:w="2088"/>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1,000장</w:t>
            </w:r>
          </w:p>
        </w:tc>
        <w:tc>
          <w:tcPr>
            <w:tcW w:type="dxa" w:w="216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128장</w:t>
            </w:r>
          </w:p>
        </w:tc>
        <w:tc>
          <w:tcPr>
            <w:tcW w:type="dxa" w:w="216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985개</w:t>
            </w:r>
          </w:p>
        </w:tc>
      </w:tr>
      <w:tr>
        <w:trPr>
          <w:cantSplit/>
        </w:trPr>
        <w:tc>
          <w:tcPr>
            <w:tcW w:type="dxa" w:w="2952"/>
            <w:vAlign w:val="center"/>
            <w:tcMar>
              <w:top w:w="72" w:type="dxa"/>
              <w:bottom w:w="72" w:type="dxa"/>
              <w:left w:w="90" w:type="dxa"/>
              <w:right w:w="90" w:type="dxa"/>
            </w:tcMar>
            <w:shd w:fill="F4F6F8"/>
          </w:tcPr>
          <w:p>
            <w:pPr>
              <w:spacing w:line="264" w:lineRule="auto" w:after="0"/>
              <w:ind w:firstLine="0"/>
              <w:jc w:val="left"/>
            </w:pPr>
            <w:r>
              <w:rPr>
                <w:rFonts w:ascii="NanumGothic" w:hAnsi="NanumGothic" w:eastAsia="NanumGothic" w:cs="NanumGothic"/>
                <w:b w:val="0"/>
                <w:color w:val="000000"/>
                <w:sz w:val="19"/>
              </w:rPr>
              <w:t>소형 목재</w:t>
            </w:r>
          </w:p>
        </w:tc>
        <w:tc>
          <w:tcPr>
            <w:tcW w:type="dxa" w:w="2088"/>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1,000장</w:t>
            </w:r>
          </w:p>
        </w:tc>
        <w:tc>
          <w:tcPr>
            <w:tcW w:type="dxa" w:w="216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45장</w:t>
            </w:r>
          </w:p>
        </w:tc>
        <w:tc>
          <w:tcPr>
            <w:tcW w:type="dxa" w:w="216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346개</w:t>
            </w:r>
          </w:p>
        </w:tc>
      </w:tr>
      <w:tr>
        <w:trPr>
          <w:cantSplit/>
        </w:trPr>
        <w:tc>
          <w:tcPr>
            <w:tcW w:type="dxa" w:w="2952"/>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녹색 플라스틱</w:t>
            </w:r>
          </w:p>
        </w:tc>
        <w:tc>
          <w:tcPr>
            <w:tcW w:type="dxa" w:w="2088"/>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1,000장</w:t>
            </w:r>
          </w:p>
        </w:tc>
        <w:tc>
          <w:tcPr>
            <w:tcW w:type="dxa" w:w="216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119장</w:t>
            </w:r>
          </w:p>
        </w:tc>
        <w:tc>
          <w:tcPr>
            <w:tcW w:type="dxa" w:w="216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943개</w:t>
            </w:r>
          </w:p>
        </w:tc>
      </w:tr>
      <w:tr>
        <w:trPr>
          <w:cantSplit/>
        </w:trPr>
        <w:tc>
          <w:tcPr>
            <w:tcW w:type="dxa" w:w="2952"/>
            <w:vAlign w:val="center"/>
            <w:tcMar>
              <w:top w:w="72" w:type="dxa"/>
              <w:bottom w:w="72" w:type="dxa"/>
              <w:left w:w="90" w:type="dxa"/>
              <w:right w:w="90" w:type="dxa"/>
            </w:tcMar>
            <w:shd w:fill="F4F6F8"/>
          </w:tcPr>
          <w:p>
            <w:pPr>
              <w:spacing w:line="264" w:lineRule="auto" w:after="0"/>
              <w:ind w:firstLine="0"/>
              <w:jc w:val="left"/>
            </w:pPr>
            <w:r>
              <w:rPr>
                <w:rFonts w:ascii="NanumGothic" w:hAnsi="NanumGothic" w:eastAsia="NanumGothic" w:cs="NanumGothic"/>
                <w:b w:val="0"/>
                <w:color w:val="000000"/>
                <w:sz w:val="19"/>
              </w:rPr>
              <w:t>주 평가 합계</w:t>
            </w:r>
          </w:p>
        </w:tc>
        <w:tc>
          <w:tcPr>
            <w:tcW w:type="dxa" w:w="2088"/>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종류별 독립 풀</w:t>
            </w:r>
          </w:p>
        </w:tc>
        <w:tc>
          <w:tcPr>
            <w:tcW w:type="dxa" w:w="216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292장</w:t>
            </w:r>
          </w:p>
        </w:tc>
        <w:tc>
          <w:tcPr>
            <w:tcW w:type="dxa" w:w="216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2,274개</w:t>
            </w:r>
          </w:p>
        </w:tc>
      </w:tr>
    </w:tbl>
    <w:p>
      <w:pPr>
        <w:spacing w:after="20" w:before="0" w:line="72" w:lineRule="auto"/>
      </w:pPr>
    </w:p>
    <w:p>
      <w:r>
        <w:t>합성 학습 집합은 2,212장이다. 실제 후보 풀은 각 종류 1,000장으로 고정하고, 동일 종류의 필터 조건 비교에서 같은 풀을 사용한다. 주 평가 292장과 후보 풀의 동일 이미지 중복을 해시로 점검하였다. 이는 동일 이미지 중복 검사를 뜻하며 모든 자료에 대한 독립 촬영 세션 분할을 뜻하지 않는다.</w:t>
      </w:r>
    </w:p>
    <w:p>
      <w:r>
        <w:t>목재 학습 영상은 기존에 검토한 REC001 및 REC002 자료에서 구성하였고, 현재 목재 주 평가 영상과는 다른 촬영 기록이다. 다만 별도로 보호하던 물리적 FINAL 집합과 촬영 기록을 공유한다. 그 FINAL의 동일 이미지들은 학습에서 제외했으나, 이후 이 집합으로 독립 촬영 성능을 주장할 수는 없다. 카메라 K는 각 자료에 제공된 값을 사용하며 독립 재보정을 수행하지 않았다.</w:t>
      </w:r>
    </w:p>
    <w:p>
      <w:pPr>
        <w:pStyle w:val="Caption"/>
        <w:keepNext/>
      </w:pPr>
      <w:r>
        <w:t>표 4 별도로 보고하는 보조 평가</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2592"/>
        <w:gridCol w:w="4320"/>
      </w:tblGrid>
      <w:tr>
        <w:trPr>
          <w:tblHeader/>
          <w:cantSplit/>
        </w:trPr>
        <w:tc>
          <w:tcPr>
            <w:tcW w:type="dxa" w:w="2448"/>
            <w:vAlign w:val="center"/>
            <w:tcMar>
              <w:top w:w="72" w:type="dxa"/>
              <w:bottom w:w="72" w:type="dxa"/>
              <w:left w:w="90" w:type="dxa"/>
              <w:right w:w="90" w:type="dxa"/>
            </w:tcMar>
            <w:shd w:fill="294C68"/>
          </w:tcPr>
          <w:p>
            <w:pPr>
              <w:spacing w:line="264" w:lineRule="auto" w:after="0"/>
              <w:ind w:firstLine="0"/>
              <w:jc w:val="left"/>
            </w:pPr>
            <w:r>
              <w:rPr>
                <w:rFonts w:ascii="NanumGothic" w:hAnsi="NanumGothic" w:eastAsia="NanumGothic" w:cs="NanumGothic"/>
                <w:b/>
                <w:color w:val="FFFFFF"/>
                <w:sz w:val="19"/>
              </w:rPr>
              <w:t>패널</w:t>
            </w:r>
          </w:p>
        </w:tc>
        <w:tc>
          <w:tcPr>
            <w:tcW w:type="dxa" w:w="2592"/>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영상 또는 기준점</w:t>
            </w:r>
          </w:p>
        </w:tc>
        <w:tc>
          <w:tcPr>
            <w:tcW w:type="dxa" w:w="4320"/>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구성</w:t>
            </w:r>
          </w:p>
        </w:tc>
      </w:tr>
      <w:tr>
        <w:trPr>
          <w:cantSplit/>
        </w:trPr>
        <w:tc>
          <w:tcPr>
            <w:tcW w:type="dxa" w:w="2448"/>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일반 플라스틱 전체</w:t>
            </w:r>
          </w:p>
        </w:tc>
        <w:tc>
          <w:tcPr>
            <w:tcW w:type="dxa" w:w="2592"/>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184장, 1,413점</w:t>
            </w:r>
          </w:p>
        </w:tc>
        <w:tc>
          <w:tcPr>
            <w:tcW w:type="dxa" w:w="43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주 평가 128장 + 추가 56장</w:t>
            </w:r>
          </w:p>
        </w:tc>
      </w:tr>
      <w:tr>
        <w:trPr>
          <w:cantSplit/>
        </w:trPr>
        <w:tc>
          <w:tcPr>
            <w:tcW w:type="dxa" w:w="2448"/>
            <w:vAlign w:val="center"/>
            <w:tcMar>
              <w:top w:w="72" w:type="dxa"/>
              <w:bottom w:w="72" w:type="dxa"/>
              <w:left w:w="90" w:type="dxa"/>
              <w:right w:w="90" w:type="dxa"/>
            </w:tcMar>
            <w:shd w:fill="F4F6F8"/>
          </w:tcPr>
          <w:p>
            <w:pPr>
              <w:spacing w:line="264" w:lineRule="auto" w:after="0"/>
              <w:ind w:firstLine="0"/>
              <w:jc w:val="left"/>
            </w:pPr>
            <w:r>
              <w:rPr>
                <w:rFonts w:ascii="NanumGothic" w:hAnsi="NanumGothic" w:eastAsia="NanumGothic" w:cs="NanumGothic"/>
                <w:b w:val="0"/>
                <w:color w:val="000000"/>
                <w:sz w:val="19"/>
              </w:rPr>
              <w:t>추가 플라스틱</w:t>
            </w:r>
          </w:p>
        </w:tc>
        <w:tc>
          <w:tcPr>
            <w:tcW w:type="dxa" w:w="2592"/>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56장, 428점</w:t>
            </w:r>
          </w:p>
        </w:tc>
        <w:tc>
          <w:tcPr>
            <w:tcW w:type="dxa" w:w="432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주간 39장 + 야간 17장, 기존 FINAL 역할</w:t>
            </w:r>
          </w:p>
        </w:tc>
      </w:tr>
      <w:tr>
        <w:trPr>
          <w:cantSplit/>
        </w:trPr>
        <w:tc>
          <w:tcPr>
            <w:tcW w:type="dxa" w:w="2448"/>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녹색 직접 클릭</w:t>
            </w:r>
          </w:p>
        </w:tc>
        <w:tc>
          <w:tcPr>
            <w:tcW w:type="dxa" w:w="2592"/>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119장 안의 600점</w:t>
            </w:r>
          </w:p>
        </w:tc>
        <w:tc>
          <w:tcPr>
            <w:tcW w:type="dxa" w:w="43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manual_click으로 명시된 기준점만 포함</w:t>
            </w:r>
          </w:p>
        </w:tc>
      </w:tr>
    </w:tbl>
    <w:p>
      <w:pPr>
        <w:spacing w:after="20" w:before="0" w:line="72" w:lineRule="auto"/>
      </w:pPr>
    </w:p>
    <w:p>
      <w:r>
        <w:t>일반 플라스틱 184장 평가는 기존 128장의 예측을 그대로 포함하므로 두 결과를 독립 표본처럼 합치지 않는다. 추가 56장은 학습이나 체크포인트 선택에 사용하지 않고 보조 결과로 보고한다. 녹색 전체 943점은 직접 클릭 600점과 PnP 생성 343점으로 구성된다. 일반 플라스틱 주 평가와 목재의 출처 미상 주석도 모두 수작업 정답이라고 간주하지 않는다.</w:t>
      </w:r>
    </w:p>
    <w:p>
      <w:pPr>
        <w:pStyle w:val="Heading1"/>
        <w:pageBreakBefore/>
        <w:ind w:firstLine="0"/>
      </w:pPr>
      <w:r>
        <w:t>제4장 실험 자료와 조건</w:t>
      </w:r>
    </w:p>
    <w:p>
      <w:pPr>
        <w:ind w:firstLine="0"/>
      </w:pPr>
      <w:r>
        <w:rPr>
          <w:rFonts w:ascii="NanumGothic" w:hAnsi="NanumGothic" w:eastAsia="NanumGothic" w:cs="NanumGothic"/>
          <w:b/>
          <w:color w:val="000000"/>
          <w:sz w:val="24"/>
        </w:rPr>
        <w:t>2 평가 지표와 비교 방법</w:t>
      </w:r>
    </w:p>
    <w:p>
      <w:r>
        <w:t>모델이 예측한 모서리 채널 0부터 7까지를 같은 번호의 주석과 비교한다. 기준점은 visibility가 양수이고 in_frame이 명시되며 원본 영상 내부에 있어야 한다. 중심점 채널 8은 평가에서 제외한다. 대칭 정렬, 점 사이의 최적 재할당, 정답을 사용한 형상 가설 선택이나 검출 상자 기반의 평가 영상 제거는 수행하지 않는다.</w:t>
      </w:r>
    </w:p>
    <w:p>
      <w:pPr>
        <w:spacing w:before="160" w:after="200" w:line="600" w:lineRule="atLeast"/>
        <w:jc w:val="center"/>
      </w:pPr>
      <m:oMathPara>
        <m:oMath>
          <m:r>
            <m:t>PCK@τpx = </m:t>
          </m:r>
          <m:f>
            <m:num>
              <m:sSub>
                <m:e>
                  <m:r>
                    <m:t>N</m:t>
                  </m:r>
                </m:e>
                <m:sub>
                  <m:r>
                    <m:t>correct</m:t>
                  </m:r>
                </m:sub>
              </m:sSub>
              <m:r>
                <m:t>(τ)</m:t>
              </m:r>
            </m:num>
            <m:den>
              <m:sSub>
                <m:e>
                  <m:r>
                    <m:t>N</m:t>
                  </m:r>
                </m:e>
                <m:sub>
                  <m:r>
                    <m:t>reference</m:t>
                  </m:r>
                </m:sub>
              </m:sSub>
            </m:den>
          </m:f>
          <m:r>
            <m:t> × 100</m:t>
          </m:r>
        </m:oMath>
      </m:oMathPara>
    </w:p>
    <w:p>
      <w:r>
        <w:t>PCK@τpx는 전체 유효 기준점 중 예측 오차가 τ픽셀 이하인 비율이다. Ncorrect(τ)는 임계값 이내인 점의 수, Nreference는 전체 평가 기준점 수이다. τ는 5, 10, 20으로 고정한다. 예측이 누락된 기준점도 분모에 남기고 실패로 처리한다. 따라서 신뢰도가 높은 점만 남겨 분모를 줄이지 않는다. coverage는 유효 예측의 비율이며, 조건부 중앙값은 예측이 존재하는 점에서만 계산한 픽셀 오차 중앙값이다.</w:t>
      </w:r>
    </w:p>
    <w:p>
      <w:pPr>
        <w:pStyle w:val="Caption"/>
        <w:keepNext/>
      </w:pPr>
      <w:r>
        <w:t>표 5 고정된 비교 조건</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2016"/>
        <w:gridCol w:w="3672"/>
        <w:gridCol w:w="1872"/>
      </w:tblGrid>
      <w:tr>
        <w:trPr>
          <w:tblHeader/>
          <w:cantSplit/>
        </w:trPr>
        <w:tc>
          <w:tcPr>
            <w:tcW w:type="dxa" w:w="1800"/>
            <w:vAlign w:val="center"/>
            <w:tcMar>
              <w:top w:w="72" w:type="dxa"/>
              <w:bottom w:w="72" w:type="dxa"/>
              <w:left w:w="90" w:type="dxa"/>
              <w:right w:w="90" w:type="dxa"/>
            </w:tcMar>
            <w:shd w:fill="294C68"/>
          </w:tcPr>
          <w:p>
            <w:pPr>
              <w:spacing w:line="264" w:lineRule="auto" w:after="0"/>
              <w:ind w:firstLine="0"/>
              <w:jc w:val="left"/>
            </w:pPr>
            <w:r>
              <w:rPr>
                <w:rFonts w:ascii="NanumGothic" w:hAnsi="NanumGothic" w:eastAsia="NanumGothic" w:cs="NanumGothic"/>
                <w:b/>
                <w:color w:val="FFFFFF"/>
                <w:sz w:val="19"/>
              </w:rPr>
              <w:t>조건</w:t>
            </w:r>
          </w:p>
        </w:tc>
        <w:tc>
          <w:tcPr>
            <w:tcW w:type="dxa" w:w="2016"/>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실제 영상 학습</w:t>
            </w:r>
          </w:p>
        </w:tc>
        <w:tc>
          <w:tcPr>
            <w:tcW w:type="dxa" w:w="3672"/>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의사 레이블 필터</w:t>
            </w:r>
          </w:p>
        </w:tc>
        <w:tc>
          <w:tcPr>
            <w:tcW w:type="dxa" w:w="1872"/>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평가 모델</w:t>
            </w:r>
          </w:p>
        </w:tc>
      </w:tr>
      <w:tr>
        <w:trPr>
          <w:cantSplit/>
        </w:trPr>
        <w:tc>
          <w:tcPr>
            <w:tcW w:type="dxa" w:w="1800"/>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기본 DOPE</w:t>
            </w:r>
          </w:p>
        </w:tc>
        <w:tc>
          <w:tcPr>
            <w:tcW w:type="dxa" w:w="2016"/>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없음</w:t>
            </w:r>
          </w:p>
        </w:tc>
        <w:tc>
          <w:tcPr>
            <w:tcW w:type="dxa" w:w="3672"/>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적용 전</w:t>
            </w:r>
          </w:p>
        </w:tc>
        <w:tc>
          <w:tcPr>
            <w:tcW w:type="dxa" w:w="1872"/>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R0</w:t>
            </w:r>
          </w:p>
        </w:tc>
      </w:tr>
      <w:tr>
        <w:trPr>
          <w:cantSplit/>
        </w:trPr>
        <w:tc>
          <w:tcPr>
            <w:tcW w:type="dxa" w:w="1800"/>
            <w:vAlign w:val="center"/>
            <w:tcMar>
              <w:top w:w="72" w:type="dxa"/>
              <w:bottom w:w="72" w:type="dxa"/>
              <w:left w:w="90" w:type="dxa"/>
              <w:right w:w="90" w:type="dxa"/>
            </w:tcMar>
            <w:shd w:fill="F4F6F8"/>
          </w:tcPr>
          <w:p>
            <w:pPr>
              <w:spacing w:line="264" w:lineRule="auto" w:after="0"/>
              <w:ind w:firstLine="0"/>
              <w:jc w:val="left"/>
            </w:pPr>
            <w:r>
              <w:rPr>
                <w:rFonts w:ascii="NanumGothic" w:hAnsi="NanumGothic" w:eastAsia="NanumGothic" w:cs="NanumGothic"/>
                <w:b w:val="0"/>
                <w:color w:val="000000"/>
                <w:sz w:val="19"/>
              </w:rPr>
              <w:t>주 자기학습</w:t>
            </w:r>
          </w:p>
        </w:tc>
        <w:tc>
          <w:tcPr>
            <w:tcW w:type="dxa" w:w="2016"/>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각 종류 영상만 사용</w:t>
            </w:r>
          </w:p>
        </w:tc>
        <w:tc>
          <w:tcPr>
            <w:tcW w:type="dxa" w:w="3672"/>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신뢰도 + RANSAC + LOO + flip</w:t>
            </w:r>
          </w:p>
        </w:tc>
        <w:tc>
          <w:tcPr>
            <w:tcW w:type="dxa" w:w="1872"/>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R1 및 R2</w:t>
            </w:r>
          </w:p>
        </w:tc>
      </w:tr>
      <w:tr>
        <w:trPr>
          <w:cantSplit/>
        </w:trPr>
        <w:tc>
          <w:tcPr>
            <w:tcW w:type="dxa" w:w="1800"/>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flip 제거 비교</w:t>
            </w:r>
          </w:p>
        </w:tc>
        <w:tc>
          <w:tcPr>
            <w:tcW w:type="dxa" w:w="2016"/>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각 종류 영상만 사용</w:t>
            </w:r>
          </w:p>
        </w:tc>
        <w:tc>
          <w:tcPr>
            <w:tcW w:type="dxa" w:w="3672"/>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신뢰도 + RANSAC + LOO</w:t>
            </w:r>
          </w:p>
        </w:tc>
        <w:tc>
          <w:tcPr>
            <w:tcW w:type="dxa" w:w="1872"/>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R1 및 R2</w:t>
            </w:r>
          </w:p>
        </w:tc>
      </w:tr>
      <w:tr>
        <w:trPr>
          <w:cantSplit/>
        </w:trPr>
        <w:tc>
          <w:tcPr>
            <w:tcW w:type="dxa" w:w="1800"/>
            <w:vAlign w:val="center"/>
            <w:tcMar>
              <w:top w:w="72" w:type="dxa"/>
              <w:bottom w:w="72" w:type="dxa"/>
              <w:left w:w="90" w:type="dxa"/>
              <w:right w:w="90" w:type="dxa"/>
            </w:tcMar>
            <w:shd w:fill="F4F6F8"/>
          </w:tcPr>
          <w:p>
            <w:pPr>
              <w:spacing w:line="264" w:lineRule="auto" w:after="0"/>
              <w:ind w:firstLine="0"/>
              <w:jc w:val="left"/>
            </w:pPr>
            <w:r>
              <w:rPr>
                <w:rFonts w:ascii="NanumGothic" w:hAnsi="NanumGothic" w:eastAsia="NanumGothic" w:cs="NanumGothic"/>
                <w:b w:val="0"/>
                <w:color w:val="000000"/>
                <w:sz w:val="19"/>
              </w:rPr>
              <w:t>합성 추가학습</w:t>
            </w:r>
          </w:p>
        </w:tc>
        <w:tc>
          <w:tcPr>
            <w:tcW w:type="dxa" w:w="2016"/>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없음</w:t>
            </w:r>
          </w:p>
        </w:tc>
        <w:tc>
          <w:tcPr>
            <w:tcW w:type="dxa" w:w="3672"/>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실제 의사 레이블 없음</w:t>
            </w:r>
          </w:p>
        </w:tc>
        <w:tc>
          <w:tcPr>
            <w:tcW w:type="dxa" w:w="1872"/>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1차 및 2차</w:t>
            </w:r>
          </w:p>
        </w:tc>
      </w:tr>
    </w:tbl>
    <w:p>
      <w:pPr>
        <w:spacing w:after="20" w:before="0" w:line="72" w:lineRule="auto"/>
      </w:pPr>
    </w:p>
    <w:p>
      <w:r>
        <w:t>새로 학습한 모든 조건은 고정된 학습량을 끝낸 후 평가한다. 기존 비교 모델의 예측은 체크포인트, 영상 목록, 전처리 및 평가 코드의 해시와 실행 기록을 확인한 캐시를 재사용한다. 주 평가와 추가 플라스틱 평가는 같은 좌표 및 지표 규약을 사용한다. 모델별 교차 종류 추론값이 파일에 있더라도 본문은 해당 종류로 학습한 모델의 같은 종류 성능을 보고한다.</w:t>
      </w:r>
    </w:p>
    <w:p>
      <w:r>
        <w:t>수치 비교는 단일 시드에 대한 기술 통계이다. 여러 영상 프레임이 같은 촬영에서 나올 수 있으므로 각 기준점이나 프레임을 완전히 독립인 표본으로 취급한 유의성 주장을 하지 않는다. 학습 조건 선택과 독립 시험 성능 검증은 구별하여 해석한다.</w:t>
      </w:r>
    </w:p>
    <w:p>
      <w:pPr>
        <w:pStyle w:val="Heading1"/>
        <w:pageBreakBefore/>
        <w:ind w:firstLine="0"/>
      </w:pPr>
      <w:r>
        <w:t>제5장 실험 결과</w:t>
      </w:r>
    </w:p>
    <w:p>
      <w:pPr>
        <w:ind w:firstLine="0"/>
      </w:pPr>
      <w:r>
        <w:rPr>
          <w:rFonts w:ascii="NanumGothic" w:hAnsi="NanumGothic" w:eastAsia="NanumGothic" w:cs="NanumGothic"/>
          <w:b/>
          <w:color w:val="000000"/>
          <w:sz w:val="24"/>
        </w:rPr>
        <w:t>1 LOO와 flip을 사용한 주 결과</w:t>
      </w:r>
    </w:p>
    <w:p>
      <w:pPr>
        <w:pStyle w:val="Caption"/>
        <w:keepNext/>
      </w:pPr>
      <w:r>
        <w:t>표 6 기본 모델과 1차 및 2차 자기학습의 PCK 비율</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1008"/>
        <w:gridCol w:w="1814"/>
        <w:gridCol w:w="1829"/>
        <w:gridCol w:w="1829"/>
      </w:tblGrid>
      <w:tr>
        <w:trPr>
          <w:tblHeader/>
          <w:cantSplit/>
        </w:trPr>
        <w:tc>
          <w:tcPr>
            <w:tcW w:type="dxa" w:w="2880"/>
            <w:vAlign w:val="center"/>
            <w:tcMar>
              <w:top w:w="72" w:type="dxa"/>
              <w:bottom w:w="72" w:type="dxa"/>
              <w:left w:w="90" w:type="dxa"/>
              <w:right w:w="90" w:type="dxa"/>
            </w:tcMar>
            <w:shd w:fill="294C68"/>
          </w:tcPr>
          <w:p>
            <w:pPr>
              <w:spacing w:line="264" w:lineRule="auto" w:after="0"/>
              <w:ind w:firstLine="0"/>
              <w:jc w:val="left"/>
            </w:pPr>
            <w:r>
              <w:rPr>
                <w:rFonts w:ascii="NanumGothic" w:hAnsi="NanumGothic" w:eastAsia="NanumGothic" w:cs="NanumGothic"/>
                <w:b/>
                <w:color w:val="FFFFFF"/>
                <w:sz w:val="19"/>
              </w:rPr>
              <w:t>종류</w:t>
            </w:r>
          </w:p>
        </w:tc>
        <w:tc>
          <w:tcPr>
            <w:tcW w:type="dxa" w:w="1008"/>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모델</w:t>
            </w:r>
          </w:p>
        </w:tc>
        <w:tc>
          <w:tcPr>
            <w:tcW w:type="dxa" w:w="1814"/>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5px %</w:t>
            </w:r>
          </w:p>
        </w:tc>
        <w:tc>
          <w:tcPr>
            <w:tcW w:type="dxa" w:w="1829"/>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10px %</w:t>
            </w:r>
          </w:p>
        </w:tc>
        <w:tc>
          <w:tcPr>
            <w:tcW w:type="dxa" w:w="1829"/>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20px %</w:t>
            </w:r>
          </w:p>
        </w:tc>
      </w:tr>
      <w:tr>
        <w:trPr>
          <w:cantSplit/>
        </w:trPr>
        <w:tc>
          <w:tcPr>
            <w:tcW w:type="dxa" w:w="2880"/>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직사각형 플라스틱</w:t>
            </w:r>
          </w:p>
        </w:tc>
        <w:tc>
          <w:tcPr>
            <w:tcW w:type="dxa" w:w="1008"/>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기본</w:t>
            </w:r>
          </w:p>
        </w:tc>
        <w:tc>
          <w:tcPr>
            <w:tcW w:type="dxa" w:w="1814"/>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7.21</w:t>
            </w:r>
          </w:p>
        </w:tc>
        <w:tc>
          <w:tcPr>
            <w:tcW w:type="dxa" w:w="1829"/>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26.19</w:t>
            </w:r>
          </w:p>
        </w:tc>
        <w:tc>
          <w:tcPr>
            <w:tcW w:type="dxa" w:w="1829"/>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44.87</w:t>
            </w:r>
          </w:p>
        </w:tc>
      </w:tr>
      <w:tr>
        <w:trPr>
          <w:cantSplit/>
        </w:trPr>
        <w:tc>
          <w:tcPr>
            <w:tcW w:type="dxa" w:w="2880"/>
            <w:vAlign w:val="center"/>
            <w:tcMar>
              <w:top w:w="72" w:type="dxa"/>
              <w:bottom w:w="72" w:type="dxa"/>
              <w:left w:w="90" w:type="dxa"/>
              <w:right w:w="90" w:type="dxa"/>
            </w:tcMar>
            <w:shd w:fill="F4F6F8"/>
          </w:tcPr>
          <w:p>
            <w:pPr>
              <w:spacing w:line="264" w:lineRule="auto" w:after="0"/>
              <w:ind w:firstLine="0"/>
              <w:jc w:val="left"/>
            </w:pPr>
            <w:r>
              <w:rPr>
                <w:rFonts w:ascii="NanumGothic" w:hAnsi="NanumGothic" w:eastAsia="NanumGothic" w:cs="NanumGothic"/>
                <w:b w:val="0"/>
                <w:color w:val="000000"/>
                <w:sz w:val="19"/>
              </w:rPr>
              <w:t>직사각형 플라스틱</w:t>
            </w:r>
          </w:p>
        </w:tc>
        <w:tc>
          <w:tcPr>
            <w:tcW w:type="dxa" w:w="1008"/>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1차</w:t>
            </w:r>
          </w:p>
        </w:tc>
        <w:tc>
          <w:tcPr>
            <w:tcW w:type="dxa" w:w="1814"/>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19.09</w:t>
            </w:r>
          </w:p>
        </w:tc>
        <w:tc>
          <w:tcPr>
            <w:tcW w:type="dxa" w:w="1829"/>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38.07</w:t>
            </w:r>
          </w:p>
        </w:tc>
        <w:tc>
          <w:tcPr>
            <w:tcW w:type="dxa" w:w="1829"/>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53.50</w:t>
            </w:r>
          </w:p>
        </w:tc>
      </w:tr>
      <w:tr>
        <w:trPr>
          <w:cantSplit/>
        </w:trPr>
        <w:tc>
          <w:tcPr>
            <w:tcW w:type="dxa" w:w="2880"/>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직사각형 플라스틱</w:t>
            </w:r>
          </w:p>
        </w:tc>
        <w:tc>
          <w:tcPr>
            <w:tcW w:type="dxa" w:w="1008"/>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2차</w:t>
            </w:r>
          </w:p>
        </w:tc>
        <w:tc>
          <w:tcPr>
            <w:tcW w:type="dxa" w:w="1814"/>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21.12</w:t>
            </w:r>
          </w:p>
        </w:tc>
        <w:tc>
          <w:tcPr>
            <w:tcW w:type="dxa" w:w="1829"/>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39.49</w:t>
            </w:r>
          </w:p>
        </w:tc>
        <w:tc>
          <w:tcPr>
            <w:tcW w:type="dxa" w:w="1829"/>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59.39</w:t>
            </w:r>
          </w:p>
        </w:tc>
      </w:tr>
      <w:tr>
        <w:trPr>
          <w:cantSplit/>
        </w:trPr>
        <w:tc>
          <w:tcPr>
            <w:tcW w:type="dxa" w:w="2880"/>
            <w:vAlign w:val="center"/>
            <w:tcMar>
              <w:top w:w="72" w:type="dxa"/>
              <w:bottom w:w="72" w:type="dxa"/>
              <w:left w:w="90" w:type="dxa"/>
              <w:right w:w="90" w:type="dxa"/>
            </w:tcMar>
            <w:shd w:fill="F4F6F8"/>
          </w:tcPr>
          <w:p>
            <w:pPr>
              <w:spacing w:line="264" w:lineRule="auto" w:after="0"/>
              <w:ind w:firstLine="0"/>
              <w:jc w:val="left"/>
            </w:pPr>
            <w:r>
              <w:rPr>
                <w:rFonts w:ascii="NanumGothic" w:hAnsi="NanumGothic" w:eastAsia="NanumGothic" w:cs="NanumGothic"/>
                <w:b w:val="0"/>
                <w:color w:val="000000"/>
                <w:sz w:val="19"/>
              </w:rPr>
              <w:t>소형 목재</w:t>
            </w:r>
          </w:p>
        </w:tc>
        <w:tc>
          <w:tcPr>
            <w:tcW w:type="dxa" w:w="1008"/>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기본</w:t>
            </w:r>
          </w:p>
        </w:tc>
        <w:tc>
          <w:tcPr>
            <w:tcW w:type="dxa" w:w="1814"/>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5.78</w:t>
            </w:r>
          </w:p>
        </w:tc>
        <w:tc>
          <w:tcPr>
            <w:tcW w:type="dxa" w:w="1829"/>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29.77</w:t>
            </w:r>
          </w:p>
        </w:tc>
        <w:tc>
          <w:tcPr>
            <w:tcW w:type="dxa" w:w="1829"/>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64.45</w:t>
            </w:r>
          </w:p>
        </w:tc>
      </w:tr>
      <w:tr>
        <w:trPr>
          <w:cantSplit/>
        </w:trPr>
        <w:tc>
          <w:tcPr>
            <w:tcW w:type="dxa" w:w="2880"/>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소형 목재</w:t>
            </w:r>
          </w:p>
        </w:tc>
        <w:tc>
          <w:tcPr>
            <w:tcW w:type="dxa" w:w="1008"/>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1차</w:t>
            </w:r>
          </w:p>
        </w:tc>
        <w:tc>
          <w:tcPr>
            <w:tcW w:type="dxa" w:w="1814"/>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14.74</w:t>
            </w:r>
          </w:p>
        </w:tc>
        <w:tc>
          <w:tcPr>
            <w:tcW w:type="dxa" w:w="1829"/>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48.27</w:t>
            </w:r>
          </w:p>
        </w:tc>
        <w:tc>
          <w:tcPr>
            <w:tcW w:type="dxa" w:w="1829"/>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82.95</w:t>
            </w:r>
          </w:p>
        </w:tc>
      </w:tr>
      <w:tr>
        <w:trPr>
          <w:cantSplit/>
        </w:trPr>
        <w:tc>
          <w:tcPr>
            <w:tcW w:type="dxa" w:w="2880"/>
            <w:vAlign w:val="center"/>
            <w:tcMar>
              <w:top w:w="72" w:type="dxa"/>
              <w:bottom w:w="72" w:type="dxa"/>
              <w:left w:w="90" w:type="dxa"/>
              <w:right w:w="90" w:type="dxa"/>
            </w:tcMar>
            <w:shd w:fill="F4F6F8"/>
          </w:tcPr>
          <w:p>
            <w:pPr>
              <w:spacing w:line="264" w:lineRule="auto" w:after="0"/>
              <w:ind w:firstLine="0"/>
              <w:jc w:val="left"/>
            </w:pPr>
            <w:r>
              <w:rPr>
                <w:rFonts w:ascii="NanumGothic" w:hAnsi="NanumGothic" w:eastAsia="NanumGothic" w:cs="NanumGothic"/>
                <w:b w:val="0"/>
                <w:color w:val="000000"/>
                <w:sz w:val="19"/>
              </w:rPr>
              <w:t>소형 목재</w:t>
            </w:r>
          </w:p>
        </w:tc>
        <w:tc>
          <w:tcPr>
            <w:tcW w:type="dxa" w:w="1008"/>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2차</w:t>
            </w:r>
          </w:p>
        </w:tc>
        <w:tc>
          <w:tcPr>
            <w:tcW w:type="dxa" w:w="1814"/>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20.23</w:t>
            </w:r>
          </w:p>
        </w:tc>
        <w:tc>
          <w:tcPr>
            <w:tcW w:type="dxa" w:w="1829"/>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60.12</w:t>
            </w:r>
          </w:p>
        </w:tc>
        <w:tc>
          <w:tcPr>
            <w:tcW w:type="dxa" w:w="1829"/>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87.28</w:t>
            </w:r>
          </w:p>
        </w:tc>
      </w:tr>
      <w:tr>
        <w:trPr>
          <w:cantSplit/>
        </w:trPr>
        <w:tc>
          <w:tcPr>
            <w:tcW w:type="dxa" w:w="2880"/>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녹색 플라스틱</w:t>
            </w:r>
          </w:p>
        </w:tc>
        <w:tc>
          <w:tcPr>
            <w:tcW w:type="dxa" w:w="1008"/>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기본</w:t>
            </w:r>
          </w:p>
        </w:tc>
        <w:tc>
          <w:tcPr>
            <w:tcW w:type="dxa" w:w="1814"/>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11.45</w:t>
            </w:r>
          </w:p>
        </w:tc>
        <w:tc>
          <w:tcPr>
            <w:tcW w:type="dxa" w:w="1829"/>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47.72</w:t>
            </w:r>
          </w:p>
        </w:tc>
        <w:tc>
          <w:tcPr>
            <w:tcW w:type="dxa" w:w="1829"/>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77.41</w:t>
            </w:r>
          </w:p>
        </w:tc>
      </w:tr>
      <w:tr>
        <w:trPr>
          <w:cantSplit/>
        </w:trPr>
        <w:tc>
          <w:tcPr>
            <w:tcW w:type="dxa" w:w="2880"/>
            <w:vAlign w:val="center"/>
            <w:tcMar>
              <w:top w:w="72" w:type="dxa"/>
              <w:bottom w:w="72" w:type="dxa"/>
              <w:left w:w="90" w:type="dxa"/>
              <w:right w:w="90" w:type="dxa"/>
            </w:tcMar>
            <w:shd w:fill="F4F6F8"/>
          </w:tcPr>
          <w:p>
            <w:pPr>
              <w:spacing w:line="264" w:lineRule="auto" w:after="0"/>
              <w:ind w:firstLine="0"/>
              <w:jc w:val="left"/>
            </w:pPr>
            <w:r>
              <w:rPr>
                <w:rFonts w:ascii="NanumGothic" w:hAnsi="NanumGothic" w:eastAsia="NanumGothic" w:cs="NanumGothic"/>
                <w:b w:val="0"/>
                <w:color w:val="000000"/>
                <w:sz w:val="19"/>
              </w:rPr>
              <w:t>녹색 플라스틱</w:t>
            </w:r>
          </w:p>
        </w:tc>
        <w:tc>
          <w:tcPr>
            <w:tcW w:type="dxa" w:w="1008"/>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1차</w:t>
            </w:r>
          </w:p>
        </w:tc>
        <w:tc>
          <w:tcPr>
            <w:tcW w:type="dxa" w:w="1814"/>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39.34</w:t>
            </w:r>
          </w:p>
        </w:tc>
        <w:tc>
          <w:tcPr>
            <w:tcW w:type="dxa" w:w="1829"/>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69.14</w:t>
            </w:r>
          </w:p>
        </w:tc>
        <w:tc>
          <w:tcPr>
            <w:tcW w:type="dxa" w:w="1829"/>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82.71</w:t>
            </w:r>
          </w:p>
        </w:tc>
      </w:tr>
      <w:tr>
        <w:trPr>
          <w:cantSplit/>
        </w:trPr>
        <w:tc>
          <w:tcPr>
            <w:tcW w:type="dxa" w:w="2880"/>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녹색 플라스틱</w:t>
            </w:r>
          </w:p>
        </w:tc>
        <w:tc>
          <w:tcPr>
            <w:tcW w:type="dxa" w:w="1008"/>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2차</w:t>
            </w:r>
          </w:p>
        </w:tc>
        <w:tc>
          <w:tcPr>
            <w:tcW w:type="dxa" w:w="1814"/>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39.34</w:t>
            </w:r>
          </w:p>
        </w:tc>
        <w:tc>
          <w:tcPr>
            <w:tcW w:type="dxa" w:w="1829"/>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69.67</w:t>
            </w:r>
          </w:p>
        </w:tc>
        <w:tc>
          <w:tcPr>
            <w:tcW w:type="dxa" w:w="1829"/>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82.40</w:t>
            </w:r>
          </w:p>
        </w:tc>
      </w:tr>
    </w:tbl>
    <w:p>
      <w:pPr>
        <w:spacing w:after="20" w:before="0" w:line="72" w:lineRule="auto"/>
      </w:pPr>
    </w:p>
    <w:p>
      <w:r>
        <w:t>2차 PCK@10px는 기본 모델보다 직사각형 플라스틱에서 13.30%p, 목재에서 30.35%p, 녹색에서 21.95%p 높았다. 세 종류 모두 기본 모델 대비 개선을 보였으며, 해당 임계값에서는 1차보다 2차가 높았다. 그러나 모든 지표가 모든 차수에서 단조롭게 좋아진 것은 아니다.</w:t>
      </w:r>
    </w:p>
    <w:p>
      <w:pPr>
        <w:pStyle w:val="Caption"/>
        <w:keepNext/>
      </w:pPr>
      <w:r>
        <w:t>표 7 주 실험과 동일 학습량의 합성 추가학습 대조군 비교</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1620"/>
        <w:gridCol w:w="1620"/>
        <w:gridCol w:w="1620"/>
        <w:gridCol w:w="1620"/>
      </w:tblGrid>
      <w:tr>
        <w:trPr>
          <w:tblHeader/>
          <w:cantSplit/>
        </w:trPr>
        <w:tc>
          <w:tcPr>
            <w:tcW w:type="dxa" w:w="2880"/>
            <w:vAlign w:val="center"/>
            <w:tcMar>
              <w:top w:w="72" w:type="dxa"/>
              <w:bottom w:w="72" w:type="dxa"/>
              <w:left w:w="90" w:type="dxa"/>
              <w:right w:w="90" w:type="dxa"/>
            </w:tcMar>
            <w:shd w:fill="294C68"/>
          </w:tcPr>
          <w:p>
            <w:pPr>
              <w:spacing w:line="264" w:lineRule="auto" w:after="0"/>
              <w:ind w:firstLine="0"/>
              <w:jc w:val="left"/>
            </w:pPr>
            <w:r>
              <w:rPr>
                <w:rFonts w:ascii="NanumGothic" w:hAnsi="NanumGothic" w:eastAsia="NanumGothic" w:cs="NanumGothic"/>
                <w:b/>
                <w:color w:val="FFFFFF"/>
                <w:sz w:val="19"/>
              </w:rPr>
              <w:t>종류</w:t>
            </w:r>
          </w:p>
        </w:tc>
        <w:tc>
          <w:tcPr>
            <w:tcW w:type="dxa" w:w="1620"/>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자기학습 1차</w:t>
            </w:r>
          </w:p>
        </w:tc>
        <w:tc>
          <w:tcPr>
            <w:tcW w:type="dxa" w:w="1620"/>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합성 추가 1차</w:t>
            </w:r>
          </w:p>
        </w:tc>
        <w:tc>
          <w:tcPr>
            <w:tcW w:type="dxa" w:w="1620"/>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자기학습 2차</w:t>
            </w:r>
          </w:p>
        </w:tc>
        <w:tc>
          <w:tcPr>
            <w:tcW w:type="dxa" w:w="1620"/>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합성 추가 2차</w:t>
            </w:r>
          </w:p>
        </w:tc>
      </w:tr>
      <w:tr>
        <w:trPr>
          <w:cantSplit/>
        </w:trPr>
        <w:tc>
          <w:tcPr>
            <w:tcW w:type="dxa" w:w="2880"/>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직사각형 플라스틱</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38.07</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36.35</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39.49</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43.05</w:t>
            </w:r>
          </w:p>
        </w:tc>
      </w:tr>
      <w:tr>
        <w:trPr>
          <w:cantSplit/>
        </w:trPr>
        <w:tc>
          <w:tcPr>
            <w:tcW w:type="dxa" w:w="2880"/>
            <w:vAlign w:val="center"/>
            <w:tcMar>
              <w:top w:w="72" w:type="dxa"/>
              <w:bottom w:w="72" w:type="dxa"/>
              <w:left w:w="90" w:type="dxa"/>
              <w:right w:w="90" w:type="dxa"/>
            </w:tcMar>
            <w:shd w:fill="F4F6F8"/>
          </w:tcPr>
          <w:p>
            <w:pPr>
              <w:spacing w:line="264" w:lineRule="auto" w:after="0"/>
              <w:ind w:firstLine="0"/>
              <w:jc w:val="left"/>
            </w:pPr>
            <w:r>
              <w:rPr>
                <w:rFonts w:ascii="NanumGothic" w:hAnsi="NanumGothic" w:eastAsia="NanumGothic" w:cs="NanumGothic"/>
                <w:b w:val="0"/>
                <w:color w:val="000000"/>
                <w:sz w:val="19"/>
              </w:rPr>
              <w:t>소형 목재</w:t>
            </w:r>
          </w:p>
        </w:tc>
        <w:tc>
          <w:tcPr>
            <w:tcW w:type="dxa" w:w="162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48.27</w:t>
            </w:r>
          </w:p>
        </w:tc>
        <w:tc>
          <w:tcPr>
            <w:tcW w:type="dxa" w:w="162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52.89</w:t>
            </w:r>
          </w:p>
        </w:tc>
        <w:tc>
          <w:tcPr>
            <w:tcW w:type="dxa" w:w="162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60.12</w:t>
            </w:r>
          </w:p>
        </w:tc>
        <w:tc>
          <w:tcPr>
            <w:tcW w:type="dxa" w:w="162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53.47</w:t>
            </w:r>
          </w:p>
        </w:tc>
      </w:tr>
      <w:tr>
        <w:trPr>
          <w:cantSplit/>
        </w:trPr>
        <w:tc>
          <w:tcPr>
            <w:tcW w:type="dxa" w:w="2880"/>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녹색 플라스틱</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69.14</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68.50</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69.67</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70.20</w:t>
            </w:r>
          </w:p>
        </w:tc>
      </w:tr>
    </w:tbl>
    <w:p>
      <w:pPr>
        <w:spacing w:after="20" w:before="0" w:line="72" w:lineRule="auto"/>
      </w:pPr>
    </w:p>
    <w:p>
      <w:r>
        <w:t>주 평가의 2차 PCK@10px를 합성 추가학습과 비교하면 목재는 6.65%p 높았고, 일반 플라스틱은 3.55%p 낮았으며, 녹색은 0.53%p 낮았다. 합성 학습을 계속하는 것만으로도 성능이 증가하므로, 기본 모델 대비 증가량 전체를 실제 영상 의사 레이블의 독립적인 효과라고 설명할 수는 없다.</w:t>
      </w:r>
    </w:p>
    <w:p>
      <w:pPr>
        <w:pStyle w:val="Heading1"/>
        <w:pageBreakBefore/>
        <w:ind w:firstLine="0"/>
      </w:pPr>
      <w:r>
        <w:t>제5장 실험 결과</w:t>
      </w:r>
    </w:p>
    <w:p>
      <w:pPr>
        <w:ind w:firstLine="0"/>
      </w:pPr>
      <w:r>
        <w:rPr>
          <w:rFonts w:ascii="NanumGothic" w:hAnsi="NanumGothic" w:eastAsia="NanumGothic" w:cs="NanumGothic"/>
          <w:b/>
          <w:color w:val="000000"/>
          <w:sz w:val="24"/>
        </w:rPr>
        <w:t>2 학습 차수와 의사 레이블 수</w:t>
      </w:r>
    </w:p>
    <w:p>
      <w:pPr>
        <w:keepNext/>
        <w:spacing w:line="240" w:lineRule="auto"/>
        <w:ind w:firstLine="0"/>
        <w:jc w:val="center"/>
      </w:pPr>
      <w:r>
        <w:drawing>
          <wp:inline xmlns:a="http://schemas.openxmlformats.org/drawingml/2006/main" xmlns:pic="http://schemas.openxmlformats.org/drawingml/2006/picture">
            <wp:extent cx="5715000" cy="2836069"/>
            <wp:docPr id="2" name="Picture 2" descr="그림 2 주 평가에서 기본 모델과 자기학습 차수별 PCK@10px"/>
            <wp:cNvGraphicFramePr>
              <a:graphicFrameLocks noChangeAspect="1"/>
            </wp:cNvGraphicFramePr>
            <a:graphic>
              <a:graphicData uri="http://schemas.openxmlformats.org/drawingml/2006/picture">
                <pic:pic>
                  <pic:nvPicPr>
                    <pic:cNvPr id="0" name="fig02_round_progress.png"/>
                    <pic:cNvPicPr/>
                  </pic:nvPicPr>
                  <pic:blipFill>
                    <a:blip r:embed="rId11"/>
                    <a:stretch>
                      <a:fillRect/>
                    </a:stretch>
                  </pic:blipFill>
                  <pic:spPr>
                    <a:xfrm>
                      <a:off x="0" y="0"/>
                      <a:ext cx="5715000" cy="2836069"/>
                    </a:xfrm>
                    <a:prstGeom prst="rect"/>
                  </pic:spPr>
                </pic:pic>
              </a:graphicData>
            </a:graphic>
          </wp:inline>
        </w:drawing>
      </w:r>
    </w:p>
    <w:p>
      <w:pPr>
        <w:pStyle w:val="Caption"/>
      </w:pPr>
      <w:r>
        <w:t>그림 2 주 평가에서 기본 모델과 자기학습 차수별 PCK@10px</w:t>
      </w:r>
    </w:p>
    <w:p>
      <w:pPr>
        <w:pStyle w:val="Caption"/>
        <w:keepNext/>
      </w:pPr>
      <w:r>
        <w:t>표 8 종류별 고유 승인 의사 레이블 영상 수</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1620"/>
        <w:gridCol w:w="1620"/>
        <w:gridCol w:w="1620"/>
        <w:gridCol w:w="1620"/>
      </w:tblGrid>
      <w:tr>
        <w:trPr>
          <w:tblHeader/>
          <w:cantSplit/>
        </w:trPr>
        <w:tc>
          <w:tcPr>
            <w:tcW w:type="dxa" w:w="2880"/>
            <w:vAlign w:val="center"/>
            <w:tcMar>
              <w:top w:w="72" w:type="dxa"/>
              <w:bottom w:w="72" w:type="dxa"/>
              <w:left w:w="90" w:type="dxa"/>
              <w:right w:w="90" w:type="dxa"/>
            </w:tcMar>
            <w:shd w:fill="294C68"/>
          </w:tcPr>
          <w:p>
            <w:pPr>
              <w:spacing w:line="264" w:lineRule="auto" w:after="0"/>
              <w:ind w:firstLine="0"/>
              <w:jc w:val="left"/>
            </w:pPr>
            <w:r>
              <w:rPr>
                <w:rFonts w:ascii="NanumGothic" w:hAnsi="NanumGothic" w:eastAsia="NanumGothic" w:cs="NanumGothic"/>
                <w:b/>
                <w:color w:val="FFFFFF"/>
                <w:sz w:val="19"/>
              </w:rPr>
              <w:t>종류</w:t>
            </w:r>
          </w:p>
        </w:tc>
        <w:tc>
          <w:tcPr>
            <w:tcW w:type="dxa" w:w="1620"/>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LOO+flip 1차</w:t>
            </w:r>
          </w:p>
        </w:tc>
        <w:tc>
          <w:tcPr>
            <w:tcW w:type="dxa" w:w="1620"/>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LOO+flip 2차</w:t>
            </w:r>
          </w:p>
        </w:tc>
        <w:tc>
          <w:tcPr>
            <w:tcW w:type="dxa" w:w="1620"/>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LOO만 1차</w:t>
            </w:r>
          </w:p>
        </w:tc>
        <w:tc>
          <w:tcPr>
            <w:tcW w:type="dxa" w:w="1620"/>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LOO만 2차</w:t>
            </w:r>
          </w:p>
        </w:tc>
      </w:tr>
      <w:tr>
        <w:trPr>
          <w:cantSplit/>
        </w:trPr>
        <w:tc>
          <w:tcPr>
            <w:tcW w:type="dxa" w:w="2880"/>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직사각형 플라스틱</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1</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26</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31</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461</w:t>
            </w:r>
          </w:p>
        </w:tc>
      </w:tr>
      <w:tr>
        <w:trPr>
          <w:cantSplit/>
        </w:trPr>
        <w:tc>
          <w:tcPr>
            <w:tcW w:type="dxa" w:w="2880"/>
            <w:vAlign w:val="center"/>
            <w:tcMar>
              <w:top w:w="72" w:type="dxa"/>
              <w:bottom w:w="72" w:type="dxa"/>
              <w:left w:w="90" w:type="dxa"/>
              <w:right w:w="90" w:type="dxa"/>
            </w:tcMar>
            <w:shd w:fill="F4F6F8"/>
          </w:tcPr>
          <w:p>
            <w:pPr>
              <w:spacing w:line="264" w:lineRule="auto" w:after="0"/>
              <w:ind w:firstLine="0"/>
              <w:jc w:val="left"/>
            </w:pPr>
            <w:r>
              <w:rPr>
                <w:rFonts w:ascii="NanumGothic" w:hAnsi="NanumGothic" w:eastAsia="NanumGothic" w:cs="NanumGothic"/>
                <w:b w:val="0"/>
                <w:color w:val="000000"/>
                <w:sz w:val="19"/>
              </w:rPr>
              <w:t>소형 목재</w:t>
            </w:r>
          </w:p>
        </w:tc>
        <w:tc>
          <w:tcPr>
            <w:tcW w:type="dxa" w:w="162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339</w:t>
            </w:r>
          </w:p>
        </w:tc>
        <w:tc>
          <w:tcPr>
            <w:tcW w:type="dxa" w:w="162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675</w:t>
            </w:r>
          </w:p>
        </w:tc>
        <w:tc>
          <w:tcPr>
            <w:tcW w:type="dxa" w:w="162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794</w:t>
            </w:r>
          </w:p>
        </w:tc>
        <w:tc>
          <w:tcPr>
            <w:tcW w:type="dxa" w:w="162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912</w:t>
            </w:r>
          </w:p>
        </w:tc>
      </w:tr>
      <w:tr>
        <w:trPr>
          <w:cantSplit/>
        </w:trPr>
        <w:tc>
          <w:tcPr>
            <w:tcW w:type="dxa" w:w="2880"/>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녹색 플라스틱</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131</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683</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663</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962</w:t>
            </w:r>
          </w:p>
        </w:tc>
      </w:tr>
    </w:tbl>
    <w:p>
      <w:pPr>
        <w:spacing w:after="20" w:before="0" w:line="72" w:lineRule="auto"/>
      </w:pPr>
    </w:p>
    <w:p>
      <w:r>
        <w:t>1차의 teacher는 공통 R0이고, 2차의 teacher는 각 종류의 1차 모델이다. 주 실험에서 2차 의사 레이블 수는 세 종류 모두 증가하였다. 다만 일반 플라스틱은 주 실험의 1차에서 1장만 통과하였으므로, 1차 성능 변화를 대규모 실제 영상 학습의 결과로 설명해서는 안 된다. 이 조건에서도 합성 데이터에 대한 추가 업데이트는 같은 횟수로 수행되었다.</w:t>
      </w:r>
    </w:p>
    <w:p>
      <w:r>
        <w:t>조건부 중앙값 오차는 기본에서 2차로 일반 플라스틱 14.95→12.25px, 목재 12.46→8.24px, 녹색 10.24→6.24px로 감소하였다. 반면 일반 플라스틱의 1차 11.25px와 녹색의 1차 6.06px보다 2차 중앙값이 커졌다. PCK, coverage 및 조건부 오차는 서로 다른 특성을 측정하므로 함께 보고한다.</w:t>
      </w:r>
    </w:p>
    <w:p>
      <w:pPr>
        <w:pStyle w:val="Heading1"/>
        <w:pageBreakBefore/>
        <w:ind w:firstLine="0"/>
      </w:pPr>
      <w:r>
        <w:t>제5장 실험 결과</w:t>
      </w:r>
    </w:p>
    <w:p>
      <w:pPr>
        <w:ind w:firstLine="0"/>
      </w:pPr>
      <w:r>
        <w:rPr>
          <w:rFonts w:ascii="NanumGothic" w:hAnsi="NanumGothic" w:eastAsia="NanumGothic" w:cs="NanumGothic"/>
          <w:b/>
          <w:color w:val="000000"/>
          <w:sz w:val="24"/>
        </w:rPr>
        <w:t>3 flip 제거 비교</w:t>
      </w:r>
    </w:p>
    <w:p>
      <w:pPr>
        <w:keepNext/>
        <w:spacing w:line="240" w:lineRule="auto"/>
        <w:ind w:firstLine="0"/>
        <w:jc w:val="center"/>
      </w:pPr>
      <w:r>
        <w:drawing>
          <wp:inline xmlns:a="http://schemas.openxmlformats.org/drawingml/2006/main" xmlns:pic="http://schemas.openxmlformats.org/drawingml/2006/picture">
            <wp:extent cx="5715000" cy="2857500"/>
            <wp:docPr id="3" name="Picture 3" descr="그림 3 같은 2차 학습량에서 합성 추가학습과 필터 조건 비교"/>
            <wp:cNvGraphicFramePr>
              <a:graphicFrameLocks noChangeAspect="1"/>
            </wp:cNvGraphicFramePr>
            <a:graphic>
              <a:graphicData uri="http://schemas.openxmlformats.org/drawingml/2006/picture">
                <pic:pic>
                  <pic:nvPicPr>
                    <pic:cNvPr id="0" name="fig03_ablation.png"/>
                    <pic:cNvPicPr/>
                  </pic:nvPicPr>
                  <pic:blipFill>
                    <a:blip r:embed="rId12"/>
                    <a:stretch>
                      <a:fillRect/>
                    </a:stretch>
                  </pic:blipFill>
                  <pic:spPr>
                    <a:xfrm>
                      <a:off x="0" y="0"/>
                      <a:ext cx="5715000" cy="2857500"/>
                    </a:xfrm>
                    <a:prstGeom prst="rect"/>
                  </pic:spPr>
                </pic:pic>
              </a:graphicData>
            </a:graphic>
          </wp:inline>
        </w:drawing>
      </w:r>
    </w:p>
    <w:p>
      <w:pPr>
        <w:pStyle w:val="Caption"/>
      </w:pPr>
      <w:r>
        <w:t>그림 3 같은 2차 학습량에서 합성 추가학습과 필터 조건 비교</w:t>
      </w:r>
    </w:p>
    <w:p>
      <w:pPr>
        <w:pStyle w:val="Caption"/>
        <w:keepNext/>
      </w:pPr>
      <w:r>
        <w:t>표 9 flip 없는 자기학습과 주 실험의 PCK@10px</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1620"/>
        <w:gridCol w:w="1620"/>
        <w:gridCol w:w="1620"/>
        <w:gridCol w:w="1620"/>
      </w:tblGrid>
      <w:tr>
        <w:trPr>
          <w:tblHeader/>
          <w:cantSplit/>
        </w:trPr>
        <w:tc>
          <w:tcPr>
            <w:tcW w:type="dxa" w:w="2880"/>
            <w:vAlign w:val="center"/>
            <w:tcMar>
              <w:top w:w="72" w:type="dxa"/>
              <w:bottom w:w="72" w:type="dxa"/>
              <w:left w:w="90" w:type="dxa"/>
              <w:right w:w="90" w:type="dxa"/>
            </w:tcMar>
            <w:shd w:fill="294C68"/>
          </w:tcPr>
          <w:p>
            <w:pPr>
              <w:spacing w:line="264" w:lineRule="auto" w:after="0"/>
              <w:ind w:firstLine="0"/>
              <w:jc w:val="left"/>
            </w:pPr>
            <w:r>
              <w:rPr>
                <w:rFonts w:ascii="NanumGothic" w:hAnsi="NanumGothic" w:eastAsia="NanumGothic" w:cs="NanumGothic"/>
                <w:b/>
                <w:color w:val="FFFFFF"/>
                <w:sz w:val="19"/>
              </w:rPr>
              <w:t>종류</w:t>
            </w:r>
          </w:p>
        </w:tc>
        <w:tc>
          <w:tcPr>
            <w:tcW w:type="dxa" w:w="1620"/>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LOO 1차</w:t>
            </w:r>
          </w:p>
        </w:tc>
        <w:tc>
          <w:tcPr>
            <w:tcW w:type="dxa" w:w="1620"/>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LOO 2차</w:t>
            </w:r>
          </w:p>
        </w:tc>
        <w:tc>
          <w:tcPr>
            <w:tcW w:type="dxa" w:w="1620"/>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LOO+flip 1차</w:t>
            </w:r>
          </w:p>
        </w:tc>
        <w:tc>
          <w:tcPr>
            <w:tcW w:type="dxa" w:w="1620"/>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LOO+flip 2차</w:t>
            </w:r>
          </w:p>
        </w:tc>
      </w:tr>
      <w:tr>
        <w:trPr>
          <w:cantSplit/>
        </w:trPr>
        <w:tc>
          <w:tcPr>
            <w:tcW w:type="dxa" w:w="2880"/>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직사각형 플라스틱</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33.81</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35.13</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38.07</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39.49</w:t>
            </w:r>
          </w:p>
        </w:tc>
      </w:tr>
      <w:tr>
        <w:trPr>
          <w:cantSplit/>
        </w:trPr>
        <w:tc>
          <w:tcPr>
            <w:tcW w:type="dxa" w:w="2880"/>
            <w:vAlign w:val="center"/>
            <w:tcMar>
              <w:top w:w="72" w:type="dxa"/>
              <w:bottom w:w="72" w:type="dxa"/>
              <w:left w:w="90" w:type="dxa"/>
              <w:right w:w="90" w:type="dxa"/>
            </w:tcMar>
            <w:shd w:fill="F4F6F8"/>
          </w:tcPr>
          <w:p>
            <w:pPr>
              <w:spacing w:line="264" w:lineRule="auto" w:after="0"/>
              <w:ind w:firstLine="0"/>
              <w:jc w:val="left"/>
            </w:pPr>
            <w:r>
              <w:rPr>
                <w:rFonts w:ascii="NanumGothic" w:hAnsi="NanumGothic" w:eastAsia="NanumGothic" w:cs="NanumGothic"/>
                <w:b w:val="0"/>
                <w:color w:val="000000"/>
                <w:sz w:val="19"/>
              </w:rPr>
              <w:t>소형 목재</w:t>
            </w:r>
          </w:p>
        </w:tc>
        <w:tc>
          <w:tcPr>
            <w:tcW w:type="dxa" w:w="162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49.71</w:t>
            </w:r>
          </w:p>
        </w:tc>
        <w:tc>
          <w:tcPr>
            <w:tcW w:type="dxa" w:w="162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54.91</w:t>
            </w:r>
          </w:p>
        </w:tc>
        <w:tc>
          <w:tcPr>
            <w:tcW w:type="dxa" w:w="162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48.27</w:t>
            </w:r>
          </w:p>
        </w:tc>
        <w:tc>
          <w:tcPr>
            <w:tcW w:type="dxa" w:w="162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60.12</w:t>
            </w:r>
          </w:p>
        </w:tc>
      </w:tr>
      <w:tr>
        <w:trPr>
          <w:cantSplit/>
        </w:trPr>
        <w:tc>
          <w:tcPr>
            <w:tcW w:type="dxa" w:w="2880"/>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녹색 플라스틱</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67.97</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67.76</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69.14</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69.67</w:t>
            </w:r>
          </w:p>
        </w:tc>
      </w:tr>
    </w:tbl>
    <w:p>
      <w:pPr>
        <w:spacing w:after="20" w:before="0" w:line="72" w:lineRule="auto"/>
      </w:pPr>
    </w:p>
    <w:p>
      <w:r>
        <w:t>flip을 제거하면 승인되는 영상 수는 늘었지만, 주 평가의 2차 PCK@10px는 세 종류 모두 LOO와 flip을 함께 사용한 경우보다 낮았다. 차이는 일반 플라스틱 −4.37%p, 목재 −5.20%p, 녹색 −1.91%p였다. 1차에서는 목재의 LOO만 사용한 조건이 더 높았으므로, flip의 효과가 모든 차수에서 동일하다고 해석하지 않는다.</w:t>
      </w:r>
    </w:p>
    <w:p>
      <w:r>
        <w:t>LOO만 사용한 2차가 합성 추가학습보다 높은 종류는 목재로, 차이는 1.45%p였다. 이 결과는 승인 영상 수를 늘리는 것과 최종 성능을 높이는 것이 같은 목표가 아닐 수 있음을 보여준다. 다만 단일 시드의 관찰이므로 의사 레이블 오류의 원인이나 flip의 일반적인 우수성을 확정하지 않는다.</w:t>
      </w:r>
    </w:p>
    <w:p>
      <w:pPr>
        <w:pStyle w:val="Heading1"/>
        <w:pageBreakBefore/>
        <w:ind w:firstLine="0"/>
      </w:pPr>
      <w:r>
        <w:t>제5장 실험 결과</w:t>
      </w:r>
    </w:p>
    <w:p>
      <w:pPr>
        <w:ind w:firstLine="0"/>
      </w:pPr>
      <w:r>
        <w:rPr>
          <w:rFonts w:ascii="NanumGothic" w:hAnsi="NanumGothic" w:eastAsia="NanumGothic" w:cs="NanumGothic"/>
          <w:b/>
          <w:color w:val="000000"/>
          <w:sz w:val="24"/>
        </w:rPr>
        <w:t>4 보조 평가</w:t>
      </w:r>
    </w:p>
    <w:p>
      <w:pPr>
        <w:pStyle w:val="Caption"/>
        <w:keepNext/>
      </w:pPr>
      <w:r>
        <w:t>표 10 일반 플라스틱 184장 전체의 별도 평가</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1620"/>
        <w:gridCol w:w="1620"/>
        <w:gridCol w:w="1620"/>
        <w:gridCol w:w="1620"/>
      </w:tblGrid>
      <w:tr>
        <w:trPr>
          <w:tblHeader/>
          <w:cantSplit/>
        </w:trPr>
        <w:tc>
          <w:tcPr>
            <w:tcW w:type="dxa" w:w="2880"/>
            <w:vAlign w:val="center"/>
            <w:tcMar>
              <w:top w:w="72" w:type="dxa"/>
              <w:bottom w:w="72" w:type="dxa"/>
              <w:left w:w="90" w:type="dxa"/>
              <w:right w:w="90" w:type="dxa"/>
            </w:tcMar>
            <w:shd w:fill="294C68"/>
          </w:tcPr>
          <w:p>
            <w:pPr>
              <w:spacing w:line="264" w:lineRule="auto" w:after="0"/>
              <w:ind w:firstLine="0"/>
              <w:jc w:val="left"/>
            </w:pPr>
            <w:r>
              <w:rPr>
                <w:rFonts w:ascii="NanumGothic" w:hAnsi="NanumGothic" w:eastAsia="NanumGothic" w:cs="NanumGothic"/>
                <w:b/>
                <w:color w:val="FFFFFF"/>
                <w:sz w:val="19"/>
              </w:rPr>
              <w:t>모델</w:t>
            </w:r>
          </w:p>
        </w:tc>
        <w:tc>
          <w:tcPr>
            <w:tcW w:type="dxa" w:w="1620"/>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PCK5 %</w:t>
            </w:r>
          </w:p>
        </w:tc>
        <w:tc>
          <w:tcPr>
            <w:tcW w:type="dxa" w:w="1620"/>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PCK10 %</w:t>
            </w:r>
          </w:p>
        </w:tc>
        <w:tc>
          <w:tcPr>
            <w:tcW w:type="dxa" w:w="1620"/>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PCK20 %</w:t>
            </w:r>
          </w:p>
        </w:tc>
        <w:tc>
          <w:tcPr>
            <w:tcW w:type="dxa" w:w="1620"/>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coverage %</w:t>
            </w:r>
          </w:p>
        </w:tc>
      </w:tr>
      <w:tr>
        <w:trPr>
          <w:cantSplit/>
        </w:trPr>
        <w:tc>
          <w:tcPr>
            <w:tcW w:type="dxa" w:w="2880"/>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기본 R0</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6.86</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29.87</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51.52</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77.35</w:t>
            </w:r>
          </w:p>
        </w:tc>
      </w:tr>
      <w:tr>
        <w:trPr>
          <w:cantSplit/>
        </w:trPr>
        <w:tc>
          <w:tcPr>
            <w:tcW w:type="dxa" w:w="2880"/>
            <w:vAlign w:val="center"/>
            <w:tcMar>
              <w:top w:w="72" w:type="dxa"/>
              <w:bottom w:w="72" w:type="dxa"/>
              <w:left w:w="90" w:type="dxa"/>
              <w:right w:w="90" w:type="dxa"/>
            </w:tcMar>
            <w:shd w:fill="F4F6F8"/>
          </w:tcPr>
          <w:p>
            <w:pPr>
              <w:spacing w:line="264" w:lineRule="auto" w:after="0"/>
              <w:ind w:firstLine="0"/>
              <w:jc w:val="left"/>
            </w:pPr>
            <w:r>
              <w:rPr>
                <w:rFonts w:ascii="NanumGothic" w:hAnsi="NanumGothic" w:eastAsia="NanumGothic" w:cs="NanumGothic"/>
                <w:b w:val="0"/>
                <w:color w:val="000000"/>
                <w:sz w:val="19"/>
              </w:rPr>
              <w:t>LOO+flip 1차</w:t>
            </w:r>
          </w:p>
        </w:tc>
        <w:tc>
          <w:tcPr>
            <w:tcW w:type="dxa" w:w="162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24.13</w:t>
            </w:r>
          </w:p>
        </w:tc>
        <w:tc>
          <w:tcPr>
            <w:tcW w:type="dxa" w:w="162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43.88</w:t>
            </w:r>
          </w:p>
        </w:tc>
        <w:tc>
          <w:tcPr>
            <w:tcW w:type="dxa" w:w="162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57.68</w:t>
            </w:r>
          </w:p>
        </w:tc>
        <w:tc>
          <w:tcPr>
            <w:tcW w:type="dxa" w:w="162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79.26</w:t>
            </w:r>
          </w:p>
        </w:tc>
      </w:tr>
      <w:tr>
        <w:trPr>
          <w:cantSplit/>
        </w:trPr>
        <w:tc>
          <w:tcPr>
            <w:tcW w:type="dxa" w:w="2880"/>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LOO+flip 2차</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26.96</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47.06</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64.19</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90.94</w:t>
            </w:r>
          </w:p>
        </w:tc>
      </w:tr>
      <w:tr>
        <w:trPr>
          <w:cantSplit/>
        </w:trPr>
        <w:tc>
          <w:tcPr>
            <w:tcW w:type="dxa" w:w="2880"/>
            <w:vAlign w:val="center"/>
            <w:tcMar>
              <w:top w:w="72" w:type="dxa"/>
              <w:bottom w:w="72" w:type="dxa"/>
              <w:left w:w="90" w:type="dxa"/>
              <w:right w:w="90" w:type="dxa"/>
            </w:tcMar>
            <w:shd w:fill="F4F6F8"/>
          </w:tcPr>
          <w:p>
            <w:pPr>
              <w:spacing w:line="264" w:lineRule="auto" w:after="0"/>
              <w:ind w:firstLine="0"/>
              <w:jc w:val="left"/>
            </w:pPr>
            <w:r>
              <w:rPr>
                <w:rFonts w:ascii="NanumGothic" w:hAnsi="NanumGothic" w:eastAsia="NanumGothic" w:cs="NanumGothic"/>
                <w:b w:val="0"/>
                <w:color w:val="000000"/>
                <w:sz w:val="19"/>
              </w:rPr>
              <w:t>LOO 1차</w:t>
            </w:r>
          </w:p>
        </w:tc>
        <w:tc>
          <w:tcPr>
            <w:tcW w:type="dxa" w:w="162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20.88</w:t>
            </w:r>
          </w:p>
        </w:tc>
        <w:tc>
          <w:tcPr>
            <w:tcW w:type="dxa" w:w="162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42.32</w:t>
            </w:r>
          </w:p>
        </w:tc>
        <w:tc>
          <w:tcPr>
            <w:tcW w:type="dxa" w:w="162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55.91</w:t>
            </w:r>
          </w:p>
        </w:tc>
        <w:tc>
          <w:tcPr>
            <w:tcW w:type="dxa" w:w="162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82.80</w:t>
            </w:r>
          </w:p>
        </w:tc>
      </w:tr>
      <w:tr>
        <w:trPr>
          <w:cantSplit/>
        </w:trPr>
        <w:tc>
          <w:tcPr>
            <w:tcW w:type="dxa" w:w="2880"/>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LOO 2차</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22.08</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44.66</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60.08</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87.26</w:t>
            </w:r>
          </w:p>
        </w:tc>
      </w:tr>
      <w:tr>
        <w:trPr>
          <w:cantSplit/>
        </w:trPr>
        <w:tc>
          <w:tcPr>
            <w:tcW w:type="dxa" w:w="2880"/>
            <w:vAlign w:val="center"/>
            <w:tcMar>
              <w:top w:w="72" w:type="dxa"/>
              <w:bottom w:w="72" w:type="dxa"/>
              <w:left w:w="90" w:type="dxa"/>
              <w:right w:w="90" w:type="dxa"/>
            </w:tcMar>
            <w:shd w:fill="F4F6F8"/>
          </w:tcPr>
          <w:p>
            <w:pPr>
              <w:spacing w:line="264" w:lineRule="auto" w:after="0"/>
              <w:ind w:firstLine="0"/>
              <w:jc w:val="left"/>
            </w:pPr>
            <w:r>
              <w:rPr>
                <w:rFonts w:ascii="NanumGothic" w:hAnsi="NanumGothic" w:eastAsia="NanumGothic" w:cs="NanumGothic"/>
                <w:b w:val="0"/>
                <w:color w:val="000000"/>
                <w:sz w:val="19"/>
              </w:rPr>
              <w:t>합성 추가 1차</w:t>
            </w:r>
          </w:p>
        </w:tc>
        <w:tc>
          <w:tcPr>
            <w:tcW w:type="dxa" w:w="162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25.76</w:t>
            </w:r>
          </w:p>
        </w:tc>
        <w:tc>
          <w:tcPr>
            <w:tcW w:type="dxa" w:w="162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43.88</w:t>
            </w:r>
          </w:p>
        </w:tc>
        <w:tc>
          <w:tcPr>
            <w:tcW w:type="dxa" w:w="162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55.13</w:t>
            </w:r>
          </w:p>
        </w:tc>
        <w:tc>
          <w:tcPr>
            <w:tcW w:type="dxa" w:w="162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71.83</w:t>
            </w:r>
          </w:p>
        </w:tc>
      </w:tr>
      <w:tr>
        <w:trPr>
          <w:cantSplit/>
        </w:trPr>
        <w:tc>
          <w:tcPr>
            <w:tcW w:type="dxa" w:w="2880"/>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합성 추가 2차</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28.38</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49.89</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60.93</w:t>
            </w:r>
          </w:p>
        </w:tc>
        <w:tc>
          <w:tcPr>
            <w:tcW w:type="dxa" w:w="162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78.98</w:t>
            </w:r>
          </w:p>
        </w:tc>
      </w:tr>
    </w:tbl>
    <w:p>
      <w:pPr>
        <w:spacing w:after="20" w:before="0" w:line="72" w:lineRule="auto"/>
      </w:pPr>
    </w:p>
    <w:p>
      <w:r>
        <w:t>184장 전체는 1,413개 기준점을 포함한다. LOO+flip 2차는 47.06%로 기본보다 17.20%p 높고, 합성 추가학습 2차 49.89%보다는 2.83%p 낮다. 기존 128장 주 평가와 추가 56장이 결합된 모집단이므로 주 결과의 분모를 바꾸거나 독립적인 추가 시험처럼 취급하지 않는다.</w:t>
      </w:r>
    </w:p>
    <w:p>
      <w:pPr>
        <w:pStyle w:val="Caption"/>
        <w:keepNext/>
      </w:pPr>
      <w:r>
        <w:t>표 11 녹색의 직접 클릭 기준점 600개에 대한 보조 평가</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1512"/>
        <w:gridCol w:w="1872"/>
        <w:gridCol w:w="1872"/>
        <w:gridCol w:w="1728"/>
      </w:tblGrid>
      <w:tr>
        <w:trPr>
          <w:tblHeader/>
          <w:cantSplit/>
        </w:trPr>
        <w:tc>
          <w:tcPr>
            <w:tcW w:type="dxa" w:w="2376"/>
            <w:vAlign w:val="center"/>
            <w:tcMar>
              <w:top w:w="72" w:type="dxa"/>
              <w:bottom w:w="72" w:type="dxa"/>
              <w:left w:w="90" w:type="dxa"/>
              <w:right w:w="90" w:type="dxa"/>
            </w:tcMar>
            <w:shd w:fill="294C68"/>
          </w:tcPr>
          <w:p>
            <w:pPr>
              <w:spacing w:line="264" w:lineRule="auto" w:after="0"/>
              <w:ind w:firstLine="0"/>
              <w:jc w:val="left"/>
            </w:pPr>
            <w:r>
              <w:rPr>
                <w:rFonts w:ascii="NanumGothic" w:hAnsi="NanumGothic" w:eastAsia="NanumGothic" w:cs="NanumGothic"/>
                <w:b/>
                <w:color w:val="FFFFFF"/>
                <w:sz w:val="19"/>
              </w:rPr>
              <w:t>모델</w:t>
            </w:r>
          </w:p>
        </w:tc>
        <w:tc>
          <w:tcPr>
            <w:tcW w:type="dxa" w:w="1512"/>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기본</w:t>
            </w:r>
          </w:p>
        </w:tc>
        <w:tc>
          <w:tcPr>
            <w:tcW w:type="dxa" w:w="1872"/>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LOO+flip 1차</w:t>
            </w:r>
          </w:p>
        </w:tc>
        <w:tc>
          <w:tcPr>
            <w:tcW w:type="dxa" w:w="1872"/>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LOO+flip 2차</w:t>
            </w:r>
          </w:p>
        </w:tc>
        <w:tc>
          <w:tcPr>
            <w:tcW w:type="dxa" w:w="1728"/>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합성 추가 2차</w:t>
            </w:r>
          </w:p>
        </w:tc>
      </w:tr>
      <w:tr>
        <w:trPr>
          <w:cantSplit/>
        </w:trPr>
        <w:tc>
          <w:tcPr>
            <w:tcW w:type="dxa" w:w="2376"/>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PCK@10px %</w:t>
            </w:r>
          </w:p>
        </w:tc>
        <w:tc>
          <w:tcPr>
            <w:tcW w:type="dxa" w:w="1512"/>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59.83</w:t>
            </w:r>
          </w:p>
        </w:tc>
        <w:tc>
          <w:tcPr>
            <w:tcW w:type="dxa" w:w="1872"/>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77.50</w:t>
            </w:r>
          </w:p>
        </w:tc>
        <w:tc>
          <w:tcPr>
            <w:tcW w:type="dxa" w:w="1872"/>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78.50</w:t>
            </w:r>
          </w:p>
        </w:tc>
        <w:tc>
          <w:tcPr>
            <w:tcW w:type="dxa" w:w="1728"/>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77.83</w:t>
            </w:r>
          </w:p>
        </w:tc>
      </w:tr>
      <w:tr>
        <w:trPr>
          <w:cantSplit/>
        </w:trPr>
        <w:tc>
          <w:tcPr>
            <w:tcW w:type="dxa" w:w="2376"/>
            <w:vAlign w:val="center"/>
            <w:tcMar>
              <w:top w:w="72" w:type="dxa"/>
              <w:bottom w:w="72" w:type="dxa"/>
              <w:left w:w="90" w:type="dxa"/>
              <w:right w:w="90" w:type="dxa"/>
            </w:tcMar>
            <w:shd w:fill="F4F6F8"/>
          </w:tcPr>
          <w:p>
            <w:pPr>
              <w:spacing w:line="264" w:lineRule="auto" w:after="0"/>
              <w:ind w:firstLine="0"/>
              <w:jc w:val="left"/>
            </w:pPr>
            <w:r>
              <w:rPr>
                <w:rFonts w:ascii="NanumGothic" w:hAnsi="NanumGothic" w:eastAsia="NanumGothic" w:cs="NanumGothic"/>
                <w:b w:val="0"/>
                <w:color w:val="000000"/>
                <w:sz w:val="19"/>
              </w:rPr>
              <w:t>조건부 중앙값 px</w:t>
            </w:r>
          </w:p>
        </w:tc>
        <w:tc>
          <w:tcPr>
            <w:tcW w:type="dxa" w:w="1512"/>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8.61</w:t>
            </w:r>
          </w:p>
        </w:tc>
        <w:tc>
          <w:tcPr>
            <w:tcW w:type="dxa" w:w="1872"/>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5.28</w:t>
            </w:r>
          </w:p>
        </w:tc>
        <w:tc>
          <w:tcPr>
            <w:tcW w:type="dxa" w:w="1872"/>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5.27</w:t>
            </w:r>
          </w:p>
        </w:tc>
        <w:tc>
          <w:tcPr>
            <w:tcW w:type="dxa" w:w="1728"/>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4.80</w:t>
            </w:r>
          </w:p>
        </w:tc>
      </w:tr>
    </w:tbl>
    <w:p>
      <w:pPr>
        <w:spacing w:after="20" w:before="0" w:line="72" w:lineRule="auto"/>
      </w:pPr>
    </w:p>
    <w:p>
      <w:r>
        <w:t>직접 클릭으로 명시된 녹색 기준점만 보면 주 실험 2차 PCK@10px는 78.50%이고 합성 추가학습 2차는 77.83%로, 차이는 0.67%p이다. 전체 943점 평가와 비교 방향이 달라질 수 있으므로 주석 출처별 결과를 구분한다. 이 패널의 직접 클릭 출처 표시는 전체 데이터의 독립적인 수작업 재검증을 뜻하지 않는다.</w:t>
      </w:r>
    </w:p>
    <w:p>
      <w:pPr>
        <w:pStyle w:val="Heading1"/>
        <w:pageBreakBefore/>
        <w:ind w:firstLine="0"/>
      </w:pPr>
      <w:r>
        <w:t>제6장 고찰</w:t>
      </w:r>
    </w:p>
    <w:p>
      <w:pPr>
        <w:pStyle w:val="Heading2"/>
      </w:pPr>
      <w:r>
        <w:t>1 성능 개선의 해석</w:t>
      </w:r>
    </w:p>
    <w:p>
      <w:r>
        <w:t>본 실험에서 LOO와 flip을 사용한 자기학습은 세 종류 모두 기본 모델 대비 2차 PCK@10px를 높였다. 목재에서는 동일 학습량의 합성 추가학습보다도 높은 값을 얻었다. 이는 확보한 자료에서 DOPE에 실제 영상 기반 학습 신호를 추가하는 절차가 작동하며, 적어도 일부 조건에서는 합성 학습을 계속하는 경우를 넘어서는 결과를 얻을 수 있음을 보여준다.</w:t>
      </w:r>
    </w:p>
    <w:p>
      <w:r>
        <w:t>반면 일반 플라스틱과 녹색 전체 평가에서는 합성 추가학습 대조군을 넘지 못하였다. 따라서 본 실험의 결론은 모든 재질에서 자기학습이 우월하다는 주장이 아니라, 종류별로 차이가 있는 실제 적용 결과이다. 비교 실험의 실패나 제한적인 개선도 어느 조건이 성능을 제한하는지 설명하는 자료로 남긴다.</w:t>
      </w:r>
    </w:p>
    <w:p>
      <w:pPr>
        <w:pStyle w:val="Heading2"/>
      </w:pPr>
      <w:r>
        <w:t>2 의사 레이블 품질과 학습량</w:t>
      </w:r>
    </w:p>
    <w:p>
      <w:r>
        <w:t>필터를 강하게 적용하면 부정확한 감독을 줄일 수 있지만 실제 영상 학습량도 줄어든다. 일반 플라스틱 1차의 승인 영상 1장은 이 절충을 드러낸다. flip 제거 후 영상 수가 증가하더라도 2차 PCK@10px가 더 낮았다는 관찰은 영상 수만으로 필터를 평가하기 어렵다는 점을 보여준다. 다만 승인 여부가 실제 정답과 얼마나 일치하는지는 별도의 독립 표본을 수작업 검증해야 정량화할 수 있다.</w:t>
      </w:r>
    </w:p>
    <w:p>
      <w:pPr>
        <w:pStyle w:val="Heading2"/>
      </w:pPr>
      <w:r>
        <w:t>3 자료와 평가의 한계</w:t>
      </w:r>
    </w:p>
    <w:p>
      <w:r>
        <w:t>평가 자료는 반복 분석에 사용되었고 시드는 하나이다. 일부 기준점은 PnP로 생성되었거나 생성 출처가 미상이다. 카메라 내부 파라미터도 제공 값을 사용하였다. 목재 자료는 별도 FINAL과 촬영 기록을 공유하며, 추가 플라스틱 56장은 기존 FINAL 역할의 자료를 보조 평가에 포함하였다. 이 조건에서는 독립적인 최종 시험이나 실제 6차원 자세 정밀도를 주장할 수 없다.</w:t>
      </w:r>
    </w:p>
    <w:p>
      <w:r>
        <w:t>향후에는 촬영 세션과 카메라를 분리하여 새 평가 영상을 확보하고, 직접 주석 또는 외부 측정으로 기준점을 검증하는 것이 필요하다. 여러 난수 시드, 의사 레이블 정밀도, 처리 시간 및 실제 작업 허용 오차도 추가로 측정할 수 있다. 이 항목들은 현재 완료된 실험 결과와 구분하여 후속 과제로 둔다.</w:t>
      </w:r>
    </w:p>
    <w:p>
      <w:pPr>
        <w:pStyle w:val="Heading1"/>
        <w:pageBreakBefore/>
        <w:ind w:firstLine="0"/>
      </w:pPr>
      <w:r>
        <w:t>제7장 결론</w:t>
      </w:r>
    </w:p>
    <w:p>
      <w:r>
        <w:t>본 연구는 합성 데이터로 학습한 DOPE를 바탕으로, 실제 파렛트 영상의 예측을 선별하여 두 차례 재학습하는 절차를 구현하고 평가하였다. 실제 후보 풀은 파렛트 세 종류별로 분리하였고, 신뢰도, RANSAC, LOO 및 수평 반전 일관성으로 학습할 기준점을 정하였다. 승인한 원래 예측 좌표를 마스크된 belief map 감독에 사용하고 합성 데이터 학습을 유지하였다.</w:t>
      </w:r>
    </w:p>
    <w:p>
      <w:r>
        <w:t>주 평가 292장에서 LOO+flip 2차 PCK@10px는 일반 플라스틱 39.49%, 목재 60.12%, 녹색 69.67%로, 기본 모델보다 각각 13.30%p, 30.35%p, 21.95%p 높았다. 일반 플라스틱 184장 전체의 별도 평가에서도 기본 29.87%에서 47.06%로 증가하였다. 같은 횟수로 합성 학습을 계속한 대조군과 비교하면 주 평가의 2차 비교에서는 목재만 더 높았으며, 다른 종류의 차이도 함께 보고하였다.</w:t>
      </w:r>
    </w:p>
    <w:p>
      <w:r>
        <w:t>flip을 제거한 조건은 더 많은 영상을 승인했지만, 2차 PCK@10px에서는 주 실험보다 낮았다. 이 관찰은 현재 자료에서 의사 레이블 선별 조건과 실제 학습 자료 구성이 결과에 영향을 줄 수 있음을 보여준다. 모든 차수와 대조군을 함께 제시함으로써 개선 범위와 제한을 확인하였다.</w:t>
      </w:r>
    </w:p>
    <w:p>
      <w:r>
        <w:t>본 연구의 의의는 보유한 합성 모델과 실제 파렛트 자료를 이용한 DOPE 자기학습의 구현 과정, 종류별 성능 변화 및 비교 실험을 재현 가능한 형태로 정리한 데 있다. 결과는 단일 시드의 반복적인 2차원 기준점 평가로 한정된다. 실제 물류 작업에서의 사용 가능성을 판단하려면 독립 촬영 자료와 외부 측정을 이용한 자세 및 작업 성공률 검증이 추가로 필요하다.</w:t>
      </w:r>
    </w:p>
    <w:p>
      <w:pPr>
        <w:pStyle w:val="Heading1"/>
        <w:pageBreakBefore/>
        <w:ind w:firstLine="0"/>
      </w:pPr>
      <w:r>
        <w:t>참고문헌</w:t>
      </w:r>
    </w:p>
    <w:p>
      <w:pPr>
        <w:spacing w:line="300" w:lineRule="auto" w:after="260"/>
        <w:ind w:hanging="360" w:left="360"/>
      </w:pPr>
      <w:r>
        <w:rPr>
          <w:rFonts w:ascii="NanumMyeongjo" w:hAnsi="NanumMyeongjo" w:eastAsia="NanumMyeongjo" w:cs="NanumMyeongjo"/>
          <w:color w:val="000000"/>
          <w:sz w:val="21"/>
        </w:rPr>
        <w:t>[1] Jonathan Tremblay, Thang To, Balakumar Sundaralingam, Yu Xiang, Dieter Fox, Stan Birchfield. Deep Object Pose Estimation for Semantic Robotic Grasping of Household Objects. Proceedings of The 2nd Conference on Robot Learning, 2018. https://proceedings.mlr.press/v87/tremblay18a.html</w:t>
      </w:r>
    </w:p>
    <w:p>
      <w:pPr>
        <w:spacing w:line="300" w:lineRule="auto" w:after="260"/>
        <w:ind w:hanging="360" w:left="360"/>
      </w:pPr>
      <w:r>
        <w:rPr>
          <w:rFonts w:ascii="NanumMyeongjo" w:hAnsi="NanumMyeongjo" w:eastAsia="NanumMyeongjo" w:cs="NanumMyeongjo"/>
          <w:color w:val="000000"/>
          <w:sz w:val="21"/>
        </w:rPr>
        <w:t>[2] Josh Tobin, Rachel Fong, Alex Ray, Jonas Schneider, Wojciech Zaremba, Pieter Abbeel. Domain Randomization for Transferring Deep Neural Networks from Simulation to the Real World. 2017 IEEE/RSJ International Conference on Intelligent Robots and Systems (IROS), 2017. https://arxiv.org/abs/1703.06907</w:t>
      </w:r>
    </w:p>
    <w:p>
      <w:pPr>
        <w:spacing w:line="300" w:lineRule="auto" w:after="260"/>
        <w:ind w:hanging="360" w:left="360"/>
      </w:pPr>
      <w:r>
        <w:rPr>
          <w:rFonts w:ascii="NanumMyeongjo" w:hAnsi="NanumMyeongjo" w:eastAsia="NanumMyeongjo" w:cs="NanumMyeongjo"/>
          <w:color w:val="000000"/>
          <w:sz w:val="21"/>
        </w:rPr>
        <w:t>[3] Qizhe Xie, Minh-Thang Luong, Eduard Hovy, Quoc V. Le. Self-Training With Noisy Student Improves ImageNet Classification. Proceedings of the IEEE/CVF Conference on Computer Vision and Pattern Recognition (CVPR), 2020. https://openaccess.thecvf.com/content_CVPR_2020/html/Xie_Self-Training_With_Noisy_Student_Improves_ImageNet_Classification_CVPR_2020_paper.html</w:t>
      </w:r>
    </w:p>
    <w:p>
      <w:pPr>
        <w:spacing w:line="300" w:lineRule="auto" w:after="260"/>
        <w:ind w:hanging="360" w:left="360"/>
      </w:pPr>
      <w:r>
        <w:rPr>
          <w:rFonts w:ascii="NanumMyeongjo" w:hAnsi="NanumMyeongjo" w:eastAsia="NanumMyeongjo" w:cs="NanumMyeongjo"/>
          <w:color w:val="000000"/>
          <w:sz w:val="21"/>
        </w:rPr>
        <w:t>[4] Kihyuk Sohn, David Berthelot, Nicholas Carlini, Zizhao Zhang, Han Zhang, Colin Raffel, Ekin Dogus Cubuk, Alexey Kurakin, Chun-Liang Li. FixMatch: Simplifying Semi-Supervised Learning with Consistency and Confidence. Advances in Neural Information Processing Systems, 2020. https://proceedings.neurips.cc/paper/2020/hash/06964dce9addb1c5cb5d6e3d9838f733-Abstract.html</w:t>
      </w:r>
    </w:p>
    <w:p>
      <w:pPr>
        <w:spacing w:line="300" w:lineRule="auto" w:after="260"/>
        <w:ind w:hanging="360" w:left="360"/>
      </w:pPr>
      <w:r>
        <w:rPr>
          <w:rFonts w:ascii="NanumMyeongjo" w:hAnsi="NanumMyeongjo" w:eastAsia="NanumMyeongjo" w:cs="NanumMyeongjo"/>
          <w:color w:val="000000"/>
          <w:sz w:val="21"/>
        </w:rPr>
        <w:t>[5] Vincent Lepetit, Francesc Moreno-Noguer, Pascal Fua. EPnP: An Accurate O(n) Solution to the PnP Problem. International Journal of Computer Vision, 2009. https://link.springer.com/article/10.1007/s11263-008-0152-6</w:t>
      </w:r>
    </w:p>
    <w:p>
      <w:pPr>
        <w:spacing w:line="300" w:lineRule="auto" w:after="260"/>
        <w:ind w:hanging="360" w:left="360"/>
      </w:pPr>
      <w:r>
        <w:rPr>
          <w:rFonts w:ascii="NanumMyeongjo" w:hAnsi="NanumMyeongjo" w:eastAsia="NanumMyeongjo" w:cs="NanumMyeongjo"/>
          <w:color w:val="000000"/>
          <w:sz w:val="21"/>
        </w:rPr>
        <w:t>[6] Martin A. Fischler, Robert C. Bolles. Random Sample Consensus: A Paradigm for Model Fitting with Applications to Image Analysis and Automated Cartography. Communications of the ACM, 1981. https://doi.org/10.1145/358669.358692</w:t>
      </w:r>
    </w:p>
    <w:p>
      <w:pPr>
        <w:pStyle w:val="Heading1"/>
        <w:pageBreakBefore/>
        <w:ind w:firstLine="0"/>
      </w:pPr>
      <w:r>
        <w:t>부록 재현 자료와 실험 식별</w:t>
      </w:r>
    </w:p>
    <w:p>
      <w:r>
        <w:t>본 실험의 결과 수치는 계산 완료된 평가 JSON에서 표로 변환하였다. 종류별 원본 결과, 고정 프로토콜, 체크포인트 경로 및 해시, 학습 완료 기록과 평가 예측의 연결은 별도 증거 목록에 기록하였다. 표를 다시 생성하는 작업과 학습을 다시 수행하는 작업을 구분하였다.</w:t>
      </w:r>
    </w:p>
    <w:p>
      <w:pPr>
        <w:pStyle w:val="Caption"/>
        <w:keepNext/>
      </w:pPr>
      <w:r>
        <w:t>표 12 재현 자료의 구성</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960"/>
        <w:gridCol w:w="5400"/>
      </w:tblGrid>
      <w:tr>
        <w:trPr>
          <w:tblHeader/>
          <w:cantSplit/>
        </w:trPr>
        <w:tc>
          <w:tcPr>
            <w:tcW w:type="dxa" w:w="3960"/>
            <w:vAlign w:val="center"/>
            <w:tcMar>
              <w:top w:w="72" w:type="dxa"/>
              <w:bottom w:w="72" w:type="dxa"/>
              <w:left w:w="90" w:type="dxa"/>
              <w:right w:w="90" w:type="dxa"/>
            </w:tcMar>
            <w:shd w:fill="294C68"/>
          </w:tcPr>
          <w:p>
            <w:pPr>
              <w:spacing w:line="264" w:lineRule="auto" w:after="0"/>
              <w:ind w:firstLine="0"/>
              <w:jc w:val="left"/>
            </w:pPr>
            <w:r>
              <w:rPr>
                <w:rFonts w:ascii="NanumGothic" w:hAnsi="NanumGothic" w:eastAsia="NanumGothic" w:cs="NanumGothic"/>
                <w:b/>
                <w:color w:val="FFFFFF"/>
                <w:sz w:val="19"/>
              </w:rPr>
              <w:t>자료</w:t>
            </w:r>
          </w:p>
        </w:tc>
        <w:tc>
          <w:tcPr>
            <w:tcW w:type="dxa" w:w="5400"/>
            <w:vAlign w:val="center"/>
            <w:tcMar>
              <w:top w:w="72" w:type="dxa"/>
              <w:bottom w:w="72" w:type="dxa"/>
              <w:left w:w="90" w:type="dxa"/>
              <w:right w:w="90" w:type="dxa"/>
            </w:tcMar>
            <w:shd w:fill="294C68"/>
          </w:tcPr>
          <w:p>
            <w:pPr>
              <w:spacing w:line="264" w:lineRule="auto" w:after="0"/>
              <w:ind w:firstLine="0"/>
              <w:jc w:val="center"/>
            </w:pPr>
            <w:r>
              <w:rPr>
                <w:rFonts w:ascii="NanumGothic" w:hAnsi="NanumGothic" w:eastAsia="NanumGothic" w:cs="NanumGothic"/>
                <w:b/>
                <w:color w:val="FFFFFF"/>
                <w:sz w:val="19"/>
              </w:rPr>
              <w:t>내용</w:t>
            </w:r>
          </w:p>
        </w:tc>
      </w:tr>
      <w:tr>
        <w:trPr>
          <w:cantSplit/>
        </w:trPr>
        <w:tc>
          <w:tcPr>
            <w:tcW w:type="dxa" w:w="3960"/>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tables/ALL_TABLES.json</w:t>
            </w:r>
          </w:p>
        </w:tc>
        <w:tc>
          <w:tcPr>
            <w:tcW w:type="dxa" w:w="540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주 평가 3종, 플라스틱 184장, 녹색 직접 클릭 패널의 원 수치</w:t>
            </w:r>
          </w:p>
        </w:tc>
      </w:tr>
      <w:tr>
        <w:trPr>
          <w:cantSplit/>
        </w:trPr>
        <w:tc>
          <w:tcPr>
            <w:tcW w:type="dxa" w:w="3960"/>
            <w:vAlign w:val="center"/>
            <w:tcMar>
              <w:top w:w="72" w:type="dxa"/>
              <w:bottom w:w="72" w:type="dxa"/>
              <w:left w:w="90" w:type="dxa"/>
              <w:right w:w="90" w:type="dxa"/>
            </w:tcMar>
            <w:shd w:fill="F4F6F8"/>
          </w:tcPr>
          <w:p>
            <w:pPr>
              <w:spacing w:line="264" w:lineRule="auto" w:after="0"/>
              <w:ind w:firstLine="0"/>
              <w:jc w:val="left"/>
            </w:pPr>
            <w:r>
              <w:rPr>
                <w:rFonts w:ascii="NanumGothic" w:hAnsi="NanumGothic" w:eastAsia="NanumGothic" w:cs="NanumGothic"/>
                <w:b w:val="0"/>
                <w:color w:val="000000"/>
                <w:sz w:val="19"/>
              </w:rPr>
              <w:t>tables/ALL_METRICS.csv</w:t>
            </w:r>
          </w:p>
        </w:tc>
        <w:tc>
          <w:tcPr>
            <w:tcW w:type="dxa" w:w="540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PCK, coverage, 조건부 오차 및 분모를 포함한 전체 표</w:t>
            </w:r>
          </w:p>
        </w:tc>
      </w:tr>
      <w:tr>
        <w:trPr>
          <w:cantSplit/>
        </w:trPr>
        <w:tc>
          <w:tcPr>
            <w:tcW w:type="dxa" w:w="3960"/>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tables/evidence.json</w:t>
            </w:r>
          </w:p>
        </w:tc>
        <w:tc>
          <w:tcPr>
            <w:tcW w:type="dxa" w:w="540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표에 사용한 결과 JSON 경로, 해시 및 데이터 근거</w:t>
            </w:r>
          </w:p>
        </w:tc>
      </w:tr>
      <w:tr>
        <w:trPr>
          <w:cantSplit/>
        </w:trPr>
        <w:tc>
          <w:tcPr>
            <w:tcW w:type="dxa" w:w="3960"/>
            <w:vAlign w:val="center"/>
            <w:tcMar>
              <w:top w:w="72" w:type="dxa"/>
              <w:bottom w:w="72" w:type="dxa"/>
              <w:left w:w="90" w:type="dxa"/>
              <w:right w:w="90" w:type="dxa"/>
            </w:tcMar>
            <w:shd w:fill="F4F6F8"/>
          </w:tcPr>
          <w:p>
            <w:pPr>
              <w:spacing w:line="264" w:lineRule="auto" w:after="0"/>
              <w:ind w:firstLine="0"/>
              <w:jc w:val="left"/>
            </w:pPr>
            <w:r>
              <w:rPr>
                <w:rFonts w:ascii="NanumGothic" w:hAnsi="NanumGothic" w:eastAsia="NanumGothic" w:cs="NanumGothic"/>
                <w:b w:val="0"/>
                <w:color w:val="000000"/>
                <w:sz w:val="19"/>
              </w:rPr>
              <w:t>reproducibility/methods_verified.json</w:t>
            </w:r>
          </w:p>
        </w:tc>
        <w:tc>
          <w:tcPr>
            <w:tcW w:type="dxa" w:w="540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필터, 학습 조건, 자료 구분 및 체크포인트 증거</w:t>
            </w:r>
          </w:p>
        </w:tc>
      </w:tr>
      <w:tr>
        <w:trPr>
          <w:cantSplit/>
        </w:trPr>
        <w:tc>
          <w:tcPr>
            <w:tcW w:type="dxa" w:w="3960"/>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reproducibility/REPRODUCTION.txt</w:t>
            </w:r>
          </w:p>
        </w:tc>
        <w:tc>
          <w:tcPr>
            <w:tcW w:type="dxa" w:w="540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표 재생성 및 선택적 전체 재현 단계</w:t>
            </w:r>
          </w:p>
        </w:tc>
      </w:tr>
      <w:tr>
        <w:trPr>
          <w:cantSplit/>
        </w:trPr>
        <w:tc>
          <w:tcPr>
            <w:tcW w:type="dxa" w:w="3960"/>
            <w:vAlign w:val="center"/>
            <w:tcMar>
              <w:top w:w="72" w:type="dxa"/>
              <w:bottom w:w="72" w:type="dxa"/>
              <w:left w:w="90" w:type="dxa"/>
              <w:right w:w="90" w:type="dxa"/>
            </w:tcMar>
            <w:shd w:fill="F4F6F8"/>
          </w:tcPr>
          <w:p>
            <w:pPr>
              <w:spacing w:line="264" w:lineRule="auto" w:after="0"/>
              <w:ind w:firstLine="0"/>
              <w:jc w:val="left"/>
            </w:pPr>
            <w:r>
              <w:rPr>
                <w:rFonts w:ascii="NanumGothic" w:hAnsi="NanumGothic" w:eastAsia="NanumGothic" w:cs="NanumGothic"/>
                <w:b w:val="0"/>
                <w:color w:val="000000"/>
                <w:sz w:val="19"/>
              </w:rPr>
              <w:t>references</w:t>
            </w:r>
          </w:p>
        </w:tc>
        <w:tc>
          <w:tcPr>
            <w:tcW w:type="dxa" w:w="540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확인한 1차 문헌의 서지 정보와 관련 연구 연결</w:t>
            </w:r>
          </w:p>
        </w:tc>
      </w:tr>
      <w:tr>
        <w:trPr>
          <w:cantSplit/>
        </w:trPr>
        <w:tc>
          <w:tcPr>
            <w:tcW w:type="dxa" w:w="3960"/>
            <w:vAlign w:val="center"/>
            <w:tcMar>
              <w:top w:w="72" w:type="dxa"/>
              <w:bottom w:w="72" w:type="dxa"/>
              <w:left w:w="90" w:type="dxa"/>
              <w:right w:w="90" w:type="dxa"/>
            </w:tcMar>
            <w:shd w:fill="FFFFFF"/>
          </w:tcPr>
          <w:p>
            <w:pPr>
              <w:spacing w:line="264" w:lineRule="auto" w:after="0"/>
              <w:ind w:firstLine="0"/>
              <w:jc w:val="left"/>
            </w:pPr>
            <w:r>
              <w:rPr>
                <w:rFonts w:ascii="NanumGothic" w:hAnsi="NanumGothic" w:eastAsia="NanumGothic" w:cs="NanumGothic"/>
                <w:b w:val="0"/>
                <w:color w:val="000000"/>
                <w:sz w:val="19"/>
              </w:rPr>
              <w:t>figures</w:t>
            </w:r>
          </w:p>
        </w:tc>
        <w:tc>
          <w:tcPr>
            <w:tcW w:type="dxa" w:w="5400"/>
            <w:vAlign w:val="center"/>
            <w:tcMar>
              <w:top w:w="72" w:type="dxa"/>
              <w:bottom w:w="72" w:type="dxa"/>
              <w:left w:w="90" w:type="dxa"/>
              <w:right w:w="90" w:type="dxa"/>
            </w:tcMar>
            <w:shd w:fill="FFFFFF"/>
          </w:tcPr>
          <w:p>
            <w:pPr>
              <w:spacing w:line="264" w:lineRule="auto" w:after="0"/>
              <w:ind w:firstLine="0"/>
              <w:jc w:val="center"/>
            </w:pPr>
            <w:r>
              <w:rPr>
                <w:rFonts w:ascii="NanumGothic" w:hAnsi="NanumGothic" w:eastAsia="NanumGothic" w:cs="NanumGothic"/>
                <w:b w:val="0"/>
                <w:color w:val="000000"/>
                <w:sz w:val="19"/>
              </w:rPr>
              <w:t>본문 그림의 PNG와 벡터 PDF</w:t>
            </w:r>
          </w:p>
        </w:tc>
      </w:tr>
      <w:tr>
        <w:trPr>
          <w:cantSplit/>
        </w:trPr>
        <w:tc>
          <w:tcPr>
            <w:tcW w:type="dxa" w:w="3960"/>
            <w:vAlign w:val="center"/>
            <w:tcMar>
              <w:top w:w="72" w:type="dxa"/>
              <w:bottom w:w="72" w:type="dxa"/>
              <w:left w:w="90" w:type="dxa"/>
              <w:right w:w="90" w:type="dxa"/>
            </w:tcMar>
            <w:shd w:fill="F4F6F8"/>
          </w:tcPr>
          <w:p>
            <w:pPr>
              <w:spacing w:line="264" w:lineRule="auto" w:after="0"/>
              <w:ind w:firstLine="0"/>
              <w:jc w:val="left"/>
            </w:pPr>
            <w:r>
              <w:rPr>
                <w:rFonts w:ascii="NanumGothic" w:hAnsi="NanumGothic" w:eastAsia="NanumGothic" w:cs="NanumGothic"/>
                <w:b w:val="0"/>
                <w:color w:val="000000"/>
                <w:sz w:val="19"/>
              </w:rPr>
              <w:t>build_thesis.py 및 draft_content.json</w:t>
            </w:r>
          </w:p>
        </w:tc>
        <w:tc>
          <w:tcPr>
            <w:tcW w:type="dxa" w:w="5400"/>
            <w:vAlign w:val="center"/>
            <w:tcMar>
              <w:top w:w="72" w:type="dxa"/>
              <w:bottom w:w="72" w:type="dxa"/>
              <w:left w:w="90" w:type="dxa"/>
              <w:right w:w="90" w:type="dxa"/>
            </w:tcMar>
            <w:shd w:fill="F4F6F8"/>
          </w:tcPr>
          <w:p>
            <w:pPr>
              <w:spacing w:line="264" w:lineRule="auto" w:after="0"/>
              <w:ind w:firstLine="0"/>
              <w:jc w:val="center"/>
            </w:pPr>
            <w:r>
              <w:rPr>
                <w:rFonts w:ascii="NanumGothic" w:hAnsi="NanumGothic" w:eastAsia="NanumGothic" w:cs="NanumGothic"/>
                <w:b w:val="0"/>
                <w:color w:val="000000"/>
                <w:sz w:val="19"/>
              </w:rPr>
              <w:t>문서와 그림 생성 코드 및 편집 가능한 본문 구성</w:t>
            </w:r>
          </w:p>
        </w:tc>
      </w:tr>
    </w:tbl>
    <w:p>
      <w:pPr>
        <w:spacing w:after="20" w:before="0" w:line="72" w:lineRule="auto"/>
      </w:pPr>
    </w:p>
    <w:p>
      <w:r>
        <w:t>기본 모델은 paper_s2_stageB의 고정 R0이며, 주 실험과 flip 제거 비교는 각각 별도 실험 폴더로 보관하였다. 논문의 모델 명칭은 기본 R0, LOO+flip R1 및 R2, LOO R1 및 R2, 합성 추가학습 1차 및 2차로 통일한다. 기존 다른 날짜의 체크포인트나 중단된 혼합 종류 학습은 본문의 자기학습 결과에 포함하지 않는다.</w:t>
      </w:r>
    </w:p>
    <w:p>
      <w:r>
        <w:t>학습 후보 이미지의 주석은 자기학습 감독으로 사용하지 않는다. 평가에서는 기저 의미 채널과 같은 번호의 기준점을 비교하며, 누락된 예측도 PCK 분모에 포함한다. 재현 자료의 경로와 해시는 이 조건과 결과 수치를 추적하기 위한 것으로, 자료의 독립적인 실제 6차원 정답을 보증하지 않는다.</w:t>
      </w:r>
    </w:p>
    <w:sectPr w:rsidR="00FC693F" w:rsidRPr="0006063C" w:rsidSect="00034616">
      <w:footerReference w:type="default" r:id="rId9"/>
      <w:pgSz w:w="12240" w:h="15840"/>
      <w:pgMar w:top="1123" w:right="1440" w:bottom="1440" w:left="1440" w:header="72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70" w:lineRule="exact" w:after="120"/>
      <w:ind w:firstLine="230"/>
      <w:snapToGrid w:val="0"/>
    </w:pPr>
    <w:rPr>
      <w:rFonts w:ascii="NanumMyeongjo" w:hAnsi="NanumMyeongjo" w:eastAsia="NanumMyeongjo" w:cs="NanumMyeongjo"/>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88" w:lineRule="auto"/>
      <w:outlineLvl w:val="0"/>
    </w:pPr>
    <w:rPr>
      <w:rFonts w:asciiTheme="majorHAnsi" w:eastAsiaTheme="majorEastAsia" w:hAnsiTheme="majorHAnsi" w:cstheme="majorBidi" w:ascii="NanumGothic" w:hAnsi="NanumGothic" w:eastAsia="NanumGothic" w:cs="NanumGothi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60" w:line="288" w:lineRule="auto"/>
      <w:outlineLvl w:val="1"/>
    </w:pPr>
    <w:rPr>
      <w:rFonts w:asciiTheme="majorHAnsi" w:eastAsiaTheme="majorEastAsia" w:hAnsiTheme="majorHAnsi" w:cstheme="majorBidi" w:ascii="NanumGothic" w:hAnsi="NanumGothic" w:eastAsia="NanumGothic" w:cs="Nanum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83" w:lineRule="auto"/>
      <w:contextualSpacing/>
    </w:pPr>
    <w:rPr>
      <w:rFonts w:asciiTheme="majorHAnsi" w:eastAsiaTheme="majorEastAsia" w:hAnsiTheme="majorHAnsi" w:cstheme="majorBidi" w:ascii="NanumGothic" w:hAnsi="NanumGothic" w:eastAsia="NanumGothic" w:cs="NanumGothic"/>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40" w:after="100"/>
      <w:ind w:firstLine="0"/>
    </w:pPr>
    <w:rPr>
      <w:rFonts w:ascii="NanumGothic" w:hAnsi="NanumGothic" w:eastAsia="NanumGothic" w:cs="NanumGothic"/>
      <w:b w:val="0"/>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실제 파렛트 영상의 의사 레이블을 이용한 DOPE 자기학습 성능 평가</dc:title>
  <dc:subject>DOPE self-training graduation thesis</dc:subject>
  <dc:creator/>
  <cp:keywords>DOPE; pallet; self training; pseudo label</cp:keywords>
  <dc:description>generated by python-docx</dc:description>
  <cp:lastModifiedBy/>
  <cp:revision>1</cp:revision>
  <dcterms:created xsi:type="dcterms:W3CDTF">2013-12-23T23:15:00Z</dcterms:created>
  <dcterms:modified xsi:type="dcterms:W3CDTF">2013-12-23T23:15:00Z</dcterms:modified>
  <cp:category/>
</cp:coreProperties>
</file>