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1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관측-진폭으로-추가-잔차를-제한하는-시계열-파라미터-효율-적응"/>
    <w:p>
      <w:pPr>
        <w:pStyle w:val="Heading1"/>
      </w:pPr>
      <w:r>
        <w:t xml:space="preserve">관측 진폭으로 추가 잔차를 제한하는 시계열 파라미터 효율 적응</w:t>
      </w:r>
    </w:p>
    <w:p>
      <w:pPr>
        <w:pStyle w:val="FirstParagraph"/>
      </w:pPr>
      <w:r>
        <w:rPr>
          <w:b/>
          <w:bCs/>
        </w:rPr>
        <w:t xml:space="preserve">한국어 방법론 원고 v1 · 2026-09-19 · 내부 검토본</w:t>
      </w:r>
    </w:p>
    <w:p>
      <w:pPr>
        <w:pStyle w:val="BodyText"/>
      </w:pPr>
      <w:r>
        <w:t xml:space="preserve">저자·소속·투고처는 미정이다. 본 원고는 완료된 실험에 근거한 방법 기술이며, 투고 준비 완료나 방법론 신규성 확보를 선언하지 않는다. 추가 PETSA 부품 비교는 준비 상태로만 기록하며 결과에 포함하지 않았다.</w:t>
      </w:r>
    </w:p>
    <w:bookmarkStart w:id="9" w:name="초록"/>
    <w:p>
      <w:pPr>
        <w:pStyle w:val="Heading2"/>
      </w:pPr>
      <w:r>
        <w:t xml:space="preserve">초록</w:t>
      </w:r>
    </w:p>
    <w:p>
      <w:pPr>
        <w:pStyle w:val="FirstParagraph"/>
      </w:pPr>
      <w:r>
        <w:t xml:space="preserve">잘 학습된 시계열 예측기에 작은 잔차 모듈을 더할 때, 추가 학습이 모든 입력 구간에 동일하게 유리하지 않을 수 있다. 본 연구는 기존 예측기의 관측 입력과 가중치를 유지하면서, 관측창의 robust 진폭 통계로 추가 patch 잔차를 제한하는 MAG 설계를 검토한다. 고정 gate는 중앙값과 MAD 기반 scale에 비해 극단적인 관측의 patch 내 비율을 계산한다. 잔차는 8,712개 파라미터의 bottleneck 모듈이며, 출력층의 영 초기화로 학습 시작 시 기존 예측과 정확히 일치한다. Chronos-Bolt-small을 기반으로 일반 잔차와 두 학습형 embedding gate를 동일한 학습·검증 기회에서 비교했다. 큰 합성 지속 변화인 SHIFT8에서 MAG는 일반 잔차보다 전력 16계열 전이에서 3.794%, 사전 고정한 NESO 후반 기간에서 1.941% 낮은 정규화 절대오차를 보였다. 두 학습형 gate 대비 이득도 두 공통 seed에서 양수였다. 그러나 ETTm1에서는 검증이 추가 적응을 선택하지 않았고, 원자료·오류 조건과 긴 변화 형태에서 손해가 남았다. 결과는 관측 진폭에 따른 추가 잔차 제한의 조건부 유용성을 지지한다. 모든 gating 방법에 대한 우위, 실제 오류와 변화의 식별, 충분한 신규성 또는 독립 원천 일반화를 입증하지는 않는다.</w:t>
      </w:r>
    </w:p>
    <w:bookmarkEnd w:id="9"/>
    <w:bookmarkStart w:id="12" w:name="서론"/>
    <w:p>
      <w:pPr>
        <w:pStyle w:val="Heading2"/>
      </w:pPr>
      <w:r>
        <w:t xml:space="preserve">1. 서론</w:t>
      </w:r>
    </w:p>
    <w:p>
      <w:pPr>
        <w:pStyle w:val="FirstParagraph"/>
      </w:pPr>
      <w:r>
        <w:t xml:space="preserve">파라미터 효율 적응은 기반 모델의 많은 가중치를 공유하면서 작은 학습 모듈로 과제에 적응하는 접근이다.</w:t>
      </w:r>
      <w:r>
        <w:t xml:space="preserve"> </w:t>
      </w:r>
      <w:hyperlink r:id="rId10">
        <w:r>
          <w:rPr>
            <w:rStyle w:val="Hyperlink"/>
          </w:rPr>
          <w:t xml:space="preserve">Houlsby 등</w:t>
        </w:r>
      </w:hyperlink>
      <w:r>
        <w:t xml:space="preserve">의 adapter와</w:t>
      </w:r>
      <w:r>
        <w:t xml:space="preserve"> </w:t>
      </w:r>
      <w:hyperlink r:id="rId11">
        <w:r>
          <w:rPr>
            <w:rStyle w:val="Hyperlink"/>
          </w:rPr>
          <w:t xml:space="preserve">Hu 등</w:t>
        </w:r>
      </w:hyperlink>
      <w:r>
        <w:t xml:space="preserve">의 LoRA는 이 접근의 대표적인 선행이다. 이미 적응한 예측기가 있는 상황에서는 새 모듈 자체의 성능보다, 그 예측기를 출발점으로 추가 비용이 어떤 이득과 손해를 만드는지가 중요하다.</w:t>
      </w:r>
    </w:p>
    <w:p>
      <w:pPr>
        <w:pStyle w:val="BodyText"/>
      </w:pPr>
      <w:r>
        <w:t xml:space="preserve">본 연구의 출발점 B0는 원래 입력을 유지하는 합성 증강으로 LoRA를 학습한 Chronos-Bolt-small이다. 우리는 B0의 출력을 대체하는 새 예측기를 설계하지 않고, B0 내부에 작은 추가 잔차를 학습하는 문제를 다룬다. 설계 가설은 관측창에서 극단적인 구간의 추가 잔차를 제한하면 일부 큰 변화 조건에서 불필요한 보정을 줄일 수 있다는 것이다. 이 가설은 최종 오차를 항상 줄인다는 보장이 아니며, 관측한 이득의 유일한 인과기전으로 확정하지 않는다.</w:t>
      </w:r>
    </w:p>
    <w:p>
      <w:pPr>
        <w:pStyle w:val="BodyText"/>
      </w:pPr>
      <w:r>
        <w:t xml:space="preserve">제안 설계는 원래 관측을 clipping하지 않는다. 극단값이 실제 지속 변화에서 비롯되었을 가능성을 남겨 둔 채, 이미 학습된 B0 경로는 유지하고 새 잔차의 적용 강도만 조절한다. gate는 평가 정답이나 합성 상태를 읽지 않는다. 원래 관측을 남겼다는 사실과 최종 예측이 보존된다는 보장은 다르며, 후자는 실험에서 별도로 확인해야 한다.</w:t>
      </w:r>
    </w:p>
    <w:p>
      <w:pPr>
        <w:pStyle w:val="BodyText"/>
      </w:pPr>
      <w:r>
        <w:t xml:space="preserve">이 원고의 기여 범위는 세 가지다. 첫째, 관측만으로 계산하는 고정 진폭 gate와 작은 내부 잔차를 결합한 실행 가능한 적응 설계를 명세한다. 둘째, 같은 B0에서 일반 잔차 및 두 학습형 gate와의 직접 비교로 추가 가치를 정량화한다. 셋째, 부정 조건과 비용, 자료 재사용 이력을 함께 제시해 효과가 확인된 범위를 제한한다. gating이나 bottleneck adapter 자체의 최초성은 기여로 주장하지 않는다. MAG를 연구 후보로 남기기로 한 결정은 기존 개발 E를 본 뒤 이루어졌다는 점을 공개한다.</w:t>
      </w:r>
    </w:p>
    <w:bookmarkEnd w:id="12"/>
    <w:bookmarkStart w:id="16" w:name="관련-연구와-구체적-차이"/>
    <w:p>
      <w:pPr>
        <w:pStyle w:val="Heading2"/>
      </w:pPr>
      <w:r>
        <w:t xml:space="preserve">2. 관련 연구와 구체적 차이</w:t>
      </w:r>
    </w:p>
    <w:p>
      <w:pPr>
        <w:pStyle w:val="FirstParagraph"/>
      </w:pPr>
      <w:hyperlink r:id="rId13">
        <w:r>
          <w:rPr>
            <w:rStyle w:val="Hyperlink"/>
          </w:rPr>
          <w:t xml:space="preserve">Time-PEFT 공개 코드</w:t>
        </w:r>
      </w:hyperlink>
      <w:r>
        <w:t xml:space="preserve">는 MOMENT encoder 뒤의 주파수·채널별 adapter와 head·LoRA를 학습한다. MAG는 이미 학습한 Chronos B0를 동결하고 attention 이전의 추가 잔차만 학습한다. backbone과 학습 대상이 다르므로 현재 결과를 Time-PEFT 전체에 대한 우위로 해석하지 않는다. 공식 ChannelAdapter의 채널별 파라미터와 다른 채널 값의 직접 혼합도 구분한다. 코드와 CPU 검사에서는 해당 adapter가 다른 채널의 값을 직접 섞지 않았다.</w:t>
      </w:r>
    </w:p>
    <w:p>
      <w:pPr>
        <w:pStyle w:val="BodyText"/>
      </w:pPr>
      <w:hyperlink r:id="rId14">
        <w:r>
          <w:rPr>
            <w:rStyle w:val="Hyperlink"/>
          </w:rPr>
          <w:t xml:space="preserve">GateRA</w:t>
        </w:r>
      </w:hyperlink>
      <w:r>
        <w:t xml:space="preserve">는 입력 표현에 따른 PEFT 조절을 제안했다. 본 연구의 TOKEN_GATE 및 TOKEN_GATE_ENTROPY는 그 원리에서 착안한 additive residual 대조이며, 공식 HiRA 구조와 NLP 실험의 전체 재현은 아니다.</w:t>
      </w:r>
      <w:r>
        <w:t xml:space="preserve"> </w:t>
      </w:r>
      <w:hyperlink r:id="rId15">
        <w:r>
          <w:rPr>
            <w:rStyle w:val="Hyperlink"/>
          </w:rPr>
          <w:t xml:space="preserve">PETSA</w:t>
        </w:r>
      </w:hyperlink>
      <w:r>
        <w:t xml:space="preserve">도 저랭크 입력·출력 보정과 gating을 사용하며 부분 또는 지연 정답으로 온라인 갱신한다. 따라서 작은 보정 모듈이나 입력 의존 gating의 존재만으로 신규성을 주장할 수 없다.</w:t>
      </w:r>
    </w:p>
    <w:p>
      <w:pPr>
        <w:pStyle w:val="BodyText"/>
      </w:pPr>
      <w:r>
        <w:t xml:space="preserve">본 연구의 구체적인 차이는 raw 관측 경로의 보존, 고정 robust-statistic gate, 내부 patch 잔차 제한의 조합이다. 이 차이가 충분한 방법론 기여인지는 가까운 선행의 실제 비교와 함께 판단해야 한다. 현재 δ-Adapter의 공개 XY cell과 gate 원리를 통제 이식한 비교는 완료했지만, Time-PEFT·GateRA·PETSA 전체 방법의 공정한 재현을 완료한 것은 아니다. 공식 코드 버전과 검사 범위는 공개 부록의 선행 호환성 감사에 기록한다.</w:t>
      </w:r>
    </w:p>
    <w:bookmarkEnd w:id="16"/>
    <w:bookmarkStart w:id="25" w:name="방법"/>
    <w:p>
      <w:pPr>
        <w:pStyle w:val="Heading2"/>
      </w:pPr>
      <w:r>
        <w:t xml:space="preserve">3. 방법</w:t>
      </w:r>
    </w:p>
    <w:bookmarkStart w:id="21" w:name="문제와-기반-예측기"/>
    <w:p>
      <w:pPr>
        <w:pStyle w:val="Heading3"/>
      </w:pPr>
      <w:r>
        <w:t xml:space="preserve">3.1 문제와 기반 예측기</w:t>
      </w:r>
    </w:p>
    <w:p>
      <w:pPr>
        <w:pStyle w:val="FirstParagraph"/>
      </w:pPr>
      <w:r>
        <w:t xml:space="preserve">입력은 과거 512개 관측, 출력은 미래 64개 시점의 0.1–0.9 분위수 9개다. B0는</w:t>
      </w:r>
      <w:r>
        <w:t xml:space="preserve"> </w:t>
      </w:r>
      <w:hyperlink r:id="rId17">
        <w:r>
          <w:rPr>
            <w:rStyle w:val="Hyperlink"/>
          </w:rPr>
          <w:t xml:space="preserve">Chronos-Bolt-small</w:t>
        </w:r>
      </w:hyperlink>
      <w:r>
        <w:t xml:space="preserve">에 q/v rank8 LoRA로 적응한 source·seed별 모델이다. LoRA의 기존 학습 파라미터는 294,912개다. 추가 단계에서는 이 가중치와 기반 모델을 모두 동결한다. 이하의 파라미터 수는 B0를 만드는 비용을 제외한 추가 비용이다.</w:t>
      </w:r>
    </w:p>
    <w:p>
      <w:pPr>
        <w:pStyle w:val="BodyText"/>
      </w:pPr>
      <w:r>
        <w:t xml:space="preserve">원래 instance normalization, 길이16의 patching, patch embedding과 출력 역정규화를 유지한다. 입력의 32개 patch embedding을</w:t>
      </w:r>
      <w:r>
        <w:t xml:space="preserve"> </w:t>
      </w:r>
      <m:oMath>
        <m:sSub>
          <m:e>
            <m:r>
              <m:t>h</m:t>
            </m:r>
          </m:e>
          <m:sub>
            <m:r>
              <m:t>j</m:t>
            </m:r>
          </m:sub>
        </m:sSub>
        <m:r>
          <m:rPr>
            <m:sty m:val="p"/>
          </m:rPr>
          <m:t>∈</m:t>
        </m:r>
        <m:sSup>
          <m:e>
            <m:r>
              <m:rPr>
                <m:scr m:val="double-struck"/>
                <m:sty m:val="p"/>
              </m:rPr>
              <m:t>R</m:t>
            </m:r>
          </m:e>
          <m:sup>
            <m:r>
              <m:t>512</m:t>
            </m:r>
          </m:sup>
        </m:sSup>
      </m:oMath>
      <w:r>
        <w:t xml:space="preserve">라 한다. 모든 채널은 같은 추가 모듈을 사용해 각각 예측한다. 추가 모듈을 학습하는 역전파는 동결된 encoder와 decoder를 통과한다. 가중치 동결이 역전파 계산의 제거를 뜻하지 않는다.</w:t>
      </w:r>
    </w:p>
    <w:p>
      <w:pPr>
        <w:pStyle w:val="CaptionedFigure"/>
      </w:pPr>
      <w:r>
        <w:drawing>
          <wp:inline>
            <wp:extent cx="5334000" cy="2524760"/>
            <wp:effectExtent b="0" l="0" r="0" t="0"/>
            <wp:docPr descr="관측 입력을 보존하는 고정 MAG의 구조" title="" id="19" name="Picture"/>
            <a:graphic>
              <a:graphicData uri="http://schemas.openxmlformats.org/drawingml/2006/picture">
                <pic:pic>
                  <pic:nvPicPr>
                    <pic:cNvPr descr="figures/method.png" id="20" name="Picture"/>
                    <pic:cNvPicPr>
                      <a:picLocks noChangeArrowheads="1" noChangeAspect="1"/>
                    </pic:cNvPicPr>
                  </pic:nvPicPr>
                  <pic:blipFill>
                    <a:blip r:embed="rId18"/>
                    <a:stretch>
                      <a:fillRect/>
                    </a:stretch>
                  </pic:blipFill>
                  <pic:spPr bwMode="auto">
                    <a:xfrm>
                      <a:off x="0" y="0"/>
                      <a:ext cx="5334000" cy="2524760"/>
                    </a:xfrm>
                    <a:prstGeom prst="rect">
                      <a:avLst/>
                    </a:prstGeom>
                    <a:noFill/>
                    <a:ln w="9525">
                      <a:noFill/>
                      <a:headEnd/>
                      <a:tailEnd/>
                    </a:ln>
                  </pic:spPr>
                </pic:pic>
              </a:graphicData>
            </a:graphic>
          </wp:inline>
        </w:drawing>
      </w:r>
    </w:p>
    <w:p>
      <w:pPr>
        <w:pStyle w:val="ImageCaption"/>
      </w:pPr>
      <w:r>
        <w:t xml:space="preserve">관측 입력을 보존하는 고정 MAG의 구조</w:t>
      </w:r>
    </w:p>
    <w:p>
      <w:pPr>
        <w:pStyle w:val="BodyText"/>
      </w:pPr>
      <w:r>
        <w:rPr>
          <w:i/>
          <w:iCs/>
        </w:rPr>
        <w:t xml:space="preserve">그림 1. 고정 gate는 관측만 읽고, 학습되는 작은 잔차의 patch별 강도를 제한한다. 원래 B0와 입력을 유지한다. 그림의 학습형 gate는 설명 대조이며 제안 gate 자체에는 학습 파라미터가 없다.</w:t>
      </w:r>
    </w:p>
    <w:bookmarkEnd w:id="21"/>
    <w:bookmarkStart w:id="22" w:name="관측-진폭-gate"/>
    <w:p>
      <w:pPr>
        <w:pStyle w:val="Heading3"/>
      </w:pPr>
      <w:r>
        <w:t xml:space="preserve">3.2 관측 진폭 gate</w:t>
      </w:r>
    </w:p>
    <w:p>
      <w:pPr>
        <w:pStyle w:val="FirstParagraph"/>
      </w:pPr>
      <w:r>
        <w:t xml:space="preserve">관측창 x의 중앙값과 robust scale을 다음과 같이 계산한다.</w:t>
      </w:r>
    </w:p>
    <w:p>
      <w:pPr>
        <w:pStyle w:val="BodyText"/>
      </w:pPr>
      <m:oMathPara>
        <m:oMathParaPr>
          <m:jc m:val="center"/>
        </m:oMathParaPr>
        <m:oMath>
          <m:r>
            <m:t>m</m:t>
          </m:r>
          <m:r>
            <m:rPr>
              <m:sty m:val="p"/>
            </m:rPr>
            <m:t>(</m:t>
          </m:r>
          <m:r>
            <m:t>x</m:t>
          </m:r>
          <m:r>
            <m:rPr>
              <m:sty m:val="p"/>
            </m:rPr>
            <m:t>)</m:t>
          </m:r>
          <m:r>
            <m:rPr>
              <m:sty m:val="p"/>
            </m:rPr>
            <m:t>=</m:t>
          </m:r>
          <m:sSub>
            <m:e>
              <m:r>
                <m:rPr>
                  <m:sty m:val="p"/>
                </m:rPr>
                <m:t>median</m:t>
              </m:r>
            </m:e>
            <m:sub>
              <m:r>
                <m:t>t</m:t>
              </m:r>
            </m:sub>
          </m:sSub>
          <m:sSub>
            <m:e>
              <m:r>
                <m:t>x</m:t>
              </m:r>
            </m:e>
            <m:sub>
              <m:r>
                <m:t>t</m:t>
              </m:r>
            </m:sub>
          </m:sSub>
          <m:r>
            <m:rPr>
              <m:sty m:val="p"/>
            </m:rPr>
            <m:t>,</m:t>
          </m:r>
          <m:r>
            <m:t>  </m:t>
          </m:r>
          <m:r>
            <m:t>s</m:t>
          </m:r>
          <m:r>
            <m:rPr>
              <m:sty m:val="p"/>
            </m:rPr>
            <m:t>(</m:t>
          </m:r>
          <m:r>
            <m:t>x</m:t>
          </m:r>
          <m:r>
            <m:rPr>
              <m:sty m:val="p"/>
            </m:rPr>
            <m:t>)</m:t>
          </m:r>
          <m:r>
            <m:rPr>
              <m:sty m:val="p"/>
            </m:rPr>
            <m:t>=</m:t>
          </m:r>
          <m:r>
            <m:rPr>
              <m:sty m:val="p"/>
            </m:rPr>
            <m:t>max</m:t>
          </m:r>
          <m:r>
            <m:rPr>
              <m:sty m:val="p"/>
            </m:rPr>
            <m:t>{</m:t>
          </m:r>
          <m:r>
            <m:t>1.4826</m:t>
          </m:r>
          <m:sSub>
            <m:e>
              <m:r>
                <m:rPr>
                  <m:sty m:val="p"/>
                </m:rPr>
                <m:t>median</m:t>
              </m:r>
            </m:e>
            <m:sub>
              <m:r>
                <m:t>t</m:t>
              </m:r>
            </m:sub>
          </m:sSub>
          <m:r>
            <m:rPr>
              <m:sty m:val="p"/>
            </m:rPr>
            <m:t>|</m:t>
          </m:r>
          <m:sSub>
            <m:e>
              <m:r>
                <m:t>x</m:t>
              </m:r>
            </m:e>
            <m:sub>
              <m:r>
                <m:t>t</m:t>
              </m:r>
            </m:sub>
          </m:sSub>
          <m:r>
            <m:rPr>
              <m:sty m:val="p"/>
            </m:rPr>
            <m:t>−</m:t>
          </m:r>
          <m:r>
            <m:t>m</m:t>
          </m:r>
          <m:r>
            <m:rPr>
              <m:sty m:val="p"/>
            </m:rPr>
            <m:t>(</m:t>
          </m:r>
          <m:r>
            <m:t>x</m:t>
          </m:r>
          <m:r>
            <m:rPr>
              <m:sty m:val="p"/>
            </m:rPr>
            <m:t>)</m:t>
          </m:r>
          <m:r>
            <m:rPr>
              <m:sty m:val="p"/>
            </m:rPr>
            <m:t>|</m:t>
          </m:r>
          <m:r>
            <m:rPr>
              <m:sty m:val="p"/>
            </m:rPr>
            <m:t>,</m:t>
          </m:r>
          <m:r>
            <m:t> </m:t>
          </m:r>
          <m:r>
            <m:t>0.1</m:t>
          </m:r>
          <m:sSub>
            <m:e>
              <m:r>
                <m:t>σ</m:t>
              </m:r>
            </m:e>
            <m:sub>
              <m:r>
                <m:rPr>
                  <m:sty m:val="p"/>
                </m:rPr>
                <m:t>T</m:t>
              </m:r>
              <m:r>
                <m:rPr>
                  <m:sty m:val="p"/>
                </m:rPr>
                <m:t>R</m:t>
              </m:r>
              <m:r>
                <m:rPr>
                  <m:sty m:val="p"/>
                </m:rPr>
                <m:t>A</m:t>
              </m:r>
              <m:r>
                <m:rPr>
                  <m:sty m:val="p"/>
                </m:rPr>
                <m:t>I</m:t>
              </m:r>
              <m:r>
                <m:rPr>
                  <m:sty m:val="p"/>
                </m:rPr>
                <m:t>N</m:t>
              </m:r>
            </m:sub>
          </m:sSub>
          <m:r>
            <m:rPr>
              <m:sty m:val="p"/>
            </m:rPr>
            <m:t>}</m:t>
          </m:r>
          <m:r>
            <m:rPr>
              <m:sty m:val="p"/>
            </m:rPr>
            <m:t>.</m:t>
          </m:r>
        </m:oMath>
      </m:oMathPara>
    </w:p>
    <w:p>
      <w:pPr>
        <w:pStyle w:val="FirstParagraph"/>
      </w:pPr>
      <m:oMath>
        <m:sSub>
          <m:e>
            <m:r>
              <m:t>σ</m:t>
            </m:r>
          </m:e>
          <m:sub>
            <m:r>
              <m:rPr>
                <m:sty m:val="p"/>
              </m:rPr>
              <m:t>T</m:t>
            </m:r>
            <m:r>
              <m:rPr>
                <m:sty m:val="p"/>
              </m:rPr>
              <m:t>R</m:t>
            </m:r>
            <m:r>
              <m:rPr>
                <m:sty m:val="p"/>
              </m:rPr>
              <m:t>A</m:t>
            </m:r>
            <m:r>
              <m:rPr>
                <m:sty m:val="p"/>
              </m:rPr>
              <m:t>I</m:t>
            </m:r>
            <m:r>
              <m:rPr>
                <m:sty m:val="p"/>
              </m:rPr>
              <m:t>N</m:t>
            </m:r>
          </m:sub>
        </m:sSub>
      </m:oMath>
      <w:r>
        <w:t xml:space="preserve">은 각 계열의 사전 고정 학습 구간 population 표준편차다. patch</w:t>
      </w:r>
      <w:r>
        <w:t xml:space="preserve"> </w:t>
      </w:r>
      <m:oMath>
        <m:sSub>
          <m:e>
            <m:r>
              <m:t>P</m:t>
            </m:r>
          </m:e>
          <m:sub>
            <m:r>
              <m:t>j</m:t>
            </m:r>
          </m:sub>
        </m:sSub>
      </m:oMath>
      <w:r>
        <w:t xml:space="preserve">에서 robust 절댓값이3을 초과하는 비율을 이용해</w:t>
      </w:r>
    </w:p>
    <w:p>
      <w:pPr>
        <w:pStyle w:val="BodyText"/>
      </w:pPr>
      <m:oMathPara>
        <m:oMathParaPr>
          <m:jc m:val="center"/>
        </m:oMathParaPr>
        <m:oMath>
          <m:sSub>
            <m:e>
              <m:r>
                <m:t>g</m:t>
              </m:r>
            </m:e>
            <m:sub>
              <m:r>
                <m:t>j</m:t>
              </m:r>
            </m:sub>
          </m:sSub>
          <m:r>
            <m:rPr>
              <m:sty m:val="p"/>
            </m:rPr>
            <m:t>(</m:t>
          </m:r>
          <m:r>
            <m:t>x</m:t>
          </m:r>
          <m:r>
            <m:rPr>
              <m:sty m:val="p"/>
            </m:rPr>
            <m:t>)</m:t>
          </m:r>
          <m:r>
            <m:rPr>
              <m:sty m:val="p"/>
            </m:rPr>
            <m:t>=</m:t>
          </m:r>
          <m:r>
            <m:t>1</m:t>
          </m:r>
          <m:r>
            <m:rPr>
              <m:sty m:val="p"/>
            </m:rPr>
            <m:t>−</m:t>
          </m:r>
          <m:f>
            <m:fPr>
              <m:type m:val="bar"/>
            </m:fPr>
            <m:num>
              <m:r>
                <m:t>1</m:t>
              </m:r>
            </m:num>
            <m:den>
              <m:r>
                <m:t>16</m:t>
              </m:r>
            </m:den>
          </m:f>
          <m:nary>
            <m:naryPr>
              <m:chr m:val="∑"/>
              <m:limLoc m:val="undOvr"/>
              <m:subHide m:val="off"/>
              <m:supHide m:val="on"/>
            </m:naryPr>
            <m:sub>
              <m:r>
                <m:t>t</m:t>
              </m:r>
              <m:r>
                <m:rPr>
                  <m:sty m:val="p"/>
                </m:rPr>
                <m:t>∈</m:t>
              </m:r>
              <m:sSub>
                <m:e>
                  <m:r>
                    <m:t>P</m:t>
                  </m:r>
                </m:e>
                <m:sub>
                  <m:r>
                    <m:t>j</m:t>
                  </m:r>
                </m:sub>
              </m:sSub>
            </m:sub>
            <m:sup>
              <m:r>
                <m:t>​</m:t>
              </m:r>
            </m:sup>
            <m:e>
              <m:r>
                <m:rPr>
                  <m:sty m:val="b"/>
                </m:rPr>
                <m:t>1</m:t>
              </m:r>
            </m:e>
          </m:nary>
          <m:d>
            <m:dPr>
              <m:begChr m:val="["/>
              <m:sepChr m:val=""/>
              <m:endChr m:val="]"/>
              <m:grow/>
            </m:dPr>
            <m:e>
              <m:f>
                <m:fPr>
                  <m:type m:val="bar"/>
                </m:fPr>
                <m:num>
                  <m:r>
                    <m:rPr>
                      <m:sty m:val="p"/>
                    </m:rPr>
                    <m:t>|</m:t>
                  </m:r>
                  <m:sSub>
                    <m:e>
                      <m:r>
                        <m:t>x</m:t>
                      </m:r>
                    </m:e>
                    <m:sub>
                      <m:r>
                        <m:t>t</m:t>
                      </m:r>
                    </m:sub>
                  </m:sSub>
                  <m:r>
                    <m:rPr>
                      <m:sty m:val="p"/>
                    </m:rPr>
                    <m:t>−</m:t>
                  </m:r>
                  <m:r>
                    <m:t>m</m:t>
                  </m:r>
                  <m:r>
                    <m:rPr>
                      <m:sty m:val="p"/>
                    </m:rPr>
                    <m:t>(</m:t>
                  </m:r>
                  <m:r>
                    <m:t>x</m:t>
                  </m:r>
                  <m:r>
                    <m:rPr>
                      <m:sty m:val="p"/>
                    </m:rPr>
                    <m:t>)</m:t>
                  </m:r>
                  <m:r>
                    <m:rPr>
                      <m:sty m:val="p"/>
                    </m:rPr>
                    <m:t>|</m:t>
                  </m:r>
                </m:num>
                <m:den>
                  <m:r>
                    <m:t>s</m:t>
                  </m:r>
                  <m:r>
                    <m:rPr>
                      <m:sty m:val="p"/>
                    </m:rPr>
                    <m:t>(</m:t>
                  </m:r>
                  <m:r>
                    <m:t>x</m:t>
                  </m:r>
                  <m:r>
                    <m:rPr>
                      <m:sty m:val="p"/>
                    </m:rPr>
                    <m:t>)</m:t>
                  </m:r>
                </m:den>
              </m:f>
              <m:r>
                <m:rPr>
                  <m:sty m:val="p"/>
                </m:rPr>
                <m:t>&gt;</m:t>
              </m:r>
              <m:r>
                <m:t>3</m:t>
              </m:r>
            </m:e>
          </m:d>
        </m:oMath>
      </m:oMathPara>
    </w:p>
    <w:p>
      <w:pPr>
        <w:pStyle w:val="FirstParagraph"/>
      </w:pPr>
      <w:r>
        <w:t xml:space="preserve">으로 정의한다.</w:t>
      </w:r>
      <w:r>
        <w:t xml:space="preserve"> </w:t>
      </w:r>
      <m:oMath>
        <m:r>
          <m:t>0</m:t>
        </m:r>
        <m:r>
          <m:rPr>
            <m:sty m:val="p"/>
          </m:rPr>
          <m:t>≤</m:t>
        </m:r>
        <m:sSub>
          <m:e>
            <m:r>
              <m:t>g</m:t>
            </m:r>
          </m:e>
          <m:sub>
            <m:r>
              <m:t>j</m:t>
            </m:r>
          </m:sub>
        </m:sSub>
        <m:r>
          <m:rPr>
            <m:sty m:val="p"/>
          </m:rPr>
          <m:t>≤</m:t>
        </m:r>
        <m:r>
          <m:t>1</m:t>
        </m:r>
      </m:oMath>
      <w:r>
        <w:t xml:space="preserve">이며, threshold3과 scale floor0.1은 결과를 본 뒤 변경하지 않았다. 구현은 두 중앙값에 quantile(0.5)을 사용한다. gate는 깨끗한 원본 x₀, 생성 상태, 오류 위치, 참 변화량, 미래 정답을 받지 않는다. 생성기의 변형 진폭을 정하는 scale과 모델이 변형 후 관측에서 다시 계산하는 scale을 구분한다.</w:t>
      </w:r>
    </w:p>
    <w:bookmarkEnd w:id="22"/>
    <w:bookmarkStart w:id="23" w:name="추가-잔차와-초기화"/>
    <w:p>
      <w:pPr>
        <w:pStyle w:val="Heading3"/>
      </w:pPr>
      <w:r>
        <w:t xml:space="preserve">3.3 추가 잔차와 초기화</w:t>
      </w:r>
    </w:p>
    <w:p>
      <w:pPr>
        <w:pStyle w:val="FirstParagraph"/>
      </w:pPr>
      <w:r>
        <w:t xml:space="preserve">학습되는 잔차는 다음과 같다.</w:t>
      </w:r>
    </w:p>
    <w:p>
      <w:pPr>
        <w:pStyle w:val="BodyText"/>
      </w:pPr>
      <m:oMathPara>
        <m:oMathParaPr>
          <m:jc m:val="center"/>
        </m:oMathParaPr>
        <m:oMath>
          <m:sSub>
            <m:e>
              <m:r>
                <m:t>a</m:t>
              </m:r>
            </m:e>
            <m:sub>
              <m:r>
                <m:t>θ</m:t>
              </m:r>
            </m:sub>
          </m:sSub>
          <m:r>
            <m:rPr>
              <m:sty m:val="p"/>
            </m:rPr>
            <m:t>(</m:t>
          </m:r>
          <m:sSub>
            <m:e>
              <m:r>
                <m:t>h</m:t>
              </m:r>
            </m:e>
            <m:sub>
              <m:r>
                <m:t>j</m:t>
              </m:r>
            </m:sub>
          </m:sSub>
          <m:r>
            <m:rPr>
              <m:sty m:val="p"/>
            </m:rPr>
            <m:t>)</m:t>
          </m:r>
          <m:r>
            <m:rPr>
              <m:sty m:val="p"/>
            </m:rPr>
            <m:t>=</m:t>
          </m:r>
          <m:r>
            <m:t>c</m:t>
          </m:r>
          <m:r>
            <m:rPr>
              <m:sty m:val="p"/>
            </m:rPr>
            <m:t>(</m:t>
          </m:r>
          <m:r>
            <m:t>h</m:t>
          </m:r>
          <m:r>
            <m:rPr>
              <m:sty m:val="p"/>
            </m:rPr>
            <m:t>)</m:t>
          </m:r>
          <m:r>
            <m:rPr>
              <m:sty m:val="p"/>
            </m:rPr>
            <m:t>tanh</m:t>
          </m:r>
          <m:r>
            <m:t>​</m:t>
          </m:r>
          <m:d>
            <m:dPr>
              <m:begChr m:val="("/>
              <m:sepChr m:val=""/>
              <m:endChr m:val=")"/>
              <m:grow/>
            </m:dPr>
            <m:e>
              <m:sSub>
                <m:e>
                  <m:r>
                    <m:t>W</m:t>
                  </m:r>
                </m:e>
                <m:sub>
                  <m:r>
                    <m:t>u</m:t>
                  </m:r>
                </m:sub>
              </m:sSub>
              <m:r>
                <m:rPr>
                  <m:sty m:val="p"/>
                </m:rPr>
                <m:t>GELU</m:t>
              </m:r>
              <m:r>
                <m:rPr>
                  <m:sty m:val="p"/>
                </m:rPr>
                <m:t>(</m:t>
              </m:r>
              <m:sSub>
                <m:e>
                  <m:r>
                    <m:t>W</m:t>
                  </m:r>
                </m:e>
                <m:sub>
                  <m:r>
                    <m:t>d</m:t>
                  </m:r>
                </m:sub>
              </m:sSub>
              <m:sSub>
                <m:e>
                  <m:r>
                    <m:t>h</m:t>
                  </m:r>
                </m:e>
                <m:sub>
                  <m:r>
                    <m:t>j</m:t>
                  </m:r>
                </m:sub>
              </m:sSub>
              <m:r>
                <m:rPr>
                  <m:sty m:val="p"/>
                </m:rPr>
                <m:t>+</m:t>
              </m:r>
              <m:sSub>
                <m:e>
                  <m:r>
                    <m:t>b</m:t>
                  </m:r>
                </m:e>
                <m:sub>
                  <m:r>
                    <m:t>d</m:t>
                  </m:r>
                </m:sub>
              </m:sSub>
              <m:r>
                <m:rPr>
                  <m:sty m:val="p"/>
                </m:rPr>
                <m:t>)</m:t>
              </m:r>
              <m:r>
                <m:rPr>
                  <m:sty m:val="p"/>
                </m:rPr>
                <m:t>+</m:t>
              </m:r>
              <m:sSub>
                <m:e>
                  <m:r>
                    <m:t>b</m:t>
                  </m:r>
                </m:e>
                <m:sub>
                  <m:r>
                    <m:t>u</m:t>
                  </m:r>
                </m:sub>
              </m:sSub>
            </m:e>
          </m:d>
          <m:r>
            <m:rPr>
              <m:sty m:val="p"/>
            </m:rPr>
            <m:t>,</m:t>
          </m:r>
          <m:r>
            <m:t>  </m:t>
          </m:r>
          <m:sSub>
            <m:e>
              <m:sSup>
                <m:e>
                  <m:r>
                    <m:t>h</m:t>
                  </m:r>
                </m:e>
                <m:sup>
                  <m:r>
                    <m:rPr>
                      <m:sty m:val="p"/>
                    </m:rPr>
                    <m:t>′</m:t>
                  </m:r>
                </m:sup>
              </m:sSup>
            </m:e>
            <m:sub>
              <m:r>
                <m:t>j</m:t>
              </m:r>
            </m:sub>
          </m:sSub>
          <m:r>
            <m:rPr>
              <m:sty m:val="p"/>
            </m:rPr>
            <m:t>=</m:t>
          </m:r>
          <m:sSub>
            <m:e>
              <m:r>
                <m:t>h</m:t>
              </m:r>
            </m:e>
            <m:sub>
              <m:r>
                <m:t>j</m:t>
              </m:r>
            </m:sub>
          </m:sSub>
          <m:r>
            <m:rPr>
              <m:sty m:val="p"/>
            </m:rPr>
            <m:t>+</m:t>
          </m:r>
          <m:sSub>
            <m:e>
              <m:r>
                <m:t>g</m:t>
              </m:r>
            </m:e>
            <m:sub>
              <m:r>
                <m:t>j</m:t>
              </m:r>
            </m:sub>
          </m:sSub>
          <m:r>
            <m:rPr>
              <m:sty m:val="p"/>
            </m:rPr>
            <m:t>(</m:t>
          </m:r>
          <m:r>
            <m:t>x</m:t>
          </m:r>
          <m:r>
            <m:rPr>
              <m:sty m:val="p"/>
            </m:rPr>
            <m:t>)</m:t>
          </m:r>
          <m:sSub>
            <m:e>
              <m:r>
                <m:t>a</m:t>
              </m:r>
            </m:e>
            <m:sub>
              <m:r>
                <m:t>θ</m:t>
              </m:r>
            </m:sub>
          </m:sSub>
          <m:r>
            <m:rPr>
              <m:sty m:val="p"/>
            </m:rPr>
            <m:t>(</m:t>
          </m:r>
          <m:sSub>
            <m:e>
              <m:r>
                <m:t>h</m:t>
              </m:r>
            </m:e>
            <m:sub>
              <m:r>
                <m:t>j</m:t>
              </m:r>
            </m:sub>
          </m:sSub>
          <m:r>
            <m:rPr>
              <m:sty m:val="p"/>
            </m:rPr>
            <m:t>)</m:t>
          </m:r>
          <m:r>
            <m:rPr>
              <m:sty m:val="p"/>
            </m:rPr>
            <m:t>.</m:t>
          </m:r>
        </m:oMath>
      </m:oMathPara>
    </w:p>
    <w:p>
      <w:pPr>
        <w:pStyle w:val="FirstParagraph"/>
      </w:pPr>
      <m:oMath>
        <m:sSub>
          <m:e>
            <m:r>
              <m:t>W</m:t>
            </m:r>
          </m:e>
          <m:sub>
            <m:r>
              <m:t>d</m:t>
            </m:r>
          </m:sub>
        </m:sSub>
      </m:oMath>
      <w:r>
        <w:t xml:space="preserve">와</w:t>
      </w:r>
      <w:r>
        <w:t xml:space="preserve"> </w:t>
      </w:r>
      <m:oMath>
        <m:sSub>
          <m:e>
            <m:r>
              <m:t>W</m:t>
            </m:r>
          </m:e>
          <m:sub>
            <m:r>
              <m:t>u</m:t>
            </m:r>
          </m:sub>
        </m:sSub>
      </m:oMath>
      <w:r>
        <w:t xml:space="preserve">의 차원은 각각 8×512, 512×8이다. c(h)는 원래 patch embedding의 RMS들의 중앙값을 최소10⁻⁶으로 제한한 값이며 stop-gradient를 적용한다. 파라미터 수는 512×8+8+8×512+512=8,712개다.</w:t>
      </w:r>
      <w:r>
        <w:t xml:space="preserve"> </w:t>
      </w:r>
      <m:oMath>
        <m:sSub>
          <m:e>
            <m:r>
              <m:t>W</m:t>
            </m:r>
          </m:e>
          <m:sub>
            <m:r>
              <m:t>u</m:t>
            </m:r>
          </m:sub>
        </m:sSub>
      </m:oMath>
      <w:r>
        <w:t xml:space="preserve">와</w:t>
      </w:r>
      <w:r>
        <w:t xml:space="preserve"> </w:t>
      </w:r>
      <m:oMath>
        <m:sSub>
          <m:e>
            <m:r>
              <m:t>b</m:t>
            </m:r>
          </m:e>
          <m:sub>
            <m:r>
              <m:t>u</m:t>
            </m:r>
          </m:sub>
        </m:sSub>
      </m:oMath>
      <w:r>
        <w:t xml:space="preserve">를0으로 초기화하므로 최초 예측은 B0와 정확히 같다. h′는 B0의 동결된 후속 계산을 거쳐 분위수 예측을 만든다.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학습·추론 시 계산</w:t>
            </w:r>
          </w:p>
        </w:tc>
        <w:tc>
          <w:tcPr/>
          <w:p>
            <w:pPr>
              <w:pStyle w:val="Compact"/>
            </w:pPr>
            <w:r>
              <w:t xml:space="preserve">정답 권한</w:t>
            </w:r>
          </w:p>
        </w:tc>
      </w:tr>
      <w:tr>
        <w:tc>
          <w:tcPr/>
          <w:p>
            <w:pPr>
              <w:pStyle w:val="Compact"/>
            </w:pPr>
            <w:r>
              <w:t xml:space="preserve">1</w:t>
            </w:r>
          </w:p>
        </w:tc>
        <w:tc>
          <w:tcPr/>
          <w:p>
            <w:pPr>
              <w:pStyle w:val="Compact"/>
            </w:pPr>
            <w:r>
              <w:t xml:space="preserve">관측512개와 고정 TRAIN sigma로 gate 계산</w:t>
            </w:r>
          </w:p>
        </w:tc>
        <w:tc>
          <w:tcPr/>
          <w:p>
            <w:pPr>
              <w:pStyle w:val="Compact"/>
            </w:pPr>
            <w:r>
              <w:t xml:space="preserve">미래 접근 없음</w:t>
            </w:r>
          </w:p>
        </w:tc>
      </w:tr>
      <w:tr>
        <w:tc>
          <w:tcPr/>
          <w:p>
            <w:pPr>
              <w:pStyle w:val="Compact"/>
            </w:pPr>
            <w:r>
              <w:t xml:space="preserve">2</w:t>
            </w:r>
          </w:p>
        </w:tc>
        <w:tc>
          <w:tcPr/>
          <w:p>
            <w:pPr>
              <w:pStyle w:val="Compact"/>
            </w:pPr>
            <w:r>
              <w:t xml:space="preserve">B0의 기존 정규화·patch embedding 계산</w:t>
            </w:r>
          </w:p>
        </w:tc>
        <w:tc>
          <w:tcPr/>
          <w:p>
            <w:pPr>
              <w:pStyle w:val="Compact"/>
            </w:pPr>
            <w:r>
              <w:t xml:space="preserve">미래 접근 없음</w:t>
            </w:r>
          </w:p>
        </w:tc>
      </w:tr>
      <w:tr>
        <w:tc>
          <w:tcPr/>
          <w:p>
            <w:pPr>
              <w:pStyle w:val="Compact"/>
            </w:pPr>
            <w:r>
              <w:t xml:space="preserve">3</w:t>
            </w:r>
          </w:p>
        </w:tc>
        <w:tc>
          <w:tcPr/>
          <w:p>
            <w:pPr>
              <w:pStyle w:val="Compact"/>
            </w:pPr>
            <w:r>
              <w:t xml:space="preserve">추가 잔차를 gate로 곱해 원래 embedding에 더함</w:t>
            </w:r>
          </w:p>
        </w:tc>
        <w:tc>
          <w:tcPr/>
          <w:p>
            <w:pPr>
              <w:pStyle w:val="Compact"/>
            </w:pPr>
            <w:r>
              <w:t xml:space="preserve">미래 접근 없음</w:t>
            </w:r>
          </w:p>
        </w:tc>
      </w:tr>
      <w:tr>
        <w:tc>
          <w:tcPr/>
          <w:p>
            <w:pPr>
              <w:pStyle w:val="Compact"/>
            </w:pPr>
            <w:r>
              <w:t xml:space="preserve">4</w:t>
            </w:r>
          </w:p>
        </w:tc>
        <w:tc>
          <w:tcPr/>
          <w:p>
            <w:pPr>
              <w:pStyle w:val="Compact"/>
            </w:pPr>
            <w:r>
              <w:t xml:space="preserve">동결된 encoder/decoder/head 및 역정규화로 예측</w:t>
            </w:r>
          </w:p>
        </w:tc>
        <w:tc>
          <w:tcPr/>
          <w:p>
            <w:pPr>
              <w:pStyle w:val="Compact"/>
            </w:pPr>
            <w:r>
              <w:t xml:space="preserve">미래 접근 없음</w:t>
            </w:r>
          </w:p>
        </w:tc>
      </w:tr>
      <w:tr>
        <w:tc>
          <w:tcPr/>
          <w:p>
            <w:pPr>
              <w:pStyle w:val="Compact"/>
            </w:pPr>
            <w:r>
              <w:t xml:space="preserve">5</w:t>
            </w:r>
          </w:p>
        </w:tc>
        <w:tc>
          <w:tcPr/>
          <w:p>
            <w:pPr>
              <w:pStyle w:val="Compact"/>
            </w:pPr>
            <w:r>
              <w:t xml:space="preserve">TRAIN에서만 loss를 계산하고 잔차 가중치 갱신</w:t>
            </w:r>
          </w:p>
        </w:tc>
        <w:tc>
          <w:tcPr/>
          <w:p>
            <w:pPr>
              <w:pStyle w:val="Compact"/>
            </w:pPr>
            <w:r>
              <w:t xml:space="preserve">학습 정답만 사용</w:t>
            </w:r>
          </w:p>
        </w:tc>
      </w:tr>
    </w:tbl>
    <w:p>
      <w:pPr>
        <w:pStyle w:val="BodyText"/>
      </w:pPr>
      <w:r>
        <w:t xml:space="preserve">각 좌표의 잔차 절댓값은</w:t>
      </w:r>
      <w:r>
        <w:t xml:space="preserve"> </w:t>
      </w:r>
      <m:oMath>
        <m:sSub>
          <m:e>
            <m:r>
              <m:t>g</m:t>
            </m:r>
          </m:e>
          <m:sub>
            <m:r>
              <m:t>j</m:t>
            </m:r>
          </m:sub>
        </m:sSub>
        <m:r>
          <m:t>c</m:t>
        </m:r>
        <m:r>
          <m:rPr>
            <m:sty m:val="p"/>
          </m:rPr>
          <m:t>(</m:t>
        </m:r>
        <m:r>
          <m:t>h</m:t>
        </m:r>
        <m:r>
          <m:rPr>
            <m:sty m:val="p"/>
          </m:rPr>
          <m:t>)</m:t>
        </m:r>
      </m:oMath>
      <w:r>
        <w:t xml:space="preserve"> </w:t>
      </w:r>
      <w:r>
        <w:t xml:space="preserve">이하이다. 이는 수식에서 직접 나오는 국소적인 bound이며 새로운 예측오차 정리로 제시하지 않는다. gate가0인 patch 자체는 보존되지만, 다른 patch가 attention을 통해 영향을 줄 수 있으므로 최종 예측 불변을 보장하지 않는다. 전체 gradient norm 감소나 오류 감소도 이 bound만으로 보장되지 않는다.</w:t>
      </w:r>
    </w:p>
    <w:bookmarkEnd w:id="23"/>
    <w:bookmarkStart w:id="24" w:name="손실과-대조군"/>
    <w:p>
      <w:pPr>
        <w:pStyle w:val="Heading3"/>
      </w:pPr>
      <w:r>
        <w:t xml:space="preserve">3.4 손실과 대조군</w:t>
      </w:r>
    </w:p>
    <w:p>
      <w:pPr>
        <w:pStyle w:val="FirstParagraph"/>
      </w:pPr>
      <w:r>
        <w:t xml:space="preserve">추가 잔차는 모든 batch·분위수·예측 시점에 대해 평균한 normalized 2-pinball loss로 학습한다.</w:t>
      </w:r>
    </w:p>
    <w:p>
      <w:pPr>
        <w:pStyle w:val="BodyText"/>
      </w:pPr>
      <m:oMathPara>
        <m:oMathParaPr>
          <m:jc m:val="center"/>
        </m:oMathParaPr>
        <m:oMath>
          <m:r>
            <m:rPr>
              <m:scr m:val="script"/>
              <m:sty m:val="p"/>
            </m:rPr>
            <m:t>L</m:t>
          </m:r>
          <m:r>
            <m:rPr>
              <m:sty m:val="p"/>
            </m:rPr>
            <m:t>=</m:t>
          </m:r>
          <m:sSub>
            <m:e>
              <m:r>
                <m:rPr>
                  <m:sty m:val="p"/>
                </m:rPr>
                <m:t>mean</m:t>
              </m:r>
            </m:e>
            <m:sub>
              <m:r>
                <m:t>i</m:t>
              </m:r>
              <m:r>
                <m:rPr>
                  <m:sty m:val="p"/>
                </m:rPr>
                <m:t>,</m:t>
              </m:r>
              <m:r>
                <m:t>q</m:t>
              </m:r>
              <m:r>
                <m:rPr>
                  <m:sty m:val="p"/>
                </m:rPr>
                <m:t>,</m:t>
              </m:r>
              <m:r>
                <m:t>h</m:t>
              </m:r>
            </m:sub>
          </m:sSub>
          <m:f>
            <m:fPr>
              <m:type m:val="bar"/>
            </m:fPr>
            <m:num>
              <m:r>
                <m:t>2</m:t>
              </m:r>
              <m:sSub>
                <m:e>
                  <m:r>
                    <m:t>ρ</m:t>
                  </m:r>
                </m:e>
                <m:sub>
                  <m:r>
                    <m:t>q</m:t>
                  </m:r>
                </m:sub>
              </m:sSub>
              <m:r>
                <m:rPr>
                  <m:sty m:val="p"/>
                </m:rPr>
                <m:t>(</m:t>
              </m:r>
              <m:sSub>
                <m:e>
                  <m:r>
                    <m:t>y</m:t>
                  </m:r>
                </m:e>
                <m:sub>
                  <m:r>
                    <m:t>i</m:t>
                  </m:r>
                  <m:r>
                    <m:rPr>
                      <m:sty m:val="p"/>
                    </m:rPr>
                    <m:t>,</m:t>
                  </m:r>
                  <m:r>
                    <m:t>h</m:t>
                  </m:r>
                </m:sub>
              </m:sSub>
              <m:r>
                <m:rPr>
                  <m:sty m:val="p"/>
                </m:rPr>
                <m:t>−</m:t>
              </m:r>
              <m:sSub>
                <m:e>
                  <m:acc>
                    <m:accPr>
                      <m:chr m:val="̂"/>
                    </m:accPr>
                    <m:e>
                      <m:r>
                        <m:t>y</m:t>
                      </m:r>
                    </m:e>
                  </m:acc>
                </m:e>
                <m:sub>
                  <m:r>
                    <m:t>i</m:t>
                  </m:r>
                  <m:r>
                    <m:rPr>
                      <m:sty m:val="p"/>
                    </m:rPr>
                    <m:t>,</m:t>
                  </m:r>
                  <m:r>
                    <m:t>q</m:t>
                  </m:r>
                  <m:r>
                    <m:rPr>
                      <m:sty m:val="p"/>
                    </m:rPr>
                    <m:t>,</m:t>
                  </m:r>
                  <m:r>
                    <m:t>h</m:t>
                  </m:r>
                </m:sub>
              </m:sSub>
              <m:r>
                <m:rPr>
                  <m:sty m:val="p"/>
                </m:rPr>
                <m:t>)</m:t>
              </m:r>
            </m:num>
            <m:den>
              <m:sSub>
                <m:e>
                  <m:r>
                    <m:t>σ</m:t>
                  </m:r>
                </m:e>
                <m:sub>
                  <m:r>
                    <m:rPr>
                      <m:sty m:val="p"/>
                    </m:rPr>
                    <m:t>T</m:t>
                  </m:r>
                  <m:r>
                    <m:rPr>
                      <m:sty m:val="p"/>
                    </m:rPr>
                    <m:t>R</m:t>
                  </m:r>
                  <m:r>
                    <m:rPr>
                      <m:sty m:val="p"/>
                    </m:rPr>
                    <m:t>A</m:t>
                  </m:r>
                  <m:r>
                    <m:rPr>
                      <m:sty m:val="p"/>
                    </m:rPr>
                    <m:t>I</m:t>
                  </m:r>
                  <m:r>
                    <m:rPr>
                      <m:sty m:val="p"/>
                    </m:rPr>
                    <m:t>N</m:t>
                  </m:r>
                  <m:r>
                    <m:rPr>
                      <m:sty m:val="p"/>
                    </m:rPr>
                    <m:t>,</m:t>
                  </m:r>
                  <m:r>
                    <m:t>i</m:t>
                  </m:r>
                </m:sub>
              </m:sSub>
            </m:den>
          </m:f>
          <m:r>
            <m:rPr>
              <m:sty m:val="p"/>
            </m:rPr>
            <m:t>,</m:t>
          </m:r>
          <m:r>
            <m:t>  </m:t>
          </m:r>
          <m:sSub>
            <m:e>
              <m:r>
                <m:t>ρ</m:t>
              </m:r>
            </m:e>
            <m:sub>
              <m:r>
                <m:t>q</m:t>
              </m:r>
            </m:sub>
          </m:sSub>
          <m:r>
            <m:rPr>
              <m:sty m:val="p"/>
            </m:rPr>
            <m:t>(</m:t>
          </m:r>
          <m:r>
            <m:t>e</m:t>
          </m:r>
          <m:r>
            <m:rPr>
              <m:sty m:val="p"/>
            </m:rPr>
            <m:t>)</m:t>
          </m:r>
          <m:r>
            <m:rPr>
              <m:sty m:val="p"/>
            </m:rPr>
            <m:t>=</m:t>
          </m:r>
          <m:r>
            <m:rPr>
              <m:sty m:val="p"/>
            </m:rPr>
            <m:t>max</m:t>
          </m:r>
          <m:r>
            <m:rPr>
              <m:sty m:val="p"/>
            </m:rPr>
            <m:t>(</m:t>
          </m:r>
          <m:r>
            <m:t>q</m:t>
          </m:r>
          <m:r>
            <m:t>e</m:t>
          </m:r>
          <m:r>
            <m:rPr>
              <m:sty m:val="p"/>
            </m:rPr>
            <m:t>,</m:t>
          </m:r>
          <m:r>
            <m:rPr>
              <m:sty m:val="p"/>
            </m:rPr>
            <m:t>(</m:t>
          </m:r>
          <m:r>
            <m:t>q</m:t>
          </m:r>
          <m:r>
            <m:rPr>
              <m:sty m:val="p"/>
            </m:rPr>
            <m:t>−</m:t>
          </m:r>
          <m:r>
            <m:t>1</m:t>
          </m:r>
          <m:r>
            <m:rPr>
              <m:sty m:val="p"/>
            </m:rPr>
            <m:t>)</m:t>
          </m:r>
          <m:r>
            <m:t>e</m:t>
          </m:r>
          <m:r>
            <m:rPr>
              <m:sty m:val="p"/>
            </m:rPr>
            <m:t>)</m:t>
          </m:r>
          <m:r>
            <m:rPr>
              <m:sty m:val="p"/>
            </m:rPr>
            <m:t>.</m:t>
          </m:r>
        </m:oMath>
      </m:oMathPara>
    </w:p>
    <w:p>
      <w:pPr>
        <w:pStyle w:val="FirstParagraph"/>
      </w:pPr>
      <w:r>
        <w:t xml:space="preserve">PLAIN은 같은 잔차에 g=1을 사용한다. TOKEN_GATE는 원래 attention 이전 embedding에서</w:t>
      </w:r>
      <w:r>
        <w:t xml:space="preserve"> </w:t>
      </w:r>
      <m:oMath>
        <m:r>
          <m:rPr>
            <m:sty m:val="p"/>
          </m:rPr>
          <m:t>sigmoid</m:t>
        </m:r>
        <m:r>
          <m:rPr>
            <m:sty m:val="p"/>
          </m:rPr>
          <m:t>(</m:t>
        </m:r>
        <m:sSub>
          <m:e>
            <m:r>
              <m:t>W</m:t>
            </m:r>
          </m:e>
          <m:sub>
            <m:r>
              <m:t>g</m:t>
            </m:r>
          </m:sub>
        </m:sSub>
        <m:sSub>
          <m:e>
            <m:r>
              <m:t>h</m:t>
            </m:r>
          </m:e>
          <m:sub>
            <m:r>
              <m:t>j</m:t>
            </m:r>
          </m:sub>
        </m:sSub>
        <m:r>
          <m:rPr>
            <m:sty m:val="p"/>
          </m:rPr>
          <m:t>+</m:t>
        </m:r>
        <m:sSub>
          <m:e>
            <m:r>
              <m:t>b</m:t>
            </m:r>
          </m:e>
          <m:sub>
            <m:r>
              <m:t>g</m:t>
            </m:r>
          </m:sub>
        </m:sSub>
        <m:r>
          <m:rPr>
            <m:sty m:val="p"/>
          </m:rPr>
          <m:t>)</m:t>
        </m:r>
      </m:oMath>
      <w:r>
        <w:t xml:space="preserve">를 계산한다. TOKEN_GATE_ENTROPY는 같은 구조의 손실에 평균 Bernoulli entropy/log2의0.01배를 더한다. 검증 목적에는 entropy를 넣지 않는다. 두 대조는 gate weight/bias0, 즉 초기 gate0.5이며 추가513개, 총9,225개 파라미터를 학습한다. 초기 잔차는 공통으로0이다.</w:t>
      </w:r>
    </w:p>
    <w:p>
      <w:pPr>
        <w:pStyle w:val="BodyText"/>
      </w:pPr>
      <w:r>
        <w:t xml:space="preserve">MAG는 전체 관측의 robust 통계를 읽고 학습형 gate는 patch embedding을 읽는다. 같은 관측 권한과 같은 정보 표현은 다르다. 초기 gate도 다르므로 이 비교는 두 전체 설계의 대조이며 “학습하지 않음” 하나의 인과효과를 분리하지 않는다. 과거 C3는 연속성 규칙을 추가한 설명 대조로 보존하며 현재 기여로 재튜닝하지 않는다.</w:t>
      </w:r>
    </w:p>
    <w:bookmarkEnd w:id="24"/>
    <w:bookmarkEnd w:id="25"/>
    <w:bookmarkStart w:id="29" w:name="실험-설계"/>
    <w:p>
      <w:pPr>
        <w:pStyle w:val="Heading2"/>
      </w:pPr>
      <w:r>
        <w:t xml:space="preserve">4. 실험 설계</w:t>
      </w:r>
    </w:p>
    <w:bookmarkStart w:id="26" w:name="자료와-평가-노출"/>
    <w:p>
      <w:pPr>
        <w:pStyle w:val="Heading3"/>
      </w:pPr>
      <w:r>
        <w:t xml:space="preserve">4.1 자료와 평가 노출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패널</w:t>
            </w:r>
          </w:p>
        </w:tc>
        <w:tc>
          <w:tcPr/>
          <w:p>
            <w:pPr>
              <w:pStyle w:val="Compact"/>
            </w:pPr>
            <w:r>
              <w:t xml:space="preserve">계열 수</w:t>
            </w:r>
          </w:p>
        </w:tc>
        <w:tc>
          <w:tcPr/>
          <w:p>
            <w:pPr>
              <w:pStyle w:val="Compact"/>
            </w:pPr>
            <w:r>
              <w:t xml:space="preserve">관측/일</w:t>
            </w:r>
          </w:p>
        </w:tc>
        <w:tc>
          <w:tcPr/>
          <w:p>
            <w:pPr>
              <w:pStyle w:val="Compact"/>
            </w:pPr>
            <w:r>
              <w:t xml:space="preserve">E origin days</w:t>
            </w:r>
          </w:p>
        </w:tc>
        <w:tc>
          <w:tcPr/>
          <w:p>
            <w:pPr>
              <w:pStyle w:val="Compact"/>
            </w:pPr>
            <w:r>
              <w:t xml:space="preserve">노출 역할</w:t>
            </w:r>
          </w:p>
        </w:tc>
      </w:tr>
      <w:tr>
        <w:tc>
          <w:tcPr/>
          <w:p>
            <w:pPr>
              <w:pStyle w:val="Compact"/>
            </w:pPr>
            <w:r>
              <w:t xml:space="preserve">전력4</w:t>
            </w:r>
          </w:p>
        </w:tc>
        <w:tc>
          <w:tcPr/>
          <w:p>
            <w:pPr>
              <w:pStyle w:val="Compact"/>
            </w:pPr>
            <w:r>
              <w:t xml:space="preserve">4</w:t>
            </w:r>
          </w:p>
        </w:tc>
        <w:tc>
          <w:tcPr/>
          <w:p>
            <w:pPr>
              <w:pStyle w:val="Compact"/>
            </w:pPr>
            <w:r>
              <w:t xml:space="preserve">24</w:t>
            </w:r>
          </w:p>
        </w:tc>
        <w:tc>
          <w:tcPr/>
          <w:p>
            <w:pPr>
              <w:pStyle w:val="Compact"/>
            </w:pPr>
            <w:r>
              <w:t xml:space="preserve">128</w:t>
            </w:r>
          </w:p>
        </w:tc>
        <w:tc>
          <w:tcPr/>
          <w:p>
            <w:pPr>
              <w:pStyle w:val="Compact"/>
            </w:pPr>
            <w:r>
              <w:t xml:space="preserve">재사용 개발 평가</w:t>
            </w:r>
          </w:p>
        </w:tc>
      </w:tr>
      <w:tr>
        <w:tc>
          <w:tcPr/>
          <w:p>
            <w:pPr>
              <w:pStyle w:val="Compact"/>
            </w:pPr>
            <w:r>
              <w:t xml:space="preserve">전력 전이16</w:t>
            </w:r>
          </w:p>
        </w:tc>
        <w:tc>
          <w:tcPr/>
          <w:p>
            <w:pPr>
              <w:pStyle w:val="Compact"/>
            </w:pPr>
            <w:r>
              <w:t xml:space="preserve">16</w:t>
            </w:r>
          </w:p>
        </w:tc>
        <w:tc>
          <w:tcPr/>
          <w:p>
            <w:pPr>
              <w:pStyle w:val="Compact"/>
            </w:pPr>
            <w:r>
              <w:t xml:space="preserve">24</w:t>
            </w:r>
          </w:p>
        </w:tc>
        <w:tc>
          <w:tcPr/>
          <w:p>
            <w:pPr>
              <w:pStyle w:val="Compact"/>
            </w:pPr>
            <w:r>
              <w:t xml:space="preserve">128</w:t>
            </w:r>
          </w:p>
        </w:tc>
        <w:tc>
          <w:tcPr/>
          <w:p>
            <w:pPr>
              <w:pStyle w:val="Compact"/>
            </w:pPr>
            <w:r>
              <w:t xml:space="preserve">재사용 개발 평가</w:t>
            </w:r>
          </w:p>
        </w:tc>
      </w:tr>
      <w:tr>
        <w:tc>
          <w:tcPr/>
          <w:p>
            <w:pPr>
              <w:pStyle w:val="Compact"/>
            </w:pPr>
            <w:r>
              <w:t xml:space="preserve">ETTm1</w:t>
            </w:r>
          </w:p>
        </w:tc>
        <w:tc>
          <w:tcPr/>
          <w:p>
            <w:pPr>
              <w:pStyle w:val="Compact"/>
            </w:pPr>
            <w:r>
              <w:t xml:space="preserve">4</w:t>
            </w:r>
          </w:p>
        </w:tc>
        <w:tc>
          <w:tcPr/>
          <w:p>
            <w:pPr>
              <w:pStyle w:val="Compact"/>
            </w:pPr>
            <w:r>
              <w:t xml:space="preserve">96</w:t>
            </w:r>
          </w:p>
        </w:tc>
        <w:tc>
          <w:tcPr/>
          <w:p>
            <w:pPr>
              <w:pStyle w:val="Compact"/>
            </w:pPr>
            <w:r>
              <w:t xml:space="preserve">128</w:t>
            </w:r>
          </w:p>
        </w:tc>
        <w:tc>
          <w:tcPr/>
          <w:p>
            <w:pPr>
              <w:pStyle w:val="Compact"/>
            </w:pPr>
            <w:r>
              <w:t xml:space="preserve">재사용 개발 평가</w:t>
            </w:r>
          </w:p>
        </w:tc>
      </w:tr>
      <w:tr>
        <w:tc>
          <w:tcPr/>
          <w:p>
            <w:pPr>
              <w:pStyle w:val="Compact"/>
            </w:pPr>
            <w:r>
              <w:t xml:space="preserve">NESO 후반</w:t>
            </w:r>
          </w:p>
        </w:tc>
        <w:tc>
          <w:tcPr/>
          <w:p>
            <w:pPr>
              <w:pStyle w:val="Compact"/>
            </w:pPr>
            <w:r>
              <w:t xml:space="preserve">1</w:t>
            </w:r>
          </w:p>
        </w:tc>
        <w:tc>
          <w:tcPr/>
          <w:p>
            <w:pPr>
              <w:pStyle w:val="Compact"/>
            </w:pPr>
            <w:r>
              <w:t xml:space="preserve">24</w:t>
            </w:r>
          </w:p>
        </w:tc>
        <w:tc>
          <w:tcPr/>
          <w:p>
            <w:pPr>
              <w:pStyle w:val="Compact"/>
            </w:pPr>
            <w:r>
              <w:t xml:space="preserve">55</w:t>
            </w:r>
          </w:p>
        </w:tc>
        <w:tc>
          <w:tcPr/>
          <w:p>
            <w:pPr>
              <w:pStyle w:val="Compact"/>
            </w:pPr>
            <w:r>
              <w:t xml:space="preserve">당시 미채점 시간 전이·같은 원천</w:t>
            </w:r>
          </w:p>
        </w:tc>
      </w:tr>
    </w:tbl>
    <w:p>
      <w:pPr>
        <w:pStyle w:val="BodyText"/>
      </w:pPr>
      <w:r>
        <w:t xml:space="preserve">Electricity의 원본 시간표가 없어 날짜는24관측의 index-day로 정의했다. ETTm1은 15분 간격이다. 따라서 입력512/예측64는 각각 약512시간/64시간과128시간/16시간에 대응한다. 같은 관측 수가 같은 실제 시간 범위를 뜻하지 않는다. 전력 전이16계열은 현재 B0 학습4계열과 다르지만 과거 노출이 있는 같은 원천 자료다.</w:t>
      </w:r>
    </w:p>
    <w:p>
      <w:pPr>
        <w:pStyle w:val="BodyText"/>
      </w:pPr>
      <w:r>
        <w:t xml:space="preserve">원천별 TRAIN256/V64/E128 distinct days를 사용하며 TRAIN256일×4채널이 각 epoch의1024예시를 이룬다. 채널·합성 draw·seed를 독립 날짜로 세지 않는다. NESO는 기존 다운로드 파일의 사전 고정한55개 완전한 UTC origin 날짜를 사용했다. 첫 origin은2026-07-01 03:00, 마지막은2026-08-24 21:00 UTC다. 평가 이전의 H1 target과는 겹치지 않지만, 합법적인 과거 문맥은 이전 기간과 겹칠 수 있다. 55일의3520 target slots에는1378개 고유 시점이 있으며 최대4회 중복된다. 이 기간은 당시 프로젝트 기록상 미채점 시간 전이였으나 같은 제공자의 자료이고 원본 파일도 이미 내려받았다. 독립 원천·전 세계적으로 미노출된 자료라고 부르지 않는다.</w:t>
      </w:r>
    </w:p>
    <w:bookmarkEnd w:id="26"/>
    <w:bookmarkStart w:id="27" w:name="합성-조건과-학습-기회"/>
    <w:p>
      <w:pPr>
        <w:pStyle w:val="Heading3"/>
      </w:pPr>
      <w:r>
        <w:t xml:space="preserve">4.2 합성 조건과 학습 기회</w:t>
      </w:r>
    </w:p>
    <w:p>
      <w:pPr>
        <w:pStyle w:val="FirstParagraph"/>
      </w:pPr>
      <w:r>
        <w:t xml:space="preserve">측정 오류는 입력만 바꾸며 미래 정답을 바꾸지 않는다. 지속 변화는 과거 말미와 미래 정답을 같은 방향으로 바꾼다. 평가 POINT는2개 위치, BURST는8개 연속 관측에 변형을 가하고 각각 진폭4/8/16을 사용한다. SHIFT4/SHIFT8은 과거 마지막32개 관측과 미래에 robust scale의4/8배 변화량을 더한다. SHIFT_POINT는 SHIFT4와 진폭8의 점 오류를 결합한다. FAULT는6개 POINT/BURST 조건의 동일 가중 평균이다.</w:t>
      </w:r>
    </w:p>
    <w:p>
      <w:pPr>
        <w:pStyle w:val="BodyText"/>
      </w:pPr>
      <w:r>
        <w:t xml:space="preserve">TRAIN의 고정 생성 일정에는 REFERENCE/POINT/BURST/SHIFT가 균형 있게 등장한다. 오류 진폭4/8/16과 변화 진폭4/8이 겹치며, 변화의 과거 길이는24/48이다. 모든 군은 같은 저장 draws와 labels를 사용했다. 여기에 실제 센서 사건 레이블은 없다. 추가8개 형태와 PULSE의 동일과거 대조를 포함한9개 평가 view도 보존한다. 같은 과거에서 미래만 다른 조건의 구별을 모델에 요구하지 않는다.</w:t>
      </w:r>
    </w:p>
    <w:p>
      <w:pPr>
        <w:pStyle w:val="BodyText"/>
      </w:pPr>
      <w:r>
        <w:t xml:space="preserve">selection seed81550에서 LR10⁻⁴/3×10⁻⁴를 비교하고, 선택 LR을81551/81552에서 반복한다. 각 fit은32epochs×32updates=1024updates, batch/micro32, FP32, TF32 off, dropout0이다. AdamW는 betas(0.9,0.999), eps10⁻⁸, weight decay0, gradient clip1을 사용한다. checkpoint0/256/512/768/1024를 저장하고 V의 REFERENCE/POINT8/BURST8/SHIFT4/SHIFT8 평균 nMAE로 선택한다. 동률이면 작은 LR, 이른 step을 고른다. 선택 과정은 E를 읽지 않는다.</w:t>
      </w:r>
    </w:p>
    <w:p>
      <w:pPr>
        <w:pStyle w:val="BodyText"/>
      </w:pPr>
      <w:r>
        <w:t xml:space="preserve">두 새 gate군은2원천×2군×(선택2+반복2)=16fits, 16,384 main+8 smoke updates를 완료했다. MAG/PLAIN/B0와 C3의 기존 동일 학습·선택 기록과 가중치는 hash로 재사용했다. 재사용을 전체 연구의 학습 비용0으로 계산하지 않는다. 총192 prediction views,158개 고유 배열을 평가했으며80개 새 checkpoint와476,136개 원점별 metric을 독립 검산했다. 모든 모델 선택을 고정하고 새 전체 예측을 저장한 뒤 정답을 채점했다.</w:t>
      </w:r>
    </w:p>
    <w:bookmarkEnd w:id="27"/>
    <w:bookmarkStart w:id="28" w:name="지표와-불확실성"/>
    <w:p>
      <w:pPr>
        <w:pStyle w:val="Heading3"/>
      </w:pPr>
      <w:r>
        <w:t xml:space="preserve">4.3 지표와 불확실성</w:t>
      </w:r>
    </w:p>
    <w:p>
      <w:pPr>
        <w:pStyle w:val="FirstParagraph"/>
      </w:pPr>
      <w:r>
        <w:t xml:space="preserve">주지표 nMAE는 median 예측의 절대오차를 계열별 고정 TRAIN sigma로 나눈 평균이다. 조건 내 두 합성 draw, 원점, 채널, 두 seed를 정해진 방식으로 평균한다. 이득은100×(1−MAG nMAE/대조 nMAE)로 정의하며, seed별 이득을 먼저 평균한 값과 구분한다. raw MAE와 pinball도 보조 표에 공개한다.</w:t>
      </w:r>
    </w:p>
    <w:p>
      <w:pPr>
        <w:pStyle w:val="BodyText"/>
      </w:pPr>
      <w:r>
        <w:t xml:space="preserve">주 비교는 전력 전이와 NESO 후반 각각에서 MAG 대 두 학습형 gate의 selected SHIFT8, 총4개다. index7일 block bootstrap2000회와 family4 Bonferroni 양측95%구간을 사용한다. 사전의 제한된 추가 가치 기준은 네 구간 하한&gt;0, 각 비교의 두seed 이득&gt;0, 두패널 REFERENCE/FAULT에서 B0/PLAIN 대비 평균 악화≤1%이다. 마지막 기준은 평균 손해 한도이며 신뢰구간 기반 비열등성이 아니다. 두seed·고정채널에 조건부인 구간이며, 전체 연구의 후보 탐색이나 seed 모집단 불확실성을 보정하지 않는다.</w:t>
      </w:r>
    </w:p>
    <w:bookmarkEnd w:id="28"/>
    <w:bookmarkEnd w:id="29"/>
    <w:bookmarkStart w:id="40" w:name="결과"/>
    <w:p>
      <w:pPr>
        <w:pStyle w:val="Heading2"/>
      </w:pPr>
      <w:r>
        <w:t xml:space="preserve">5. 결과</w:t>
      </w:r>
    </w:p>
    <w:bookmarkStart w:id="30" w:name="학습된-b0-위의-추가-가치"/>
    <w:p>
      <w:pPr>
        <w:pStyle w:val="Heading3"/>
      </w:pPr>
      <w:r>
        <w:t xml:space="preserve">5.1 학습된 B0 위의 추가 가치</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패널</w:t>
            </w:r>
          </w:p>
        </w:tc>
        <w:tc>
          <w:tcPr/>
          <w:p>
            <w:pPr>
              <w:pStyle w:val="Compact"/>
            </w:pPr>
            <w:r>
              <w:t xml:space="preserve">B0</w:t>
            </w:r>
          </w:p>
        </w:tc>
        <w:tc>
          <w:tcPr/>
          <w:p>
            <w:pPr>
              <w:pStyle w:val="Compact"/>
            </w:pPr>
            <w:r>
              <w:t xml:space="preserve">PLAIN</w:t>
            </w:r>
          </w:p>
        </w:tc>
        <w:tc>
          <w:tcPr/>
          <w:p>
            <w:pPr>
              <w:pStyle w:val="Compact"/>
            </w:pPr>
            <w:r>
              <w:t xml:space="preserve">MAG</w:t>
            </w:r>
          </w:p>
        </w:tc>
        <w:tc>
          <w:tcPr/>
          <w:p>
            <w:pPr>
              <w:pStyle w:val="Compact"/>
            </w:pPr>
            <w:r>
              <w:t xml:space="preserve">Gate</w:t>
            </w:r>
          </w:p>
        </w:tc>
        <w:tc>
          <w:tcPr/>
          <w:p>
            <w:pPr>
              <w:pStyle w:val="Compact"/>
            </w:pPr>
            <w:r>
              <w:t xml:space="preserve">Gate+H</w:t>
            </w:r>
          </w:p>
        </w:tc>
      </w:tr>
      <w:tr>
        <w:tc>
          <w:tcPr/>
          <w:p>
            <w:pPr>
              <w:pStyle w:val="Compact"/>
            </w:pPr>
            <w:r>
              <w:t xml:space="preserve">전력4</w:t>
            </w:r>
          </w:p>
        </w:tc>
        <w:tc>
          <w:tcPr/>
          <w:p>
            <w:pPr>
              <w:pStyle w:val="Compact"/>
            </w:pPr>
            <w:r>
              <w:t xml:space="preserve">0.210032</w:t>
            </w:r>
          </w:p>
        </w:tc>
        <w:tc>
          <w:tcPr/>
          <w:p>
            <w:pPr>
              <w:pStyle w:val="Compact"/>
            </w:pPr>
            <w:r>
              <w:t xml:space="preserve">0.204404</w:t>
            </w:r>
          </w:p>
        </w:tc>
        <w:tc>
          <w:tcPr/>
          <w:p>
            <w:pPr>
              <w:pStyle w:val="Compact"/>
            </w:pPr>
            <w:r>
              <w:t xml:space="preserve">0.201424</w:t>
            </w:r>
          </w:p>
        </w:tc>
        <w:tc>
          <w:tcPr/>
          <w:p>
            <w:pPr>
              <w:pStyle w:val="Compact"/>
            </w:pPr>
            <w:r>
              <w:t xml:space="preserve">0.204271</w:t>
            </w:r>
          </w:p>
        </w:tc>
        <w:tc>
          <w:tcPr/>
          <w:p>
            <w:pPr>
              <w:pStyle w:val="Compact"/>
            </w:pPr>
            <w:r>
              <w:t xml:space="preserve">0.202533</w:t>
            </w:r>
          </w:p>
        </w:tc>
      </w:tr>
      <w:tr>
        <w:tc>
          <w:tcPr/>
          <w:p>
            <w:pPr>
              <w:pStyle w:val="Compact"/>
            </w:pPr>
            <w:r>
              <w:t xml:space="preserve">전력 전이16</w:t>
            </w:r>
          </w:p>
        </w:tc>
        <w:tc>
          <w:tcPr/>
          <w:p>
            <w:pPr>
              <w:pStyle w:val="Compact"/>
            </w:pPr>
            <w:r>
              <w:t xml:space="preserve">0.399762</w:t>
            </w:r>
          </w:p>
        </w:tc>
        <w:tc>
          <w:tcPr/>
          <w:p>
            <w:pPr>
              <w:pStyle w:val="Compact"/>
            </w:pPr>
            <w:r>
              <w:t xml:space="preserve">0.377355</w:t>
            </w:r>
          </w:p>
        </w:tc>
        <w:tc>
          <w:tcPr/>
          <w:p>
            <w:pPr>
              <w:pStyle w:val="Compact"/>
            </w:pPr>
            <w:r>
              <w:t xml:space="preserve">0.363040</w:t>
            </w:r>
          </w:p>
        </w:tc>
        <w:tc>
          <w:tcPr/>
          <w:p>
            <w:pPr>
              <w:pStyle w:val="Compact"/>
            </w:pPr>
            <w:r>
              <w:t xml:space="preserve">0.375400</w:t>
            </w:r>
          </w:p>
        </w:tc>
        <w:tc>
          <w:tcPr/>
          <w:p>
            <w:pPr>
              <w:pStyle w:val="Compact"/>
            </w:pPr>
            <w:r>
              <w:t xml:space="preserve">0.373421</w:t>
            </w:r>
          </w:p>
        </w:tc>
      </w:tr>
      <w:tr>
        <w:tc>
          <w:tcPr/>
          <w:p>
            <w:pPr>
              <w:pStyle w:val="Compact"/>
            </w:pPr>
            <w:r>
              <w:t xml:space="preserve">ETTm1</w:t>
            </w:r>
          </w:p>
        </w:tc>
        <w:tc>
          <w:tcPr/>
          <w:p>
            <w:pPr>
              <w:pStyle w:val="Compact"/>
            </w:pPr>
            <w:r>
              <w:t xml:space="preserve">0.545368</w:t>
            </w:r>
          </w:p>
        </w:tc>
        <w:tc>
          <w:tcPr/>
          <w:p>
            <w:pPr>
              <w:pStyle w:val="Compact"/>
            </w:pPr>
            <w:r>
              <w:t xml:space="preserve">0.540239</w:t>
            </w:r>
          </w:p>
        </w:tc>
        <w:tc>
          <w:tcPr/>
          <w:p>
            <w:pPr>
              <w:pStyle w:val="Compact"/>
            </w:pPr>
            <w:r>
              <w:t xml:space="preserve">0.545368</w:t>
            </w:r>
          </w:p>
        </w:tc>
        <w:tc>
          <w:tcPr/>
          <w:p>
            <w:pPr>
              <w:pStyle w:val="Compact"/>
            </w:pPr>
            <w:r>
              <w:t xml:space="preserve">0.540690</w:t>
            </w:r>
          </w:p>
        </w:tc>
        <w:tc>
          <w:tcPr/>
          <w:p>
            <w:pPr>
              <w:pStyle w:val="Compact"/>
            </w:pPr>
            <w:r>
              <w:t xml:space="preserve">0.545137</w:t>
            </w:r>
          </w:p>
        </w:tc>
      </w:tr>
      <w:tr>
        <w:tc>
          <w:tcPr/>
          <w:p>
            <w:pPr>
              <w:pStyle w:val="Compact"/>
            </w:pPr>
            <w:r>
              <w:t xml:space="preserve">NESO 후반</w:t>
            </w:r>
          </w:p>
        </w:tc>
        <w:tc>
          <w:tcPr/>
          <w:p>
            <w:pPr>
              <w:pStyle w:val="Compact"/>
            </w:pPr>
            <w:r>
              <w:t xml:space="preserve">0.291422</w:t>
            </w:r>
          </w:p>
        </w:tc>
        <w:tc>
          <w:tcPr/>
          <w:p>
            <w:pPr>
              <w:pStyle w:val="Compact"/>
            </w:pPr>
            <w:r>
              <w:t xml:space="preserve">0.283443</w:t>
            </w:r>
          </w:p>
        </w:tc>
        <w:tc>
          <w:tcPr/>
          <w:p>
            <w:pPr>
              <w:pStyle w:val="Compact"/>
            </w:pPr>
            <w:r>
              <w:t xml:space="preserve">0.277940</w:t>
            </w:r>
          </w:p>
        </w:tc>
        <w:tc>
          <w:tcPr/>
          <w:p>
            <w:pPr>
              <w:pStyle w:val="Compact"/>
            </w:pPr>
            <w:r>
              <w:t xml:space="preserve">0.283995</w:t>
            </w:r>
          </w:p>
        </w:tc>
        <w:tc>
          <w:tcPr/>
          <w:p>
            <w:pPr>
              <w:pStyle w:val="Compact"/>
            </w:pPr>
            <w:r>
              <w:t xml:space="preserve">0.282803</w:t>
            </w:r>
          </w:p>
        </w:tc>
      </w:tr>
    </w:tbl>
    <w:p>
      <w:pPr>
        <w:pStyle w:val="BodyText"/>
      </w:pPr>
      <w:r>
        <w:rPr>
          <w:i/>
          <w:iCs/>
        </w:rPr>
        <w:t xml:space="preserve">표 2. 두 반복 seed를 평균한 selected SHIFT8 nMAE. 낮을수록 좋다. 서로 다른 패널 점수를 합쳐 우승자를 만들지 않는다.</w:t>
      </w:r>
    </w:p>
    <w:p>
      <w:pPr>
        <w:pStyle w:val="BodyText"/>
      </w:pPr>
      <w:r>
        <w:t xml:space="preserve">전력 전이에서 MAG의 B0 대비 이득은9.186%, PLAIN 대비는3.794%다. NESO 후반에서는 각각4.626%,1.941%다. 일반 잔차의 효과와 MAG의 추가 효과를 분리해야 한다. B0 대비 전체 이득을 gate 하나의 기여로 해석하지 않는다.</w:t>
      </w:r>
    </w:p>
    <w:bookmarkEnd w:id="30"/>
    <w:bookmarkStart w:id="34" w:name="학습형-gate와-직접-비교"/>
    <w:p>
      <w:pPr>
        <w:pStyle w:val="Heading3"/>
      </w:pPr>
      <w:r>
        <w:t xml:space="preserve">5.2 학습형 gate와 직접 비교</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패널</w:t>
            </w:r>
          </w:p>
        </w:tc>
        <w:tc>
          <w:tcPr/>
          <w:p>
            <w:pPr>
              <w:pStyle w:val="Compact"/>
            </w:pPr>
            <w:r>
              <w:t xml:space="preserve">대조</w:t>
            </w:r>
          </w:p>
        </w:tc>
        <w:tc>
          <w:tcPr/>
          <w:p>
            <w:pPr>
              <w:pStyle w:val="Compact"/>
            </w:pPr>
            <w:r>
              <w:t xml:space="preserve">이득(%)</w:t>
            </w:r>
          </w:p>
        </w:tc>
        <w:tc>
          <w:tcPr/>
          <w:p>
            <w:pPr>
              <w:pStyle w:val="Compact"/>
            </w:pPr>
            <w:r>
              <w:t xml:space="preserve">보정구간</w:t>
            </w:r>
          </w:p>
        </w:tc>
        <w:tc>
          <w:tcPr/>
          <w:p>
            <w:pPr>
              <w:pStyle w:val="Compact"/>
            </w:pPr>
            <w:r>
              <w:t xml:space="preserve">seed81551</w:t>
            </w:r>
          </w:p>
        </w:tc>
        <w:tc>
          <w:tcPr/>
          <w:p>
            <w:pPr>
              <w:pStyle w:val="Compact"/>
            </w:pPr>
            <w:r>
              <w:t xml:space="preserve">seed81552</w:t>
            </w:r>
          </w:p>
        </w:tc>
      </w:tr>
      <w:tr>
        <w:tc>
          <w:tcPr/>
          <w:p>
            <w:pPr>
              <w:pStyle w:val="Compact"/>
            </w:pPr>
            <w:r>
              <w:t xml:space="preserve">전력 전이16</w:t>
            </w:r>
          </w:p>
        </w:tc>
        <w:tc>
          <w:tcPr/>
          <w:p>
            <w:pPr>
              <w:pStyle w:val="Compact"/>
            </w:pPr>
            <w:r>
              <w:t xml:space="preserve">Gate</w:t>
            </w:r>
          </w:p>
        </w:tc>
        <w:tc>
          <w:tcPr/>
          <w:p>
            <w:pPr>
              <w:pStyle w:val="Compact"/>
            </w:pPr>
            <w:r>
              <w:t xml:space="preserve">3.293</w:t>
            </w:r>
          </w:p>
        </w:tc>
        <w:tc>
          <w:tcPr/>
          <w:p>
            <w:pPr>
              <w:pStyle w:val="Compact"/>
            </w:pPr>
            <w:r>
              <w:t xml:space="preserve">[2.773, 3.790]</w:t>
            </w:r>
          </w:p>
        </w:tc>
        <w:tc>
          <w:tcPr/>
          <w:p>
            <w:pPr>
              <w:pStyle w:val="Compact"/>
            </w:pPr>
            <w:r>
              <w:t xml:space="preserve">0.991</w:t>
            </w:r>
          </w:p>
        </w:tc>
        <w:tc>
          <w:tcPr/>
          <w:p>
            <w:pPr>
              <w:pStyle w:val="Compact"/>
            </w:pPr>
            <w:r>
              <w:t xml:space="preserve">5.463</w:t>
            </w:r>
          </w:p>
        </w:tc>
      </w:tr>
      <w:tr>
        <w:tc>
          <w:tcPr/>
          <w:p>
            <w:pPr>
              <w:pStyle w:val="Compact"/>
            </w:pPr>
            <w:r>
              <w:t xml:space="preserve">전력 전이16</w:t>
            </w:r>
          </w:p>
        </w:tc>
        <w:tc>
          <w:tcPr/>
          <w:p>
            <w:pPr>
              <w:pStyle w:val="Compact"/>
            </w:pPr>
            <w:r>
              <w:t xml:space="preserve">Gate+H</w:t>
            </w:r>
          </w:p>
        </w:tc>
        <w:tc>
          <w:tcPr/>
          <w:p>
            <w:pPr>
              <w:pStyle w:val="Compact"/>
            </w:pPr>
            <w:r>
              <w:t xml:space="preserve">2.780</w:t>
            </w:r>
          </w:p>
        </w:tc>
        <w:tc>
          <w:tcPr/>
          <w:p>
            <w:pPr>
              <w:pStyle w:val="Compact"/>
            </w:pPr>
            <w:r>
              <w:t xml:space="preserve">[2.269, 3.287]</w:t>
            </w:r>
          </w:p>
        </w:tc>
        <w:tc>
          <w:tcPr/>
          <w:p>
            <w:pPr>
              <w:pStyle w:val="Compact"/>
            </w:pPr>
            <w:r>
              <w:t xml:space="preserve">0.123</w:t>
            </w:r>
          </w:p>
        </w:tc>
        <w:tc>
          <w:tcPr/>
          <w:p>
            <w:pPr>
              <w:pStyle w:val="Compact"/>
            </w:pPr>
            <w:r>
              <w:t xml:space="preserve">5.268</w:t>
            </w:r>
          </w:p>
        </w:tc>
      </w:tr>
      <w:tr>
        <w:tc>
          <w:tcPr/>
          <w:p>
            <w:pPr>
              <w:pStyle w:val="Compact"/>
            </w:pPr>
            <w:r>
              <w:t xml:space="preserve">NESO 후반</w:t>
            </w:r>
          </w:p>
        </w:tc>
        <w:tc>
          <w:tcPr/>
          <w:p>
            <w:pPr>
              <w:pStyle w:val="Compact"/>
            </w:pPr>
            <w:r>
              <w:t xml:space="preserve">Gate</w:t>
            </w:r>
          </w:p>
        </w:tc>
        <w:tc>
          <w:tcPr/>
          <w:p>
            <w:pPr>
              <w:pStyle w:val="Compact"/>
            </w:pPr>
            <w:r>
              <w:t xml:space="preserve">2.132</w:t>
            </w:r>
          </w:p>
        </w:tc>
        <w:tc>
          <w:tcPr/>
          <w:p>
            <w:pPr>
              <w:pStyle w:val="Compact"/>
            </w:pPr>
            <w:r>
              <w:t xml:space="preserve">[1.021, 3.529]</w:t>
            </w:r>
          </w:p>
        </w:tc>
        <w:tc>
          <w:tcPr/>
          <w:p>
            <w:pPr>
              <w:pStyle w:val="Compact"/>
            </w:pPr>
            <w:r>
              <w:t xml:space="preserve">1.403</w:t>
            </w:r>
          </w:p>
        </w:tc>
        <w:tc>
          <w:tcPr/>
          <w:p>
            <w:pPr>
              <w:pStyle w:val="Compact"/>
            </w:pPr>
            <w:r>
              <w:t xml:space="preserve">2.826</w:t>
            </w:r>
          </w:p>
        </w:tc>
      </w:tr>
      <w:tr>
        <w:tc>
          <w:tcPr/>
          <w:p>
            <w:pPr>
              <w:pStyle w:val="Compact"/>
            </w:pPr>
            <w:r>
              <w:t xml:space="preserve">NESO 후반</w:t>
            </w:r>
          </w:p>
        </w:tc>
        <w:tc>
          <w:tcPr/>
          <w:p>
            <w:pPr>
              <w:pStyle w:val="Compact"/>
            </w:pPr>
            <w:r>
              <w:t xml:space="preserve">Gate+H</w:t>
            </w:r>
          </w:p>
        </w:tc>
        <w:tc>
          <w:tcPr/>
          <w:p>
            <w:pPr>
              <w:pStyle w:val="Compact"/>
            </w:pPr>
            <w:r>
              <w:t xml:space="preserve">1.719</w:t>
            </w:r>
          </w:p>
        </w:tc>
        <w:tc>
          <w:tcPr/>
          <w:p>
            <w:pPr>
              <w:pStyle w:val="Compact"/>
            </w:pPr>
            <w:r>
              <w:t xml:space="preserve">[0.999, 2.281]</w:t>
            </w:r>
          </w:p>
        </w:tc>
        <w:tc>
          <w:tcPr/>
          <w:p>
            <w:pPr>
              <w:pStyle w:val="Compact"/>
            </w:pPr>
            <w:r>
              <w:t xml:space="preserve">0.723</w:t>
            </w:r>
          </w:p>
        </w:tc>
        <w:tc>
          <w:tcPr/>
          <w:p>
            <w:pPr>
              <w:pStyle w:val="Compact"/>
            </w:pPr>
            <w:r>
              <w:t xml:space="preserve">2.663</w:t>
            </w:r>
          </w:p>
        </w:tc>
      </w:tr>
    </w:tbl>
    <w:p>
      <w:pPr>
        <w:pStyle w:val="BodyText"/>
      </w:pPr>
      <w:r>
        <w:rPr>
          <w:i/>
          <w:iCs/>
        </w:rPr>
        <w:t xml:space="preserve">표 3. 양수는 MAG 이득. 괄호는 네 주 비교에 보정한 구간이다. 개별 seed도 모두 양수지만 전력 전이의 entropy 대조 대비 첫 seed 이득은 약0.123%로 작다.</w:t>
      </w:r>
    </w:p>
    <w:p>
      <w:pPr>
        <w:pStyle w:val="CaptionedFigure"/>
      </w:pPr>
      <w:r>
        <w:drawing>
          <wp:inline>
            <wp:extent cx="5334000" cy="2319130"/>
            <wp:effectExtent b="0" l="0" r="0" t="0"/>
            <wp:docPr descr="사전 주 비교의 구간과 seed별 결과" title="" id="32" name="Picture"/>
            <a:graphic>
              <a:graphicData uri="http://schemas.openxmlformats.org/drawingml/2006/picture">
                <pic:pic>
                  <pic:nvPicPr>
                    <pic:cNvPr descr="figures/primary_effects.png" id="33" name="Picture"/>
                    <pic:cNvPicPr>
                      <a:picLocks noChangeArrowheads="1" noChangeAspect="1"/>
                    </pic:cNvPicPr>
                  </pic:nvPicPr>
                  <pic:blipFill>
                    <a:blip r:embed="rId31"/>
                    <a:stretch>
                      <a:fillRect/>
                    </a:stretch>
                  </pic:blipFill>
                  <pic:spPr bwMode="auto">
                    <a:xfrm>
                      <a:off x="0" y="0"/>
                      <a:ext cx="5334000" cy="2319130"/>
                    </a:xfrm>
                    <a:prstGeom prst="rect">
                      <a:avLst/>
                    </a:prstGeom>
                    <a:noFill/>
                    <a:ln w="9525">
                      <a:noFill/>
                      <a:headEnd/>
                      <a:tailEnd/>
                    </a:ln>
                  </pic:spPr>
                </pic:pic>
              </a:graphicData>
            </a:graphic>
          </wp:inline>
        </w:drawing>
      </w:r>
    </w:p>
    <w:p>
      <w:pPr>
        <w:pStyle w:val="ImageCaption"/>
      </w:pPr>
      <w:r>
        <w:t xml:space="preserve">사전 주 비교의 구간과 seed별 결과</w:t>
      </w:r>
    </w:p>
    <w:p>
      <w:pPr>
        <w:pStyle w:val="BodyText"/>
      </w:pPr>
      <w:r>
        <w:rPr>
          <w:i/>
          <w:iCs/>
        </w:rPr>
        <w:t xml:space="preserve">그림 2. 큰 점은 seed-mean nMAE로 계산한 이득, 선은 family4 보정구간, 작은 표식은 두 개별 seed다. 날짜 block의 불확실성과 seed 모집단의 불확실성을 혼동하지 않는다.</w:t>
      </w:r>
    </w:p>
    <w:p>
      <w:pPr>
        <w:pStyle w:val="BodyText"/>
      </w:pPr>
      <w:r>
        <w:t xml:space="preserve">사전에 정한 제한된 구성요소 기준은 충족했다. selected가 아닌 고정1024updates에서도 네 비교의 MAG 이득 방향은 양수였다. 따라서 관찰한 이득을 checkpoint 선택 하나로만 설명하기 어렵다. 그러나 gate 특징, 초기값, 학습 궤적의 영향을 각각 식별한 결과는 아니다.</w:t>
      </w:r>
    </w:p>
    <w:bookmarkEnd w:id="34"/>
    <w:bookmarkStart w:id="38" w:name="원자료오류다른-변화의-손해"/>
    <w:p>
      <w:pPr>
        <w:pStyle w:val="Heading3"/>
      </w:pPr>
      <w:r>
        <w:t xml:space="preserve">5.3 원자료·오류·다른 변화의 손해</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패널</w:t>
            </w:r>
          </w:p>
        </w:tc>
        <w:tc>
          <w:tcPr/>
          <w:p>
            <w:pPr>
              <w:pStyle w:val="Compact"/>
            </w:pPr>
            <w:r>
              <w:t xml:space="preserve">조건</w:t>
            </w:r>
          </w:p>
        </w:tc>
        <w:tc>
          <w:tcPr/>
          <w:p>
            <w:pPr>
              <w:pStyle w:val="Compact"/>
            </w:pPr>
            <w:r>
              <w:t xml:space="preserve">대조</w:t>
            </w:r>
          </w:p>
        </w:tc>
        <w:tc>
          <w:tcPr/>
          <w:p>
            <w:pPr>
              <w:pStyle w:val="Compact"/>
            </w:pPr>
            <w:r>
              <w:t xml:space="preserve">이득(%)</w:t>
            </w:r>
          </w:p>
        </w:tc>
        <w:tc>
          <w:tcPr/>
          <w:p>
            <w:pPr>
              <w:pStyle w:val="Compact"/>
            </w:pPr>
            <w:r>
              <w:t xml:space="preserve">일반95%구간</w:t>
            </w:r>
          </w:p>
        </w:tc>
      </w:tr>
      <w:tr>
        <w:tc>
          <w:tcPr/>
          <w:p>
            <w:pPr>
              <w:pStyle w:val="Compact"/>
            </w:pPr>
            <w:r>
              <w:t xml:space="preserve">전력 전이16</w:t>
            </w:r>
          </w:p>
        </w:tc>
        <w:tc>
          <w:tcPr/>
          <w:p>
            <w:pPr>
              <w:pStyle w:val="Compact"/>
            </w:pPr>
            <w:r>
              <w:t xml:space="preserve">FAULT</w:t>
            </w:r>
          </w:p>
        </w:tc>
        <w:tc>
          <w:tcPr/>
          <w:p>
            <w:pPr>
              <w:pStyle w:val="Compact"/>
            </w:pPr>
            <w:r>
              <w:t xml:space="preserve">B0</w:t>
            </w:r>
          </w:p>
        </w:tc>
        <w:tc>
          <w:tcPr/>
          <w:p>
            <w:pPr>
              <w:pStyle w:val="Compact"/>
            </w:pPr>
            <w:r>
              <w:t xml:space="preserve">-0.203</w:t>
            </w:r>
          </w:p>
        </w:tc>
        <w:tc>
          <w:tcPr/>
          <w:p>
            <w:pPr>
              <w:pStyle w:val="Compact"/>
            </w:pPr>
            <w:r>
              <w:t xml:space="preserve">[-0.347, -0.068]</w:t>
            </w:r>
          </w:p>
        </w:tc>
      </w:tr>
      <w:tr>
        <w:tc>
          <w:tcPr/>
          <w:p>
            <w:pPr>
              <w:pStyle w:val="Compact"/>
            </w:pPr>
            <w:r>
              <w:t xml:space="preserve">전력 전이16</w:t>
            </w:r>
          </w:p>
        </w:tc>
        <w:tc>
          <w:tcPr/>
          <w:p>
            <w:pPr>
              <w:pStyle w:val="Compact"/>
            </w:pPr>
            <w:r>
              <w:t xml:space="preserve">FAULT</w:t>
            </w:r>
          </w:p>
        </w:tc>
        <w:tc>
          <w:tcPr/>
          <w:p>
            <w:pPr>
              <w:pStyle w:val="Compact"/>
            </w:pPr>
            <w:r>
              <w:t xml:space="preserve">PLAIN</w:t>
            </w:r>
          </w:p>
        </w:tc>
        <w:tc>
          <w:tcPr/>
          <w:p>
            <w:pPr>
              <w:pStyle w:val="Compact"/>
            </w:pPr>
            <w:r>
              <w:t xml:space="preserve">-0.117</w:t>
            </w:r>
          </w:p>
        </w:tc>
        <w:tc>
          <w:tcPr/>
          <w:p>
            <w:pPr>
              <w:pStyle w:val="Compact"/>
            </w:pPr>
            <w:r>
              <w:t xml:space="preserve">[-0.221, -0.024]</w:t>
            </w:r>
          </w:p>
        </w:tc>
      </w:tr>
      <w:tr>
        <w:tc>
          <w:tcPr/>
          <w:p>
            <w:pPr>
              <w:pStyle w:val="Compact"/>
            </w:pPr>
            <w:r>
              <w:t xml:space="preserve">전력 전이16</w:t>
            </w:r>
          </w:p>
        </w:tc>
        <w:tc>
          <w:tcPr/>
          <w:p>
            <w:pPr>
              <w:pStyle w:val="Compact"/>
            </w:pPr>
            <w:r>
              <w:t xml:space="preserve">REFERENCE</w:t>
            </w:r>
          </w:p>
        </w:tc>
        <w:tc>
          <w:tcPr/>
          <w:p>
            <w:pPr>
              <w:pStyle w:val="Compact"/>
            </w:pPr>
            <w:r>
              <w:t xml:space="preserve">B0</w:t>
            </w:r>
          </w:p>
        </w:tc>
        <w:tc>
          <w:tcPr/>
          <w:p>
            <w:pPr>
              <w:pStyle w:val="Compact"/>
            </w:pPr>
            <w:r>
              <w:t xml:space="preserve">-0.174</w:t>
            </w:r>
          </w:p>
        </w:tc>
        <w:tc>
          <w:tcPr/>
          <w:p>
            <w:pPr>
              <w:pStyle w:val="Compact"/>
            </w:pPr>
            <w:r>
              <w:t xml:space="preserve">[-0.358, -0.008]</w:t>
            </w:r>
          </w:p>
        </w:tc>
      </w:tr>
      <w:tr>
        <w:tc>
          <w:tcPr/>
          <w:p>
            <w:pPr>
              <w:pStyle w:val="Compact"/>
            </w:pPr>
            <w:r>
              <w:t xml:space="preserve">전력 전이16</w:t>
            </w:r>
          </w:p>
        </w:tc>
        <w:tc>
          <w:tcPr/>
          <w:p>
            <w:pPr>
              <w:pStyle w:val="Compact"/>
            </w:pPr>
            <w:r>
              <w:t xml:space="preserve">REFERENCE</w:t>
            </w:r>
          </w:p>
        </w:tc>
        <w:tc>
          <w:tcPr/>
          <w:p>
            <w:pPr>
              <w:pStyle w:val="Compact"/>
            </w:pPr>
            <w:r>
              <w:t xml:space="preserve">PLAIN</w:t>
            </w:r>
          </w:p>
        </w:tc>
        <w:tc>
          <w:tcPr/>
          <w:p>
            <w:pPr>
              <w:pStyle w:val="Compact"/>
            </w:pPr>
            <w:r>
              <w:t xml:space="preserve">-0.143</w:t>
            </w:r>
          </w:p>
        </w:tc>
        <w:tc>
          <w:tcPr/>
          <w:p>
            <w:pPr>
              <w:pStyle w:val="Compact"/>
            </w:pPr>
            <w:r>
              <w:t xml:space="preserve">[-0.263, -0.033]</w:t>
            </w:r>
          </w:p>
        </w:tc>
      </w:tr>
      <w:tr>
        <w:tc>
          <w:tcPr/>
          <w:p>
            <w:pPr>
              <w:pStyle w:val="Compact"/>
            </w:pPr>
            <w:r>
              <w:t xml:space="preserve">NESO 후반</w:t>
            </w:r>
          </w:p>
        </w:tc>
        <w:tc>
          <w:tcPr/>
          <w:p>
            <w:pPr>
              <w:pStyle w:val="Compact"/>
            </w:pPr>
            <w:r>
              <w:t xml:space="preserve">FAULT</w:t>
            </w:r>
          </w:p>
        </w:tc>
        <w:tc>
          <w:tcPr/>
          <w:p>
            <w:pPr>
              <w:pStyle w:val="Compact"/>
            </w:pPr>
            <w:r>
              <w:t xml:space="preserve">B0</w:t>
            </w:r>
          </w:p>
        </w:tc>
        <w:tc>
          <w:tcPr/>
          <w:p>
            <w:pPr>
              <w:pStyle w:val="Compact"/>
            </w:pPr>
            <w:r>
              <w:t xml:space="preserve">-0.401</w:t>
            </w:r>
          </w:p>
        </w:tc>
        <w:tc>
          <w:tcPr/>
          <w:p>
            <w:pPr>
              <w:pStyle w:val="Compact"/>
            </w:pPr>
            <w:r>
              <w:t xml:space="preserve">[-1.056, 0.201]</w:t>
            </w:r>
          </w:p>
        </w:tc>
      </w:tr>
      <w:tr>
        <w:tc>
          <w:tcPr/>
          <w:p>
            <w:pPr>
              <w:pStyle w:val="Compact"/>
            </w:pPr>
            <w:r>
              <w:t xml:space="preserve">NESO 후반</w:t>
            </w:r>
          </w:p>
        </w:tc>
        <w:tc>
          <w:tcPr/>
          <w:p>
            <w:pPr>
              <w:pStyle w:val="Compact"/>
            </w:pPr>
            <w:r>
              <w:t xml:space="preserve">FAULT</w:t>
            </w:r>
          </w:p>
        </w:tc>
        <w:tc>
          <w:tcPr/>
          <w:p>
            <w:pPr>
              <w:pStyle w:val="Compact"/>
            </w:pPr>
            <w:r>
              <w:t xml:space="preserve">PLAIN</w:t>
            </w:r>
          </w:p>
        </w:tc>
        <w:tc>
          <w:tcPr/>
          <w:p>
            <w:pPr>
              <w:pStyle w:val="Compact"/>
            </w:pPr>
            <w:r>
              <w:t xml:space="preserve">-0.443</w:t>
            </w:r>
          </w:p>
        </w:tc>
        <w:tc>
          <w:tcPr/>
          <w:p>
            <w:pPr>
              <w:pStyle w:val="Compact"/>
            </w:pPr>
            <w:r>
              <w:t xml:space="preserve">[-0.845, 0.008]</w:t>
            </w:r>
          </w:p>
        </w:tc>
      </w:tr>
      <w:tr>
        <w:tc>
          <w:tcPr/>
          <w:p>
            <w:pPr>
              <w:pStyle w:val="Compact"/>
            </w:pPr>
            <w:r>
              <w:t xml:space="preserve">NESO 후반</w:t>
            </w:r>
          </w:p>
        </w:tc>
        <w:tc>
          <w:tcPr/>
          <w:p>
            <w:pPr>
              <w:pStyle w:val="Compact"/>
            </w:pPr>
            <w:r>
              <w:t xml:space="preserve">REFERENCE</w:t>
            </w:r>
          </w:p>
        </w:tc>
        <w:tc>
          <w:tcPr/>
          <w:p>
            <w:pPr>
              <w:pStyle w:val="Compact"/>
            </w:pPr>
            <w:r>
              <w:t xml:space="preserve">B0</w:t>
            </w:r>
          </w:p>
        </w:tc>
        <w:tc>
          <w:tcPr/>
          <w:p>
            <w:pPr>
              <w:pStyle w:val="Compact"/>
            </w:pPr>
            <w:r>
              <w:t xml:space="preserve">-0.242</w:t>
            </w:r>
          </w:p>
        </w:tc>
        <w:tc>
          <w:tcPr/>
          <w:p>
            <w:pPr>
              <w:pStyle w:val="Compact"/>
            </w:pPr>
            <w:r>
              <w:t xml:space="preserve">[-1.036, 0.630]</w:t>
            </w:r>
          </w:p>
        </w:tc>
      </w:tr>
      <w:tr>
        <w:tc>
          <w:tcPr/>
          <w:p>
            <w:pPr>
              <w:pStyle w:val="Compact"/>
            </w:pPr>
            <w:r>
              <w:t xml:space="preserve">NESO 후반</w:t>
            </w:r>
          </w:p>
        </w:tc>
        <w:tc>
          <w:tcPr/>
          <w:p>
            <w:pPr>
              <w:pStyle w:val="Compact"/>
            </w:pPr>
            <w:r>
              <w:t xml:space="preserve">REFERENCE</w:t>
            </w:r>
          </w:p>
        </w:tc>
        <w:tc>
          <w:tcPr/>
          <w:p>
            <w:pPr>
              <w:pStyle w:val="Compact"/>
            </w:pPr>
            <w:r>
              <w:t xml:space="preserve">PLAIN</w:t>
            </w:r>
          </w:p>
        </w:tc>
        <w:tc>
          <w:tcPr/>
          <w:p>
            <w:pPr>
              <w:pStyle w:val="Compact"/>
            </w:pPr>
            <w:r>
              <w:t xml:space="preserve">-0.301</w:t>
            </w:r>
          </w:p>
        </w:tc>
        <w:tc>
          <w:tcPr/>
          <w:p>
            <w:pPr>
              <w:pStyle w:val="Compact"/>
            </w:pPr>
            <w:r>
              <w:t xml:space="preserve">[-0.774, 0.207]</w:t>
            </w:r>
          </w:p>
        </w:tc>
      </w:tr>
    </w:tbl>
    <w:p>
      <w:pPr>
        <w:pStyle w:val="BodyText"/>
      </w:pPr>
      <w:r>
        <w:rPr>
          <w:i/>
          <w:iCs/>
        </w:rPr>
        <w:t xml:space="preserve">표 4. REFERENCE/FAULT에서 MAG의 이득(%); 음수는 손해다. B0와 PLAIN 대비 각각 보고한다.</w:t>
      </w:r>
    </w:p>
    <w:p>
      <w:pPr>
        <w:pStyle w:val="BodyText"/>
      </w:pPr>
      <w:r>
        <w:t xml:space="preserve">두 패널에서 평균 악화는 모두1% 이내지만, NESO의 B0 대비 REFERENCE와FAULT 일반95%구간 하한은 각각 약−1.036%,−1.056%다. “95% 신뢰에서 손해가1% 이하”라는 비열등성은 입증되지 않았다. 큰 SHIFT8 이득과 원자료·오류 손해는 별개의 목표로 남긴다.</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패널</w:t>
            </w:r>
          </w:p>
        </w:tc>
        <w:tc>
          <w:tcPr/>
          <w:p>
            <w:pPr>
              <w:pStyle w:val="Compact"/>
            </w:pPr>
            <w:r>
              <w:t xml:space="preserve">조건</w:t>
            </w:r>
          </w:p>
        </w:tc>
        <w:tc>
          <w:tcPr/>
          <w:p>
            <w:pPr>
              <w:pStyle w:val="Compact"/>
            </w:pPr>
            <w:r>
              <w:t xml:space="preserve">대조</w:t>
            </w:r>
          </w:p>
        </w:tc>
        <w:tc>
          <w:tcPr/>
          <w:p>
            <w:pPr>
              <w:pStyle w:val="Compact"/>
            </w:pPr>
            <w:r>
              <w:t xml:space="preserve">MAG nMAE</w:t>
            </w:r>
          </w:p>
        </w:tc>
        <w:tc>
          <w:tcPr/>
          <w:p>
            <w:pPr>
              <w:pStyle w:val="Compact"/>
            </w:pPr>
            <w:r>
              <w:t xml:space="preserve">대조 nMAE</w:t>
            </w:r>
          </w:p>
        </w:tc>
        <w:tc>
          <w:tcPr/>
          <w:p>
            <w:pPr>
              <w:pStyle w:val="Compact"/>
            </w:pPr>
            <w:r>
              <w:t xml:space="preserve">이득(%)</w:t>
            </w:r>
          </w:p>
        </w:tc>
      </w:tr>
      <w:tr>
        <w:tc>
          <w:tcPr/>
          <w:p>
            <w:pPr>
              <w:pStyle w:val="Compact"/>
            </w:pPr>
            <w:r>
              <w:t xml:space="preserve">전력 전이16</w:t>
            </w:r>
          </w:p>
        </w:tc>
        <w:tc>
          <w:tcPr/>
          <w:p>
            <w:pPr>
              <w:pStyle w:val="Compact"/>
            </w:pPr>
            <w:r>
              <w:t xml:space="preserve">STEP12_D63</w:t>
            </w:r>
          </w:p>
        </w:tc>
        <w:tc>
          <w:tcPr/>
          <w:p>
            <w:pPr>
              <w:pStyle w:val="Compact"/>
            </w:pPr>
            <w:r>
              <w:t xml:space="preserve">B0</w:t>
            </w:r>
          </w:p>
        </w:tc>
        <w:tc>
          <w:tcPr/>
          <w:p>
            <w:pPr>
              <w:pStyle w:val="Compact"/>
            </w:pPr>
            <w:r>
              <w:t xml:space="preserve">0.404204</w:t>
            </w:r>
          </w:p>
        </w:tc>
        <w:tc>
          <w:tcPr/>
          <w:p>
            <w:pPr>
              <w:pStyle w:val="Compact"/>
            </w:pPr>
            <w:r>
              <w:t xml:space="preserve">0.391400</w:t>
            </w:r>
          </w:p>
        </w:tc>
        <w:tc>
          <w:tcPr/>
          <w:p>
            <w:pPr>
              <w:pStyle w:val="Compact"/>
            </w:pPr>
            <w:r>
              <w:t xml:space="preserve">-3.271</w:t>
            </w:r>
          </w:p>
        </w:tc>
      </w:tr>
      <w:tr>
        <w:tc>
          <w:tcPr/>
          <w:p>
            <w:pPr>
              <w:pStyle w:val="Compact"/>
            </w:pPr>
            <w:r>
              <w:t xml:space="preserve">전력 전이16</w:t>
            </w:r>
          </w:p>
        </w:tc>
        <w:tc>
          <w:tcPr/>
          <w:p>
            <w:pPr>
              <w:pStyle w:val="Compact"/>
            </w:pPr>
            <w:r>
              <w:t xml:space="preserve">STEP12_D63</w:t>
            </w:r>
          </w:p>
        </w:tc>
        <w:tc>
          <w:tcPr/>
          <w:p>
            <w:pPr>
              <w:pStyle w:val="Compact"/>
            </w:pPr>
            <w:r>
              <w:t xml:space="preserve">PLAIN</w:t>
            </w:r>
          </w:p>
        </w:tc>
        <w:tc>
          <w:tcPr/>
          <w:p>
            <w:pPr>
              <w:pStyle w:val="Compact"/>
            </w:pPr>
            <w:r>
              <w:t xml:space="preserve">0.404204</w:t>
            </w:r>
          </w:p>
        </w:tc>
        <w:tc>
          <w:tcPr/>
          <w:p>
            <w:pPr>
              <w:pStyle w:val="Compact"/>
            </w:pPr>
            <w:r>
              <w:t xml:space="preserve">0.393768</w:t>
            </w:r>
          </w:p>
        </w:tc>
        <w:tc>
          <w:tcPr/>
          <w:p>
            <w:pPr>
              <w:pStyle w:val="Compact"/>
            </w:pPr>
            <w:r>
              <w:t xml:space="preserve">-2.650</w:t>
            </w:r>
          </w:p>
        </w:tc>
      </w:tr>
      <w:tr>
        <w:tc>
          <w:tcPr/>
          <w:p>
            <w:pPr>
              <w:pStyle w:val="Compact"/>
            </w:pPr>
            <w:r>
              <w:t xml:space="preserve">ETTm1</w:t>
            </w:r>
          </w:p>
        </w:tc>
        <w:tc>
          <w:tcPr/>
          <w:p>
            <w:pPr>
              <w:pStyle w:val="Compact"/>
            </w:pPr>
            <w:r>
              <w:t xml:space="preserve">SHIFT8</w:t>
            </w:r>
          </w:p>
        </w:tc>
        <w:tc>
          <w:tcPr/>
          <w:p>
            <w:pPr>
              <w:pStyle w:val="Compact"/>
            </w:pPr>
            <w:r>
              <w:t xml:space="preserve">B0</w:t>
            </w:r>
          </w:p>
        </w:tc>
        <w:tc>
          <w:tcPr/>
          <w:p>
            <w:pPr>
              <w:pStyle w:val="Compact"/>
            </w:pPr>
            <w:r>
              <w:t xml:space="preserve">0.545368</w:t>
            </w:r>
          </w:p>
        </w:tc>
        <w:tc>
          <w:tcPr/>
          <w:p>
            <w:pPr>
              <w:pStyle w:val="Compact"/>
            </w:pPr>
            <w:r>
              <w:t xml:space="preserve">0.545368</w:t>
            </w:r>
          </w:p>
        </w:tc>
        <w:tc>
          <w:tcPr/>
          <w:p>
            <w:pPr>
              <w:pStyle w:val="Compact"/>
            </w:pPr>
            <w:r>
              <w:t xml:space="preserve">0.000</w:t>
            </w:r>
          </w:p>
        </w:tc>
      </w:tr>
      <w:tr>
        <w:tc>
          <w:tcPr/>
          <w:p>
            <w:pPr>
              <w:pStyle w:val="Compact"/>
            </w:pPr>
            <w:r>
              <w:t xml:space="preserve">ETTm1</w:t>
            </w:r>
          </w:p>
        </w:tc>
        <w:tc>
          <w:tcPr/>
          <w:p>
            <w:pPr>
              <w:pStyle w:val="Compact"/>
            </w:pPr>
            <w:r>
              <w:t xml:space="preserve">SHIFT8</w:t>
            </w:r>
          </w:p>
        </w:tc>
        <w:tc>
          <w:tcPr/>
          <w:p>
            <w:pPr>
              <w:pStyle w:val="Compact"/>
            </w:pPr>
            <w:r>
              <w:t xml:space="preserve">PLAIN</w:t>
            </w:r>
          </w:p>
        </w:tc>
        <w:tc>
          <w:tcPr/>
          <w:p>
            <w:pPr>
              <w:pStyle w:val="Compact"/>
            </w:pPr>
            <w:r>
              <w:t xml:space="preserve">0.545368</w:t>
            </w:r>
          </w:p>
        </w:tc>
        <w:tc>
          <w:tcPr/>
          <w:p>
            <w:pPr>
              <w:pStyle w:val="Compact"/>
            </w:pPr>
            <w:r>
              <w:t xml:space="preserve">0.540239</w:t>
            </w:r>
          </w:p>
        </w:tc>
        <w:tc>
          <w:tcPr/>
          <w:p>
            <w:pPr>
              <w:pStyle w:val="Compact"/>
            </w:pPr>
            <w:r>
              <w:t xml:space="preserve">-0.950</w:t>
            </w:r>
          </w:p>
        </w:tc>
      </w:tr>
    </w:tbl>
    <w:p>
      <w:pPr>
        <w:pStyle w:val="BodyText"/>
      </w:pPr>
      <w:r>
        <w:rPr>
          <w:i/>
          <w:iCs/>
        </w:rPr>
        <w:t xml:space="preserve">표 5. ETTm1과 긴 변화 형태의 원점수 및 손해. 좋은 조건만 선택하지 않고 음의 효과를 함께 남겼다.</w:t>
      </w:r>
    </w:p>
    <w:p>
      <w:pPr>
        <w:pStyle w:val="BodyText"/>
      </w:pPr>
      <w:r>
        <w:t xml:space="preserve">ETTm1에서는 MAG의 두 selected checkpoint가 모두0이어서 B0와 같은 예측을 한다. 이는 실행 실패가 아니라 검증 선택이 추가 적응을 채택하지 않은 경우다. 이때 SHIFT8에서 PLAIN보다 약0.95% 나쁘다. 전력 전이의 긴 STEP12_D63에서도 MAG는 B0보다 약3.27%, PLAIN보다 약2.65% 나쁘다. SHIFT4와 일부 SHIFT_POINT에서는 추가 이득이 작거나 seed 방향이 혼재한다. 평가 형태·계열·seed를 이 결과 때문에 제외하지 않았다.</w:t>
      </w:r>
    </w:p>
    <w:p>
      <w:pPr>
        <w:pStyle w:val="CaptionedFigure"/>
      </w:pPr>
      <w:r>
        <w:drawing>
          <wp:inline>
            <wp:extent cx="5334000" cy="1333500"/>
            <wp:effectExtent b="0" l="0" r="0" t="0"/>
            <wp:docPr descr="전 패널 SHIFT8 원점수" title="" id="36" name="Picture"/>
            <a:graphic>
              <a:graphicData uri="http://schemas.openxmlformats.org/drawingml/2006/picture">
                <pic:pic>
                  <pic:nvPicPr>
                    <pic:cNvPr descr="figures/comparison.png" id="37" name="Picture"/>
                    <pic:cNvPicPr>
                      <a:picLocks noChangeArrowheads="1" noChangeAspect="1"/>
                    </pic:cNvPicPr>
                  </pic:nvPicPr>
                  <pic:blipFill>
                    <a:blip r:embed="rId35"/>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전 패널 SHIFT8 원점수</w:t>
      </w:r>
    </w:p>
    <w:p>
      <w:pPr>
        <w:pStyle w:val="BodyText"/>
      </w:pPr>
      <w:r>
        <w:rPr>
          <w:i/>
          <w:iCs/>
        </w:rPr>
        <w:t xml:space="preserve">그림 3. 같은 두 반복 seed의 패널별 원점수. ETTm1의 부정 결과를 포함한다. 패널마다 축과 오차 규모가 다르므로 막대 높이로 자료 간 난이도를 직접 비교하지 않는다.</w:t>
      </w:r>
    </w:p>
    <w:bookmarkEnd w:id="38"/>
    <w:bookmarkStart w:id="39" w:name="과거-대조와-비용"/>
    <w:p>
      <w:pPr>
        <w:pStyle w:val="Heading3"/>
      </w:pPr>
      <w:r>
        <w:t xml:space="preserve">5.4 과거 대조와 비용</w:t>
      </w:r>
    </w:p>
    <w:p>
      <w:pPr>
        <w:pStyle w:val="FirstParagraph"/>
      </w:pPr>
      <w:r>
        <w:t xml:space="preserve">기존 δ XY cell 비교의 전력 전이 SHIFT8에서 MAG는 근접 파라미터 예산과 기본폭 대조보다 각각8.364%,8.730% 낮은 nMAE를 보였다. 이는 공식 부품을 이식한 비교이며 전체 δ 방법 우위는 아니다. 과거 C3의 연속성 규칙은 MAG보다 독립적인 추가 가치가 확립되지 않았으므로 현재 설명을 “지속성을 알아내서 개선했다”로 바꾸지 않는다. 해당 실험과 이전 세 번째 seed·ETTm2 결과는 별도의 과거 증거로 링크하며, 이번 두seed MAG 대조에 존재하지 않는 반복을 포함하지 않는다.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방법</w:t>
            </w:r>
          </w:p>
        </w:tc>
        <w:tc>
          <w:tcPr/>
          <w:p>
            <w:pPr>
              <w:pStyle w:val="Compact"/>
            </w:pPr>
            <w:r>
              <w:t xml:space="preserve">추가 parameters</w:t>
            </w:r>
          </w:p>
        </w:tc>
        <w:tc>
          <w:tcPr/>
          <w:p>
            <w:pPr>
              <w:pStyle w:val="Compact"/>
            </w:pPr>
            <w:r>
              <w:t xml:space="preserve">optimizer초 평균</w:t>
            </w:r>
          </w:p>
        </w:tc>
        <w:tc>
          <w:tcPr/>
          <w:p>
            <w:pPr>
              <w:pStyle w:val="Compact"/>
            </w:pPr>
            <w:r>
              <w:t xml:space="preserve">peak allocated MiB 평균</w:t>
            </w:r>
          </w:p>
        </w:tc>
      </w:tr>
      <w:tr>
        <w:tc>
          <w:tcPr/>
          <w:p>
            <w:pPr>
              <w:pStyle w:val="Compact"/>
            </w:pPr>
            <w:r>
              <w:t xml:space="preserve">MAG</w:t>
            </w:r>
          </w:p>
        </w:tc>
        <w:tc>
          <w:tcPr/>
          <w:p>
            <w:pPr>
              <w:pStyle w:val="Compact"/>
            </w:pPr>
            <w:r>
              <w:t xml:space="preserve">8712</w:t>
            </w:r>
          </w:p>
        </w:tc>
        <w:tc>
          <w:tcPr/>
          <w:p>
            <w:pPr>
              <w:pStyle w:val="Compact"/>
            </w:pPr>
            <w:r>
              <w:t xml:space="preserve">동일 timer 비교 없음</w:t>
            </w:r>
          </w:p>
        </w:tc>
        <w:tc>
          <w:tcPr/>
          <w:p>
            <w:pPr>
              <w:pStyle w:val="Compact"/>
            </w:pPr>
            <w:r>
              <w:t xml:space="preserve">동일 조건 비교 없음</w:t>
            </w:r>
          </w:p>
        </w:tc>
      </w:tr>
      <w:tr>
        <w:tc>
          <w:tcPr/>
          <w:p>
            <w:pPr>
              <w:pStyle w:val="Compact"/>
            </w:pPr>
            <w:r>
              <w:t xml:space="preserve">Gate</w:t>
            </w:r>
          </w:p>
        </w:tc>
        <w:tc>
          <w:tcPr/>
          <w:p>
            <w:pPr>
              <w:pStyle w:val="Compact"/>
            </w:pPr>
            <w:r>
              <w:t xml:space="preserve">9225</w:t>
            </w:r>
          </w:p>
        </w:tc>
        <w:tc>
          <w:tcPr/>
          <w:p>
            <w:pPr>
              <w:pStyle w:val="Compact"/>
            </w:pPr>
            <w:r>
              <w:t xml:space="preserve">36.559</w:t>
            </w:r>
          </w:p>
        </w:tc>
        <w:tc>
          <w:tcPr/>
          <w:p>
            <w:pPr>
              <w:pStyle w:val="Compact"/>
            </w:pPr>
            <w:r>
              <w:t xml:space="preserve">363.575</w:t>
            </w:r>
          </w:p>
        </w:tc>
      </w:tr>
      <w:tr>
        <w:tc>
          <w:tcPr/>
          <w:p>
            <w:pPr>
              <w:pStyle w:val="Compact"/>
            </w:pPr>
            <w:r>
              <w:t xml:space="preserve">Gate+H</w:t>
            </w:r>
          </w:p>
        </w:tc>
        <w:tc>
          <w:tcPr/>
          <w:p>
            <w:pPr>
              <w:pStyle w:val="Compact"/>
            </w:pPr>
            <w:r>
              <w:t xml:space="preserve">9225</w:t>
            </w:r>
          </w:p>
        </w:tc>
        <w:tc>
          <w:tcPr/>
          <w:p>
            <w:pPr>
              <w:pStyle w:val="Compact"/>
            </w:pPr>
            <w:r>
              <w:t xml:space="preserve">37.845</w:t>
            </w:r>
          </w:p>
        </w:tc>
        <w:tc>
          <w:tcPr/>
          <w:p>
            <w:pPr>
              <w:pStyle w:val="Compact"/>
            </w:pPr>
            <w:r>
              <w:t xml:space="preserve">363.708</w:t>
            </w:r>
          </w:p>
        </w:tc>
      </w:tr>
    </w:tbl>
    <w:p>
      <w:pPr>
        <w:pStyle w:val="BodyText"/>
      </w:pPr>
      <w:r>
        <w:rPr>
          <w:i/>
          <w:iCs/>
        </w:rPr>
        <w:t xml:space="preserve">표 6. 추가 파라미터 수와 새 gate군의 receipt 평균. GPU peak는 fit별 최대 allocated memory의 평균이며 전체 시스템 메모리가 아니다. 기존 MAG와 측정 시점·timer 경계가 다르므로 계산 속도비를 주장하지 않는다.</w:t>
      </w:r>
    </w:p>
    <w:p>
      <w:pPr>
        <w:pStyle w:val="BodyText"/>
      </w:pPr>
      <w:r>
        <w:t xml:space="preserve">MAG의 추가8,712개와 학습형 gate의9,225개 사이에는513개 차이가 있다. 같은 B0 비용을 공유하며, 가중치 동결에도 역전파는 남는다. 과거 MAG timer와 이번 gate timer의 intent 저장 포함 여부가 달라 순수 계산 시간의 공정 비교는 미완료다.</w:t>
      </w:r>
    </w:p>
    <w:bookmarkEnd w:id="39"/>
    <w:bookmarkEnd w:id="40"/>
    <w:bookmarkStart w:id="41" w:name="논의와-한계"/>
    <w:p>
      <w:pPr>
        <w:pStyle w:val="Heading2"/>
      </w:pPr>
      <w:r>
        <w:t xml:space="preserve">6. 논의와 한계</w:t>
      </w:r>
    </w:p>
    <w:p>
      <w:pPr>
        <w:pStyle w:val="FirstParagraph"/>
      </w:pPr>
      <w:r>
        <w:t xml:space="preserve">관측 진폭은 극단적인 patch의 추가 잔차 강도를 결정하는 유용한 입력 신호가 될 수 있다. 현재 증거는 큰 합성 변화에서의 설계 전체의 효과를 지지하며, 고정 gate가 항상 학습형 gate보다 좋다는 결론은 지지하지 않는다. 특정 gate가 같은 입력에서 어떤 방향의 예측 변화를 유도하는지와, 그 gate 아래에서 학습된 가중치가 유리한지는 서로 다른 문제다.</w:t>
      </w:r>
    </w:p>
    <w:p>
      <w:pPr>
        <w:pStyle w:val="BodyText"/>
      </w:pPr>
      <w:r>
        <w:t xml:space="preserve">방법의 출발점이 강한 B0라는 점도 해석에 포함해야 한다. 학습되지 않은 backbone부터 동일한 총비용으로 시작하는 비교가 아니므로, 추가 parameter 수만으로 전체 적응 비용 우위를 주장할 수 없다. 이 실험은 “기존 B0를 유지할 때 추가 잔차 제한이 무엇을 더하는가”에 답한다.</w:t>
      </w:r>
    </w:p>
    <w:p>
      <w:pPr>
        <w:pStyle w:val="BodyText"/>
      </w:pPr>
      <w:r>
        <w:t xml:space="preserve">평가 범위는 한 backbone, 두 학습 원천, 두 공통 반복 seed, 합성 오류·변화다. NESO의 시간 전이는 보강 근거이지만 같은 자료 원천에서 이루어졌고, 짧은 약8주에 target overlap도 존재한다. MAG의 사후 후보 선택과 여러 과거 개발 평가 노출이 남아 있다. 별도 신규성 검토와 가까운 정식 선행 전체 비교가 부족하다. PETSA 부품 비교는 CPU 연결까지 준비됐으나 본학습0회이며, 이 원고에는 그 성능을 넣지 않았다. 그 비교를 나중에 수행하더라도 이미 노출된 E를 새 독립 검증이라고 부를 수 없다.</w:t>
      </w:r>
    </w:p>
    <w:bookmarkEnd w:id="41"/>
    <w:bookmarkStart w:id="42" w:name="결론"/>
    <w:p>
      <w:pPr>
        <w:pStyle w:val="Heading2"/>
      </w:pPr>
      <w:r>
        <w:t xml:space="preserve">7. 결론</w:t>
      </w:r>
    </w:p>
    <w:p>
      <w:pPr>
        <w:pStyle w:val="FirstParagraph"/>
      </w:pPr>
      <w:r>
        <w:t xml:space="preserve">본 연구는 관측값을 보존하는 동결 B0 위에서, robust 진폭 통계로 작은 추가 잔차를 제한하는 MAG 설계를 명세하고 직접 비교했다. 큰 합성 지속 변화의 전력 계열 전이와 고정된 NESO 시간 구간에서 일반 잔차·두 학습형 gate 대비 추가 이득을 확인했다. 동시에 ETTm1, 원자료·오류, 긴 변화의 손해를 보존했다. 이 결과는 제한된 상황에서의 구체적 적응 설계를 뒷받침하지만, 범용 PEFT 우위나 충분한 방법론 신규성을 확정하지 않는다.</w:t>
      </w:r>
    </w:p>
    <w:bookmarkEnd w:id="42"/>
    <w:bookmarkStart w:id="56" w:name="부록-a.-공개-근거와-재현"/>
    <w:p>
      <w:pPr>
        <w:pStyle w:val="Heading2"/>
      </w:pPr>
      <w:r>
        <w:t xml:space="preserve">부록 A. 공개 근거와 재현</w:t>
      </w:r>
    </w:p>
    <w:p>
      <w:pPr>
        <w:pStyle w:val="FirstParagraph"/>
      </w:pPr>
      <w:r>
        <w:t xml:space="preserve">모든 원점수·선택·예산·코드 hash는 원 실험 보고서를 우선한다. 본 원고 생성에는 새 모델 추론·학습·bootstrap을 사용하지 않았다. 표는 공개 CSV에서 다시 집계하며, 그림은 hash로 검증한 기존 그림을 사용한다. 전체 원점별 배열·checkpoint·raw 자료는 로컬 캐시에 있어 공개 GitHub만으로 모든 실험을 즉시 재생할 수 있다고 주장하지 않는다.</w:t>
      </w:r>
    </w:p>
    <w:p>
      <w:pPr>
        <w:pStyle w:val="Compact"/>
        <w:numPr>
          <w:ilvl w:val="0"/>
          <w:numId w:val="1001"/>
        </w:numPr>
      </w:pPr>
      <w:hyperlink r:id="rId43">
        <w:r>
          <w:rPr>
            <w:rStyle w:val="Hyperlink"/>
          </w:rPr>
          <w:t xml:space="preserve">학습형 gate 비교의 전체 REPORT</w:t>
        </w:r>
      </w:hyperlink>
      <w:r>
        <w:t xml:space="preserve">,</w:t>
      </w:r>
      <w:r>
        <w:t xml:space="preserve"> </w:t>
      </w:r>
      <w:hyperlink r:id="rId44">
        <w:r>
          <w:rPr>
            <w:rStyle w:val="Hyperlink"/>
          </w:rPr>
          <w:t xml:space="preserve">검산</w:t>
        </w:r>
      </w:hyperlink>
      <w:r>
        <w:t xml:space="preserve">,</w:t>
      </w:r>
      <w:r>
        <w:t xml:space="preserve"> </w:t>
      </w:r>
      <w:hyperlink r:id="rId45">
        <w:r>
          <w:rPr>
            <w:rStyle w:val="Hyperlink"/>
          </w:rPr>
          <w:t xml:space="preserve">모든 seed·조건의 원점수</w:t>
        </w:r>
      </w:hyperlink>
      <w:r>
        <w:t xml:space="preserve">.</w:t>
      </w:r>
    </w:p>
    <w:p>
      <w:pPr>
        <w:pStyle w:val="Compact"/>
        <w:numPr>
          <w:ilvl w:val="0"/>
          <w:numId w:val="1001"/>
        </w:numPr>
      </w:pPr>
      <w:hyperlink r:id="rId46">
        <w:r>
          <w:rPr>
            <w:rStyle w:val="Hyperlink"/>
          </w:rPr>
          <w:t xml:space="preserve">수식·정보 권한과 원 구현</w:t>
        </w:r>
      </w:hyperlink>
      <w:r>
        <w:t xml:space="preserve">,</w:t>
      </w:r>
      <w:r>
        <w:t xml:space="preserve"> </w:t>
      </w:r>
      <w:hyperlink r:id="rId47">
        <w:r>
          <w:rPr>
            <w:rStyle w:val="Hyperlink"/>
          </w:rPr>
          <w:t xml:space="preserve">학습 기회·표현의 차이 감사</w:t>
        </w:r>
      </w:hyperlink>
      <w:r>
        <w:t xml:space="preserve">.</w:t>
      </w:r>
    </w:p>
    <w:p>
      <w:pPr>
        <w:pStyle w:val="Compact"/>
        <w:numPr>
          <w:ilvl w:val="0"/>
          <w:numId w:val="1001"/>
        </w:numPr>
      </w:pPr>
      <w:hyperlink r:id="rId48">
        <w:r>
          <w:rPr>
            <w:rStyle w:val="Hyperlink"/>
          </w:rPr>
          <w:t xml:space="preserve">δ 공개부품 비교</w:t>
        </w:r>
      </w:hyperlink>
      <w:r>
        <w:t xml:space="preserve">,</w:t>
      </w:r>
      <w:r>
        <w:t xml:space="preserve"> </w:t>
      </w:r>
      <w:hyperlink r:id="rId49">
        <w:r>
          <w:rPr>
            <w:rStyle w:val="Hyperlink"/>
          </w:rPr>
          <w:t xml:space="preserve">기존 C3 후속 및 세 번째 seed·ETTm2</w:t>
        </w:r>
      </w:hyperlink>
      <w:r>
        <w:t xml:space="preserve">.</w:t>
      </w:r>
    </w:p>
    <w:p>
      <w:pPr>
        <w:pStyle w:val="Compact"/>
        <w:numPr>
          <w:ilvl w:val="0"/>
          <w:numId w:val="1001"/>
        </w:numPr>
      </w:pPr>
      <w:hyperlink r:id="rId50">
        <w:r>
          <w:rPr>
            <w:rStyle w:val="Hyperlink"/>
          </w:rPr>
          <w:t xml:space="preserve">공식 선행 호환성 감사</w:t>
        </w:r>
      </w:hyperlink>
      <w:r>
        <w:t xml:space="preserve">,</w:t>
      </w:r>
      <w:r>
        <w:t xml:space="preserve"> </w:t>
      </w:r>
      <w:hyperlink r:id="rId51">
        <w:r>
          <w:rPr>
            <w:rStyle w:val="Hyperlink"/>
          </w:rPr>
          <w:t xml:space="preserve">PETSA 준비 상태—성능 결과 아님</w:t>
        </w:r>
      </w:hyperlink>
      <w:r>
        <w:t xml:space="preserve">.</w:t>
      </w:r>
    </w:p>
    <w:p>
      <w:pPr>
        <w:pStyle w:val="Compact"/>
        <w:numPr>
          <w:ilvl w:val="0"/>
          <w:numId w:val="1001"/>
        </w:numPr>
      </w:pPr>
      <w:hyperlink r:id="rId52">
        <w:r>
          <w:rPr>
            <w:rStyle w:val="Hyperlink"/>
          </w:rPr>
          <w:t xml:space="preserve">전체 주 비교 seed 값</w:t>
        </w:r>
      </w:hyperlink>
      <w:r>
        <w:t xml:space="preserve">,</w:t>
      </w:r>
      <w:r>
        <w:t xml:space="preserve"> </w:t>
      </w:r>
      <w:hyperlink r:id="rId53">
        <w:r>
          <w:rPr>
            <w:rStyle w:val="Hyperlink"/>
          </w:rPr>
          <w:t xml:space="preserve">보호조건의 점수와 구간</w:t>
        </w:r>
      </w:hyperlink>
      <w:r>
        <w:t xml:space="preserve">,</w:t>
      </w:r>
      <w:r>
        <w:t xml:space="preserve"> </w:t>
      </w:r>
      <w:hyperlink r:id="rId54">
        <w:r>
          <w:rPr>
            <w:rStyle w:val="Hyperlink"/>
          </w:rPr>
          <w:t xml:space="preserve">모든 변화 형태</w:t>
        </w:r>
      </w:hyperlink>
      <w:r>
        <w:t xml:space="preserve">,</w:t>
      </w:r>
      <w:r>
        <w:t xml:space="preserve"> </w:t>
      </w:r>
      <w:hyperlink r:id="rId55">
        <w:r>
          <w:rPr>
            <w:rStyle w:val="Hyperlink"/>
          </w:rPr>
          <w:t xml:space="preserve">선택 checkpoint</w:t>
        </w:r>
      </w:hyperlink>
      <w:r>
        <w:t xml:space="preserve">.</w:t>
      </w:r>
    </w:p>
    <w:p>
      <w:pPr>
        <w:pStyle w:val="FirstParagraph"/>
      </w:pPr>
      <w:r>
        <w:t xml:space="preserve">기존 학습·평가 계약과 결과를 바꾸지 않았으며, 이 원고의 작성 자체를 방법론 목표 달성으로 표시하지 않는다.</w:t>
      </w:r>
    </w:p>
    <w:bookmarkEnd w:id="56"/>
    <w:bookmarkStart w:id="62" w:name="참고문헌-및-공식-구현"/>
    <w:p>
      <w:pPr>
        <w:pStyle w:val="Heading2"/>
      </w:pPr>
      <w:r>
        <w:t xml:space="preserve">참고문헌 및 공식 구현</w:t>
      </w:r>
    </w:p>
    <w:p>
      <w:pPr>
        <w:pStyle w:val="Compact"/>
        <w:numPr>
          <w:ilvl w:val="0"/>
          <w:numId w:val="1002"/>
        </w:numPr>
      </w:pPr>
      <w:r>
        <w:t xml:space="preserve">Houlsby, N., et al. (2019).</w:t>
      </w:r>
      <w:r>
        <w:t xml:space="preserve"> </w:t>
      </w:r>
      <w:hyperlink r:id="rId10">
        <w:r>
          <w:rPr>
            <w:rStyle w:val="Hyperlink"/>
          </w:rPr>
          <w:t xml:space="preserve">Parameter-Efficient Transfer Learning for NLP</w:t>
        </w:r>
      </w:hyperlink>
      <w:r>
        <w:t xml:space="preserve">. ICML, PMLR97,2790–2799.</w:t>
      </w:r>
    </w:p>
    <w:p>
      <w:pPr>
        <w:pStyle w:val="Compact"/>
        <w:numPr>
          <w:ilvl w:val="0"/>
          <w:numId w:val="1002"/>
        </w:numPr>
      </w:pPr>
      <w:r>
        <w:t xml:space="preserve">Hu, E. J., et al. (2021).</w:t>
      </w:r>
      <w:r>
        <w:t xml:space="preserve"> </w:t>
      </w:r>
      <w:hyperlink r:id="rId11">
        <w:r>
          <w:rPr>
            <w:rStyle w:val="Hyperlink"/>
          </w:rPr>
          <w:t xml:space="preserve">LoRA: Low-Rank Adaptation of Large Language Models</w:t>
        </w:r>
      </w:hyperlink>
      <w:r>
        <w:t xml:space="preserve">. arXiv:2106.09685.</w:t>
      </w:r>
    </w:p>
    <w:p>
      <w:pPr>
        <w:pStyle w:val="Compact"/>
        <w:numPr>
          <w:ilvl w:val="0"/>
          <w:numId w:val="1002"/>
        </w:numPr>
      </w:pPr>
      <w:r>
        <w:t xml:space="preserve">Ou, J., Jiang, S., Du, Y., and Snoek, C. G. M. (2025).</w:t>
      </w:r>
      <w:r>
        <w:t xml:space="preserve"> </w:t>
      </w:r>
      <w:hyperlink r:id="rId57">
        <w:r>
          <w:rPr>
            <w:rStyle w:val="Hyperlink"/>
          </w:rPr>
          <w:t xml:space="preserve">GateRA: Token-Aware Modulation for Parameter-Efficient Fine-Tuning</w:t>
        </w:r>
      </w:hyperlink>
      <w:r>
        <w:t xml:space="preserve">. 본 연구의 수식 검토본은v1이며 출판판은AAAI2026이다.</w:t>
      </w:r>
    </w:p>
    <w:p>
      <w:pPr>
        <w:pStyle w:val="Compact"/>
        <w:numPr>
          <w:ilvl w:val="0"/>
          <w:numId w:val="1002"/>
        </w:numPr>
      </w:pPr>
      <w:r>
        <w:t xml:space="preserve">Medeiros, H. R., Sharifi-Noghabi, H., Oliveira, G. L., and Irandoust, S. (2025).</w:t>
      </w:r>
      <w:r>
        <w:t xml:space="preserve"> </w:t>
      </w:r>
      <w:hyperlink r:id="rId58">
        <w:r>
          <w:rPr>
            <w:rStyle w:val="Hyperlink"/>
          </w:rPr>
          <w:t xml:space="preserve">Accurate Parameter-Efficient Test-Time Adaptation for Time Series Forecasting</w:t>
        </w:r>
      </w:hyperlink>
      <w:r>
        <w:t xml:space="preserve">. ICML2025 PUT workshop, arXiv:2506.23424.</w:t>
      </w:r>
      <w:r>
        <w:t xml:space="preserve"> </w:t>
      </w:r>
      <w:hyperlink r:id="rId59">
        <w:r>
          <w:rPr>
            <w:rStyle w:val="Hyperlink"/>
          </w:rPr>
          <w:t xml:space="preserve">검토한 공식 코드</w:t>
        </w:r>
      </w:hyperlink>
      <w:r>
        <w:t xml:space="preserve">.</w:t>
      </w:r>
    </w:p>
    <w:p>
      <w:pPr>
        <w:pStyle w:val="Compact"/>
        <w:numPr>
          <w:ilvl w:val="0"/>
          <w:numId w:val="1002"/>
        </w:numPr>
      </w:pPr>
      <w:r>
        <w:t xml:space="preserve">KAIST DMLab.</w:t>
      </w:r>
      <w:r>
        <w:t xml:space="preserve"> </w:t>
      </w:r>
      <w:hyperlink r:id="rId60">
        <w:r>
          <w:rPr>
            <w:rStyle w:val="Hyperlink"/>
          </w:rPr>
          <w:t xml:space="preserve">Time-PEFT 공식 구현</w:t>
        </w:r>
      </w:hyperlink>
      <w:r>
        <w:t xml:space="preserve">. 코드 인용이며 본 원고에서 공식 전체 실험을 재현했다는 뜻이 아니다.</w:t>
      </w:r>
    </w:p>
    <w:p>
      <w:pPr>
        <w:pStyle w:val="Compact"/>
        <w:numPr>
          <w:ilvl w:val="0"/>
          <w:numId w:val="1002"/>
        </w:numPr>
      </w:pPr>
      <w:r>
        <w:t xml:space="preserve">Amazon.</w:t>
      </w:r>
      <w:r>
        <w:t xml:space="preserve"> </w:t>
      </w:r>
      <w:hyperlink r:id="rId17">
        <w:r>
          <w:rPr>
            <w:rStyle w:val="Hyperlink"/>
          </w:rPr>
          <w:t xml:space="preserve">Chronos-Bolt-small 모델 카드</w:t>
        </w:r>
      </w:hyperlink>
      <w:r>
        <w:t xml:space="preserve">. 실제 사용 snapshot과 파일hash는 실행 계약의 모델 receipt를 따른다.</w:t>
      </w:r>
    </w:p>
    <w:p>
      <w:pPr>
        <w:pStyle w:val="Compact"/>
        <w:numPr>
          <w:ilvl w:val="0"/>
          <w:numId w:val="1002"/>
        </w:numPr>
      </w:pPr>
      <w:r>
        <w:t xml:space="preserve">Anoise.</w:t>
      </w:r>
      <w:r>
        <w:t xml:space="preserve"> </w:t>
      </w:r>
      <w:hyperlink r:id="rId61">
        <w:r>
          <w:rPr>
            <w:rStyle w:val="Hyperlink"/>
          </w:rPr>
          <w:t xml:space="preserve">δ-Adapter 공개 구현</w:t>
        </w:r>
      </w:hyperlink>
      <w:r>
        <w:t xml:space="preserve">. 본 연구는 공개XY cell의 통제 이식 범위만 비교했다.</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18" Target="media/rId18.png" /><Relationship Type="http://schemas.openxmlformats.org/officeDocument/2006/relationships/image" Id="rId31" Target="media/rId31.png" /><Relationship Type="http://schemas.openxmlformats.org/officeDocument/2006/relationships/hyperlink" Id="rId47" Target="../../../research/learned_gate_comparability_20260919/COMPARABILITY_KO.md" TargetMode="External" /><Relationship Type="http://schemas.openxmlformats.org/officeDocument/2006/relationships/hyperlink" Id="rId50" Target="../../../research/method_baseline_compatibility_20260919/BASELINE_COMPATIBILITY_KO.md" TargetMode="External" /><Relationship Type="http://schemas.openxmlformats.org/officeDocument/2006/relationships/hyperlink" Id="rId49" Target="../../../results/additive_persistence_validation_v1_20260917/REPORT.md" TargetMode="External" /><Relationship Type="http://schemas.openxmlformats.org/officeDocument/2006/relationships/hyperlink" Id="rId48" Target="../../../results/delta_adapter_comparison_20260919/REPORT.md" TargetMode="External" /><Relationship Type="http://schemas.openxmlformats.org/officeDocument/2006/relationships/hyperlink" Id="rId44" Target="../../../results/learned_gate_comparison_20260919/AUDIT.json" TargetMode="External" /><Relationship Type="http://schemas.openxmlformats.org/officeDocument/2006/relationships/hyperlink" Id="rId43" Target="../../../results/learned_gate_comparison_20260919/REPORT.md" TargetMode="External" /><Relationship Type="http://schemas.openxmlformats.org/officeDocument/2006/relationships/hyperlink" Id="rId51" Target="../../../results/petsa_cell_comparison_20260919/PREPARATION_KO.md" TargetMode="External" /><Relationship Type="http://schemas.openxmlformats.org/officeDocument/2006/relationships/hyperlink" Id="rId46" Target="../magnitude_method_20260919/METHOD_SECTION_KO.md" TargetMode="External" /><Relationship Type="http://schemas.openxmlformats.org/officeDocument/2006/relationships/hyperlink" Id="rId11" Target="https://arxiv.org/abs/2106.09685" TargetMode="External" /><Relationship Type="http://schemas.openxmlformats.org/officeDocument/2006/relationships/hyperlink" Id="rId58" Target="https://arxiv.org/abs/2506.23424" TargetMode="External" /><Relationship Type="http://schemas.openxmlformats.org/officeDocument/2006/relationships/hyperlink" Id="rId57" Target="https://arxiv.org/abs/2511.17582" TargetMode="External" /><Relationship Type="http://schemas.openxmlformats.org/officeDocument/2006/relationships/hyperlink" Id="rId15" Target="https://arxiv.org/html/2506.23424v1" TargetMode="External" /><Relationship Type="http://schemas.openxmlformats.org/officeDocument/2006/relationships/hyperlink" Id="rId14" Target="https://arxiv.org/html/2511.17582v1" TargetMode="External" /><Relationship Type="http://schemas.openxmlformats.org/officeDocument/2006/relationships/hyperlink" Id="rId61" Target="https://github.com/Anoise/Adapter/tree/0add06ea7b4d2e0a84c364a8be72eef2676a92f2" TargetMode="External" /><Relationship Type="http://schemas.openxmlformats.org/officeDocument/2006/relationships/hyperlink" Id="rId59" Target="https://github.com/BorealisAI/PETSA/blob/87853d888e98311ac94e64be920d17b57143b20c/tta/petsa.py" TargetMode="External" /><Relationship Type="http://schemas.openxmlformats.org/officeDocument/2006/relationships/hyperlink" Id="rId13" Target="https://github.com/kaist-dmlab/TimePEFT/blob/ea4e7e1887bb35587bab7ea93e2af3685ac55852/run.py" TargetMode="External" /><Relationship Type="http://schemas.openxmlformats.org/officeDocument/2006/relationships/hyperlink" Id="rId60" Target="https://github.com/kaist-dmlab/TimePEFT/tree/ea4e7e1887bb35587bab7ea93e2af3685ac55852" TargetMode="External" /><Relationship Type="http://schemas.openxmlformats.org/officeDocument/2006/relationships/hyperlink" Id="rId17" Target="https://huggingface.co/amazon/chronos-bolt-small" TargetMode="External" /><Relationship Type="http://schemas.openxmlformats.org/officeDocument/2006/relationships/hyperlink" Id="rId10" Target="https://proceedings.mlr.press/v97/houlsby19a.html" TargetMode="External" /><Relationship Type="http://schemas.openxmlformats.org/officeDocument/2006/relationships/hyperlink" Id="rId45" Target="tables/all_raw_scores.csv" TargetMode="External" /><Relationship Type="http://schemas.openxmlformats.org/officeDocument/2006/relationships/hyperlink" Id="rId54" Target="tables/all_shape_scores.csv" TargetMode="External" /><Relationship Type="http://schemas.openxmlformats.org/officeDocument/2006/relationships/hyperlink" Id="rId55" Target="tables/model_selection.json" TargetMode="External" /><Relationship Type="http://schemas.openxmlformats.org/officeDocument/2006/relationships/hyperlink" Id="rId52" Target="tables/primary.csv" TargetMode="External" /><Relationship Type="http://schemas.openxmlformats.org/officeDocument/2006/relationships/hyperlink" Id="rId53" Target="tables/protection.csv" TargetMode="External" /></Relationships>
</file>

<file path=word/_rels/footnotes.xml.rels><?xml version="1.0" encoding="UTF-8"?><Relationships xmlns="http://schemas.openxmlformats.org/package/2006/relationships"><Relationship Type="http://schemas.openxmlformats.org/officeDocument/2006/relationships/hyperlink" Id="rId47" Target="../../../research/learned_gate_comparability_20260919/COMPARABILITY_KO.md" TargetMode="External" /><Relationship Type="http://schemas.openxmlformats.org/officeDocument/2006/relationships/hyperlink" Id="rId50" Target="../../../research/method_baseline_compatibility_20260919/BASELINE_COMPATIBILITY_KO.md" TargetMode="External" /><Relationship Type="http://schemas.openxmlformats.org/officeDocument/2006/relationships/hyperlink" Id="rId49" Target="../../../results/additive_persistence_validation_v1_20260917/REPORT.md" TargetMode="External" /><Relationship Type="http://schemas.openxmlformats.org/officeDocument/2006/relationships/hyperlink" Id="rId48" Target="../../../results/delta_adapter_comparison_20260919/REPORT.md" TargetMode="External" /><Relationship Type="http://schemas.openxmlformats.org/officeDocument/2006/relationships/hyperlink" Id="rId44" Target="../../../results/learned_gate_comparison_20260919/AUDIT.json" TargetMode="External" /><Relationship Type="http://schemas.openxmlformats.org/officeDocument/2006/relationships/hyperlink" Id="rId43" Target="../../../results/learned_gate_comparison_20260919/REPORT.md" TargetMode="External" /><Relationship Type="http://schemas.openxmlformats.org/officeDocument/2006/relationships/hyperlink" Id="rId51" Target="../../../results/petsa_cell_comparison_20260919/PREPARATION_KO.md" TargetMode="External" /><Relationship Type="http://schemas.openxmlformats.org/officeDocument/2006/relationships/hyperlink" Id="rId46" Target="../magnitude_method_20260919/METHOD_SECTION_KO.md" TargetMode="External" /><Relationship Type="http://schemas.openxmlformats.org/officeDocument/2006/relationships/hyperlink" Id="rId11" Target="https://arxiv.org/abs/2106.09685" TargetMode="External" /><Relationship Type="http://schemas.openxmlformats.org/officeDocument/2006/relationships/hyperlink" Id="rId58" Target="https://arxiv.org/abs/2506.23424" TargetMode="External" /><Relationship Type="http://schemas.openxmlformats.org/officeDocument/2006/relationships/hyperlink" Id="rId57" Target="https://arxiv.org/abs/2511.17582" TargetMode="External" /><Relationship Type="http://schemas.openxmlformats.org/officeDocument/2006/relationships/hyperlink" Id="rId15" Target="https://arxiv.org/html/2506.23424v1" TargetMode="External" /><Relationship Type="http://schemas.openxmlformats.org/officeDocument/2006/relationships/hyperlink" Id="rId14" Target="https://arxiv.org/html/2511.17582v1" TargetMode="External" /><Relationship Type="http://schemas.openxmlformats.org/officeDocument/2006/relationships/hyperlink" Id="rId61" Target="https://github.com/Anoise/Adapter/tree/0add06ea7b4d2e0a84c364a8be72eef2676a92f2" TargetMode="External" /><Relationship Type="http://schemas.openxmlformats.org/officeDocument/2006/relationships/hyperlink" Id="rId59" Target="https://github.com/BorealisAI/PETSA/blob/87853d888e98311ac94e64be920d17b57143b20c/tta/petsa.py" TargetMode="External" /><Relationship Type="http://schemas.openxmlformats.org/officeDocument/2006/relationships/hyperlink" Id="rId13" Target="https://github.com/kaist-dmlab/TimePEFT/blob/ea4e7e1887bb35587bab7ea93e2af3685ac55852/run.py" TargetMode="External" /><Relationship Type="http://schemas.openxmlformats.org/officeDocument/2006/relationships/hyperlink" Id="rId60" Target="https://github.com/kaist-dmlab/TimePEFT/tree/ea4e7e1887bb35587bab7ea93e2af3685ac55852" TargetMode="External" /><Relationship Type="http://schemas.openxmlformats.org/officeDocument/2006/relationships/hyperlink" Id="rId17" Target="https://huggingface.co/amazon/chronos-bolt-small" TargetMode="External" /><Relationship Type="http://schemas.openxmlformats.org/officeDocument/2006/relationships/hyperlink" Id="rId10" Target="https://proceedings.mlr.press/v97/houlsby19a.html" TargetMode="External" /><Relationship Type="http://schemas.openxmlformats.org/officeDocument/2006/relationships/hyperlink" Id="rId45" Target="tables/all_raw_scores.csv" TargetMode="External" /><Relationship Type="http://schemas.openxmlformats.org/officeDocument/2006/relationships/hyperlink" Id="rId54" Target="tables/all_shape_scores.csv" TargetMode="External" /><Relationship Type="http://schemas.openxmlformats.org/officeDocument/2006/relationships/hyperlink" Id="rId55" Target="tables/model_selection.json" TargetMode="External" /><Relationship Type="http://schemas.openxmlformats.org/officeDocument/2006/relationships/hyperlink" Id="rId52" Target="tables/primary.csv" TargetMode="External" /><Relationship Type="http://schemas.openxmlformats.org/officeDocument/2006/relationships/hyperlink" Id="rId53" Target="tables/protection.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2026-09-19T09:21:23Z</dcterms:created>
  <dcterms:modified xsi:type="dcterms:W3CDTF">2026-09-19T09:21:23Z</dcterms:modified>
</cp:coreProperties>
</file>

<file path=docProps/custom.xml><?xml version="1.0" encoding="utf-8"?>
<Properties xmlns="http://schemas.openxmlformats.org/officeDocument/2006/custom-properties" xmlns:vt="http://schemas.openxmlformats.org/officeDocument/2006/docPropsVTypes"/>
</file>