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논문-보충-기반-모델과-추가-어댑터-초기값의-상호작용"/>
    <w:p>
      <w:pPr>
        <w:pStyle w:val="Heading1"/>
      </w:pPr>
      <w:r>
        <w:t xml:space="preserve">논문 보충: 기반 모델과 추가 어댑터 초기값의 상호작용</w:t>
      </w:r>
    </w:p>
    <w:p>
      <w:pPr>
        <w:pStyle w:val="FirstParagraph"/>
      </w:pPr>
      <w:r>
        <w:t xml:space="preserve">2026-09-18 · Korean paper addendum · 사후 두 수준 통제 실험</w:t>
      </w:r>
    </w:p>
    <w:bookmarkStart w:id="9" w:name="핵심-수정"/>
    <w:p>
      <w:pPr>
        <w:pStyle w:val="Heading2"/>
      </w:pPr>
      <w:r>
        <w:t xml:space="preserve">핵심 수정</w:t>
      </w:r>
    </w:p>
    <w:p>
      <w:pPr>
        <w:pStyle w:val="FirstParagraph"/>
      </w:pPr>
      <w:r>
        <w:rPr>
          <w:b/>
          <w:bCs/>
        </w:rPr>
        <w:t xml:space="preserve">관찰된 차이는 단순한 ‘지속성 규칙의 우위’로 설명되지 않으며, 동결된 B0와 추가 어댑터 초기값의 조합 및 checkpoint 선택에 의존한다.</w:t>
      </w:r>
      <w:r>
        <w:t xml:space="preserve"> </w:t>
      </w:r>
      <w:r>
        <w:t xml:space="preserve">기존 연구의 최초 가설이 이 상호작용을 예측한 것처럼 쓰지 않는다. 이는 기존 결과를 확인한 뒤 설계한 후속 기전 진단이다.</w:t>
      </w:r>
    </w:p>
    <w:p>
      <w:pPr>
        <w:pStyle w:val="BodyText"/>
      </w:pPr>
      <w:r>
        <w:t xml:space="preserve">앞선 원고는 가중치와 추론 규칙의 효과를 분리했지만 seed가 B0·초기값·순서를 묶어 바꾼다는 한계가 있었다. 이번에는 두 source에서 세 요인을 독립적으로 교차했고, 같은 조건의 C3/MAG를 짝지었다. 신규24개와 재사용8개의 총32경로를 비교했으며 모든 경로를1,024 updates로 맞춘 결과를 주 분석으로 삼았다.</w:t>
      </w:r>
    </w:p>
    <w:bookmarkEnd w:id="9"/>
    <w:bookmarkStart w:id="10" w:name="원오차와-두-방법-사이의-격차를-구분"/>
    <w:p>
      <w:pPr>
        <w:pStyle w:val="Heading2"/>
      </w:pPr>
      <w:r>
        <w:t xml:space="preserve">원오차와 두 방법 사이의 격차를 구분</w:t>
      </w:r>
    </w:p>
    <w:p>
      <w:pPr>
        <w:pStyle w:val="FirstParagraph"/>
      </w:pPr>
      <w:r>
        <w:t xml:space="preserve">원오차 자체의 단일 요인 주효과에서는 B0가 가장 큰 절대 점추정이었다. 반면 C3−MAG 격차의7성분 중에는 B0×초기값이 가장 컸다. 두 질문의 답이 다르다. 아래는 전력 전이 SHIFT8, fixed1024에서 나머지 요인을 평균한81551→81552 변화다. 양수는 원오차 증가다.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바꾸는 요인</w:t>
            </w:r>
          </w:p>
        </w:tc>
        <w:tc>
          <w:tcPr/>
          <w:p>
            <w:pPr>
              <w:pStyle w:val="Compact"/>
            </w:pPr>
            <w:r>
              <w:t xml:space="preserve">C3 원오차 변화(nMAE)</w:t>
            </w:r>
          </w:p>
        </w:tc>
        <w:tc>
          <w:tcPr/>
          <w:p>
            <w:pPr>
              <w:pStyle w:val="Compact"/>
            </w:pPr>
            <w:r>
              <w:t xml:space="preserve">MAG 원오차 변화(nMAE)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</w:t>
            </w:r>
          </w:p>
        </w:tc>
        <w:tc>
          <w:tcPr/>
          <w:p>
            <w:pPr>
              <w:pStyle w:val="Compact"/>
            </w:pPr>
            <w:r>
              <w:t xml:space="preserve">+0.01174459</w:t>
            </w:r>
          </w:p>
        </w:tc>
        <w:tc>
          <w:tcPr/>
          <w:p>
            <w:pPr>
              <w:pStyle w:val="Compact"/>
            </w:pPr>
            <w:r>
              <w:t xml:space="preserve">+0.01123552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-0.00009799</w:t>
            </w:r>
          </w:p>
        </w:tc>
        <w:tc>
          <w:tcPr/>
          <w:p>
            <w:pPr>
              <w:pStyle w:val="Compact"/>
            </w:pPr>
            <w:r>
              <w:t xml:space="preserve">+0.00055992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-0.00291946</w:t>
            </w:r>
          </w:p>
        </w:tc>
        <w:tc>
          <w:tcPr/>
          <w:p>
            <w:pPr>
              <w:pStyle w:val="Compact"/>
            </w:pPr>
            <w:r>
              <w:t xml:space="preserve">-0.00354140</w:t>
            </w:r>
          </w:p>
        </w:tc>
      </w:tr>
    </w:tbl>
    <w:p>
      <w:pPr>
        <w:pStyle w:val="BodyText"/>
      </w:pPr>
      <w:r>
        <w:t xml:space="preserve">B0 교체는 두 방법의 원오차를 모두 크게 바꾸므로, 그 공통 변화를 뺀 방법 간 격차에서는 B0 주효과가 상대적으로 작아질 수 있다. ‘예측 정확도에 무엇이 큰 영향을 주는가’와 ‘두 gate의 상대적 차이를 무엇이 만드는가’를 하나의 순위로 합치지 않는다.</w:t>
      </w:r>
    </w:p>
    <w:bookmarkEnd w:id="10"/>
    <w:bookmarkStart w:id="11" w:name="결과-절에-사용할-문단"/>
    <w:p>
      <w:pPr>
        <w:pStyle w:val="Heading2"/>
      </w:pPr>
      <w:r>
        <w:t xml:space="preserve">결과 절에 사용할 문단</w:t>
      </w:r>
    </w:p>
    <w:p>
      <w:pPr>
        <w:pStyle w:val="BlockText"/>
      </w:pPr>
      <w:r>
        <w:t xml:space="preserve">전력 전이 SHIFT8에서 C3와 MAG의 오차 차이에 대한 가장 큰 절대 factorial 성분은 동결된 B0와 어댑터 초기값의 상호작용이었다(contrast−0.00104889 nMAE; 고정된 공통 C3 오차 대비−0.2872%; 조건부 Bonferroni7 구간[−0.001204,−0.000919]). 나머지 요인을 평균했을 때 같은 초기값 변경은 한 B0에서는 MAG 방향으로, 다른 B0에서는 C3 방향으로 작용했다. 반면 검증으로 checkpoint를 선택한 절차에서는 B0 주효과가 가장 큰 점추정이었다(+0.00169094 nMAE). 따라서 관측 규칙의 상대 성능은 초기 학습 조건과 선택 절차에 의존하며, 하나의 초기화 seed 또는 추론 gate만으로 설명되지 않는다.</w:t>
      </w:r>
    </w:p>
    <w:p>
      <w:pPr>
        <w:pStyle w:val="FirstParagraph"/>
      </w:pPr>
      <w:r>
        <w:t xml:space="preserve">이 문단의 가장 큰 성분은 비교한7성분의 관찰 점추정이다. 성분 간 차이에 대한 별도 순위 검정을 수행한 것은 아니다. 구간은 반복 사용한 개발 E에서 고정된 두 수준과 학습 결과에 조건부다.</w:t>
      </w:r>
    </w:p>
    <w:bookmarkEnd w:id="11"/>
    <w:bookmarkStart w:id="12" w:name="논의-절에-사용할-문단"/>
    <w:p>
      <w:pPr>
        <w:pStyle w:val="Heading2"/>
      </w:pPr>
      <w:r>
        <w:t xml:space="preserve">논의 절에 사용할 문단</w:t>
      </w:r>
    </w:p>
    <w:p>
      <w:pPr>
        <w:pStyle w:val="BlockText"/>
      </w:pPr>
      <w:r>
        <w:t xml:space="preserve">출력층을0으로 초기화하여 시작 예측이 B0와 같더라도, 추가 어댑터의 초기 내부 파라미터와 기반 모델의 조합에 따라 두 관측 가중 규칙의 학습 결과가 달라졌다. 이는 초기 예측 동일성이 학습 경로의 동일성을 보장하지 않음을 보여주는 해당 설정의 통제 사례다. 그러나 본 연구는 어떤 내부 표현 또는 gradient가 이 차이를 유발했는지 직접 측정하지 않았으며, 선택한 두 수준에서의 교차 효과를 모든 B0와 초기화에 일반화하지 않는다. 또한 fixed1024와 검증 선택 결과의 차이는 checkpoint 선택이 해석을 바꿀 수 있음을 보여주지만, 평가 후 유리한 checkpoint 절차를 새 방법으로 채택하는 근거는 아니다.</w:t>
      </w:r>
    </w:p>
    <w:bookmarkEnd w:id="12"/>
    <w:bookmarkStart w:id="13" w:name="주장-범위"/>
    <w:p>
      <w:pPr>
        <w:pStyle w:val="Heading2"/>
      </w:pPr>
      <w:r>
        <w:t xml:space="preserve">주장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이번에 가능한 설명</w:t>
            </w:r>
          </w:p>
        </w:tc>
        <w:tc>
          <w:tcPr/>
          <w:p>
            <w:pPr>
              <w:pStyle w:val="Compact"/>
            </w:pPr>
            <w:r>
              <w:t xml:space="preserve">남은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신규24fits·재사용8fits, 전체 평가·검산 완료</w:t>
            </w:r>
          </w:p>
        </w:tc>
        <w:tc>
          <w:tcPr/>
          <w:p>
            <w:pPr>
              <w:pStyle w:val="Compact"/>
            </w:pPr>
            <w:r>
              <w:t xml:space="preserve">학습 완료는 논문 성공 판정이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요인 분리</w:t>
            </w:r>
          </w:p>
        </w:tc>
        <w:tc>
          <w:tcPr/>
          <w:p>
            <w:pPr>
              <w:pStyle w:val="Compact"/>
            </w:pPr>
            <w:r>
              <w:t xml:space="preserve">B0·초기값·순서를 독립적으로 바꾼 통제 효과</w:t>
            </w:r>
          </w:p>
        </w:tc>
        <w:tc>
          <w:tcPr/>
          <w:p>
            <w:pPr>
              <w:pStyle w:val="Compact"/>
            </w:pPr>
            <w:r>
              <w:t xml:space="preserve">선택한81551/81552 두 수준·두 source에 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상호작용</w:t>
            </w:r>
          </w:p>
        </w:tc>
        <w:tc>
          <w:tcPr/>
          <w:p>
            <w:pPr>
              <w:pStyle w:val="Compact"/>
            </w:pPr>
            <w:r>
              <w:t xml:space="preserve">fixed1024의 전력 전이에서 B0×초기값 결합이 가장 큰 점추정</w:t>
            </w:r>
          </w:p>
        </w:tc>
        <w:tc>
          <w:tcPr/>
          <w:p>
            <w:pPr>
              <w:pStyle w:val="Compact"/>
            </w:pPr>
            <w:r>
              <w:t xml:space="preserve">전체 모집단의 최대 원인·내부 gradient 원리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효과</w:t>
            </w:r>
          </w:p>
        </w:tc>
        <w:tc>
          <w:tcPr/>
          <w:p>
            <w:pPr>
              <w:pStyle w:val="Compact"/>
            </w:pPr>
            <w:r>
              <w:t xml:space="preserve">선택 checkpoint를 사용하면 우세 성분과 일부 자료의 평균 순위가 달라짐</w:t>
            </w:r>
          </w:p>
        </w:tc>
        <w:tc>
          <w:tcPr/>
          <w:p>
            <w:pPr>
              <w:pStyle w:val="Compact"/>
            </w:pPr>
            <w:r>
              <w:t xml:space="preserve">V 선택 민감도이며 독립 시험이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 우위</w:t>
            </w:r>
          </w:p>
        </w:tc>
        <w:tc>
          <w:tcPr/>
          <w:p>
            <w:pPr>
              <w:pStyle w:val="Compact"/>
            </w:pPr>
            <w:r>
              <w:t xml:space="preserve">C3의 기존 좁은 이득과 MAG의 이득·손해를 함께 보존</w:t>
            </w:r>
          </w:p>
        </w:tc>
        <w:tc>
          <w:tcPr/>
          <w:p>
            <w:pPr>
              <w:pStyle w:val="Compact"/>
            </w:pPr>
            <w:r>
              <w:t xml:space="preserve">지속성 구성요소의 일관된 추가 가치·정식 선행 우위 미확보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신규성</w:t>
            </w:r>
          </w:p>
        </w:tc>
        <w:tc>
          <w:tcPr/>
          <w:p>
            <w:pPr>
              <w:pStyle w:val="Compact"/>
            </w:pPr>
            <w:r>
              <w:t xml:space="preserve">구체적인 추가 PEFT의 조건부 학습–추론 실증으로 논문 구성 가능</w:t>
            </w:r>
          </w:p>
        </w:tc>
        <w:tc>
          <w:tcPr/>
          <w:p>
            <w:pPr>
              <w:pStyle w:val="Compact"/>
            </w:pPr>
            <w:r>
              <w:t xml:space="preserve">어댑터·gate·0출력 초기화 자체의 최초성을 주장하지 않음</w:t>
            </w:r>
          </w:p>
        </w:tc>
      </w:tr>
    </w:tbl>
    <w:bookmarkEnd w:id="13"/>
    <w:bookmarkStart w:id="14" w:name="기존-원고와의-관계"/>
    <w:p>
      <w:pPr>
        <w:pStyle w:val="Heading2"/>
      </w:pPr>
      <w:r>
        <w:t xml:space="preserve">기존 원고와의 관계</w:t>
      </w:r>
    </w:p>
    <w:p>
      <w:pPr>
        <w:pStyle w:val="FirstParagraph"/>
      </w:pPr>
      <w:r>
        <w:rPr>
          <w:rStyle w:val="VerbatimChar"/>
        </w:rPr>
        <w:t xml:space="preserve">manuscript_v2_20260918</w:t>
      </w:r>
      <w:r>
        <w:t xml:space="preserve">은 이번 통제 이전의 이력으로 보존한다. 그 원고의 ‘B0·초기값·순서를 분리하지 못했다’는 한계는 이번 선택한 두 수준의 실험 범위에서 보완됐다. 다른 seed·독립 source·선행 비교 및 내부 기전에 대한 한계는 남는다. 기존81553과 모든 음성 결과를 삭제하거나 이번8조합 평균으로 대체하지 않는다. 논문의 중심 기여는 현재로서는 관측 기반 추가 PEFT의 통제 실증이며, 새 지속성 방법의 범용 우위로 확대하지 않는다.</w:t>
      </w:r>
    </w:p>
    <w:p>
      <w:pPr>
        <w:pStyle w:val="BodyText"/>
      </w:pPr>
      <w:r>
        <w:t xml:space="preserve">다음 장에는 실제 원점수·설계·비용과 판단을 그대로 수록한다.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b0초기값학습-순서를-분리한-c3mag-통제-실험"/>
    <w:p>
      <w:pPr>
        <w:pStyle w:val="Heading1"/>
      </w:pPr>
      <w:r>
        <w:t xml:space="preserve">B0·초기값·학습 순서를 분리한 C3/MAG 통제 실험</w:t>
      </w:r>
    </w:p>
    <w:p>
      <w:pPr>
        <w:pStyle w:val="FirstParagraph"/>
      </w:pPr>
      <w:r>
        <w:rPr>
          <w:b/>
          <w:bCs/>
        </w:rPr>
        <w:t xml:space="preserve">실행 완료:</w:t>
      </w:r>
      <w:r>
        <w:t xml:space="preserve"> </w:t>
      </w:r>
      <w:r>
        <w:t xml:space="preserve">32개 경로 중 기존8개를 검증 후 재사용하고 새24개를 모두1024 updates 학습했다. 본학습24,576+smoke12=24,588 updates. 선택64개 모델 view, 평가192개 view 중 신규129·재사용63개. 누락된 예정 경로는0개다. 새 후보·LR 검색·후속학습은 없다.</w:t>
      </w:r>
    </w:p>
    <w:bookmarkStart w:id="16" w:name="질문과-해석-범위"/>
    <w:p>
      <w:pPr>
        <w:pStyle w:val="Heading2"/>
      </w:pPr>
      <w:r>
        <w:t xml:space="preserve">질문과 해석 범위</w:t>
      </w:r>
    </w:p>
    <w:p>
      <w:pPr>
        <w:pStyle w:val="FirstParagraph"/>
      </w:pPr>
      <w:r>
        <w:t xml:space="preserve">기존 seed 효과에 묶여 있던 B0 가중치, 추가 어댑터 초기값, batch 순서를81551/81552 두 수준에서 교차했다. 동일 조합의 C3/MAG는 다른 조건이 같고 gate만 다르다. 주 분석은 fixed1024, 보조 분석은 기존 V 규칙으로 선택한 checkpoint다. 모든 선택과 전체 예측을 저장한 뒤 E를 채점했다.</w:t>
      </w:r>
    </w:p>
    <w:p>
      <w:pPr>
        <w:pStyle w:val="BodyText"/>
      </w:pPr>
      <w:r>
        <w:t xml:space="preserve">이는 기존 결과를 본 뒤 수행한 두 수준의 통제 진단이다.81553을 포함한 과거 결과는 보존했고 원 논문에서 제외하지 않는다. 이번 두 수준의 결과를 초기화 전체 모집단 또는 새로운 독립 시험으로 일반화하지 않는다. B0 수준의 변화는 학습된 checkpoint 전체의 교체이며 B0 내부의 어떤 표현이 원인인지는 별도 문제다.</w:t>
      </w:r>
    </w:p>
    <w:bookmarkEnd w:id="16"/>
    <w:bookmarkStart w:id="23" w:name="주-분석-어느-요인의-차등-효과가-컸나"/>
    <w:p>
      <w:pPr>
        <w:pStyle w:val="Heading2"/>
      </w:pPr>
      <w:r>
        <w:t xml:space="preserve">주 분석: 어느 요인의 차등 효과가 컸나</w:t>
      </w:r>
    </w:p>
    <w:p>
      <w:pPr>
        <w:pStyle w:val="FirstParagraph"/>
      </w:pPr>
      <w:r>
        <w:t xml:space="preserve">전력 전이 SHIFT8의 d=nMAE(C3)−nMAE(MAG)에서 절대 점추정이 가장 큰 전체 성분은</w:t>
      </w:r>
      <w:r>
        <w:t xml:space="preserve"> </w:t>
      </w:r>
      <w:r>
        <w:rPr>
          <w:b/>
          <w:bCs/>
        </w:rPr>
        <w:t xml:space="preserve">B0:INIT</w:t>
      </w:r>
      <w:r>
        <w:t xml:space="preserve">, 단일 요인 주효과 중에는</w:t>
      </w:r>
      <w:r>
        <w:t xml:space="preserve"> </w:t>
      </w:r>
      <w:r>
        <w:rPr>
          <w:b/>
          <w:bCs/>
        </w:rPr>
        <w:t xml:space="preserve">INIT</w:t>
      </w:r>
      <w:r>
        <w:t xml:space="preserve">다. 이는 관찰한 두 수준과 나머지 요인의 동일 가중 평균에 한정된 순위다. 계수의 크기 순위에 대한 별도 통계 검정을 하지 않았으므로 ‘가장 크다는 것이 확정’이라고 쓰지 않는다. 교호 성분이 크면 단일 요인만으로 설명하지 않는다.</w:t>
      </w:r>
    </w:p>
    <w:p>
      <w:pPr>
        <w:pStyle w:val="BodyText"/>
      </w:pPr>
      <w:r>
        <w:t xml:space="preserve">contrast는2×mean(d×각 요인의±1 부호곱)이다. 단일 요인에서는 다른 두 요인을 평균한 high−low 차이와 같다. 양수는 해당 요인 수준이 높아지면 MAG 방향의 차이가 커짐을 뜻한다. 이원·삼원 contrast는 동일 척도의 factorial contrast이며 원자료의 단순 두 셀 차이와 다르다. %는8셀의 공통 C3 오차를 분모로 한다. 셀 간 분산 비중은 이8셀의 설명적 분해이며 인과 확률이나 초기화 모집단 분산 비중이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요인</w:t>
            </w:r>
          </w:p>
        </w:tc>
        <w:tc>
          <w:tcPr/>
          <w:p>
            <w:pPr>
              <w:pStyle w:val="Compact"/>
            </w:pPr>
            <w:r>
              <w:t xml:space="preserve">d contrast(nMAE)</w:t>
            </w:r>
          </w:p>
        </w:tc>
        <w:tc>
          <w:tcPr/>
          <w:p>
            <w:pPr>
              <w:pStyle w:val="Compact"/>
            </w:pPr>
            <w:r>
              <w:t xml:space="preserve">공통 분모 %</w:t>
            </w:r>
          </w:p>
        </w:tc>
        <w:tc>
          <w:tcPr/>
          <w:p>
            <w:pPr>
              <w:pStyle w:val="Compact"/>
            </w:pPr>
            <w:r>
              <w:t xml:space="preserve">조건부 Bonferroni7 구간</w:t>
            </w:r>
          </w:p>
        </w:tc>
        <w:tc>
          <w:tcPr/>
          <w:p>
            <w:pPr>
              <w:pStyle w:val="Compact"/>
            </w:pPr>
            <w:r>
              <w:t xml:space="preserve">셀 분산 비중%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</w:t>
            </w:r>
          </w:p>
        </w:tc>
        <w:tc>
          <w:tcPr/>
          <w:p>
            <w:pPr>
              <w:pStyle w:val="Compact"/>
            </w:pPr>
            <w:r>
              <w:t xml:space="preserve">+0.00050907</w:t>
            </w:r>
          </w:p>
        </w:tc>
        <w:tc>
          <w:tcPr/>
          <w:p>
            <w:pPr>
              <w:pStyle w:val="Compact"/>
            </w:pPr>
            <w:r>
              <w:t xml:space="preserve">+0.1394</w:t>
            </w:r>
          </w:p>
        </w:tc>
        <w:tc>
          <w:tcPr/>
          <w:p>
            <w:pPr>
              <w:pStyle w:val="Compact"/>
            </w:pPr>
            <w:r>
              <w:t xml:space="preserve">[+0.00008344, +0.00088554]</w:t>
            </w:r>
          </w:p>
        </w:tc>
        <w:tc>
          <w:tcPr/>
          <w:p>
            <w:pPr>
              <w:pStyle w:val="Compact"/>
            </w:pPr>
            <w:r>
              <w:t xml:space="preserve">8.60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-0.00065791</w:t>
            </w:r>
          </w:p>
        </w:tc>
        <w:tc>
          <w:tcPr/>
          <w:p>
            <w:pPr>
              <w:pStyle w:val="Compact"/>
            </w:pPr>
            <w:r>
              <w:t xml:space="preserve">-0.1801</w:t>
            </w:r>
          </w:p>
        </w:tc>
        <w:tc>
          <w:tcPr/>
          <w:p>
            <w:pPr>
              <w:pStyle w:val="Compact"/>
            </w:pPr>
            <w:r>
              <w:t xml:space="preserve">[-0.00090861, -0.00039078]</w:t>
            </w:r>
          </w:p>
        </w:tc>
        <w:tc>
          <w:tcPr/>
          <w:p>
            <w:pPr>
              <w:pStyle w:val="Compact"/>
            </w:pPr>
            <w:r>
              <w:t xml:space="preserve">14.37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+0.00062193</w:t>
            </w:r>
          </w:p>
        </w:tc>
        <w:tc>
          <w:tcPr/>
          <w:p>
            <w:pPr>
              <w:pStyle w:val="Compact"/>
            </w:pPr>
            <w:r>
              <w:t xml:space="preserve">+0.1703</w:t>
            </w:r>
          </w:p>
        </w:tc>
        <w:tc>
          <w:tcPr/>
          <w:p>
            <w:pPr>
              <w:pStyle w:val="Compact"/>
            </w:pPr>
            <w:r>
              <w:t xml:space="preserve">[+0.00051560, +0.00072640]</w:t>
            </w:r>
          </w:p>
        </w:tc>
        <w:tc>
          <w:tcPr/>
          <w:p>
            <w:pPr>
              <w:pStyle w:val="Compact"/>
            </w:pPr>
            <w:r>
              <w:t xml:space="preserve">12.84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B0:INIT</w:t>
            </w:r>
          </w:p>
        </w:tc>
        <w:tc>
          <w:tcPr/>
          <w:p>
            <w:pPr>
              <w:pStyle w:val="Compact"/>
            </w:pPr>
            <w:r>
              <w:t xml:space="preserve">-0.00104889</w:t>
            </w:r>
          </w:p>
        </w:tc>
        <w:tc>
          <w:tcPr/>
          <w:p>
            <w:pPr>
              <w:pStyle w:val="Compact"/>
            </w:pPr>
            <w:r>
              <w:t xml:space="preserve">-0.2872</w:t>
            </w:r>
          </w:p>
        </w:tc>
        <w:tc>
          <w:tcPr/>
          <w:p>
            <w:pPr>
              <w:pStyle w:val="Compact"/>
            </w:pPr>
            <w:r>
              <w:t xml:space="preserve">[-0.00120359, -0.00091856]</w:t>
            </w:r>
          </w:p>
        </w:tc>
        <w:tc>
          <w:tcPr/>
          <w:p>
            <w:pPr>
              <w:pStyle w:val="Compact"/>
            </w:pPr>
            <w:r>
              <w:t xml:space="preserve">36.51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B0:ORDER</w:t>
            </w:r>
          </w:p>
        </w:tc>
        <w:tc>
          <w:tcPr/>
          <w:p>
            <w:pPr>
              <w:pStyle w:val="Compact"/>
            </w:pPr>
            <w:r>
              <w:t xml:space="preserve">+0.00068854</w:t>
            </w:r>
          </w:p>
        </w:tc>
        <w:tc>
          <w:tcPr/>
          <w:p>
            <w:pPr>
              <w:pStyle w:val="Compact"/>
            </w:pPr>
            <w:r>
              <w:t xml:space="preserve">+0.1885</w:t>
            </w:r>
          </w:p>
        </w:tc>
        <w:tc>
          <w:tcPr/>
          <w:p>
            <w:pPr>
              <w:pStyle w:val="Compact"/>
            </w:pPr>
            <w:r>
              <w:t xml:space="preserve">[+0.00053645, +0.00082035]</w:t>
            </w:r>
          </w:p>
        </w:tc>
        <w:tc>
          <w:tcPr/>
          <w:p>
            <w:pPr>
              <w:pStyle w:val="Compact"/>
            </w:pPr>
            <w:r>
              <w:t xml:space="preserve">15.73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INIT:ORDER</w:t>
            </w:r>
          </w:p>
        </w:tc>
        <w:tc>
          <w:tcPr/>
          <w:p>
            <w:pPr>
              <w:pStyle w:val="Compact"/>
            </w:pPr>
            <w:r>
              <w:t xml:space="preserve">+0.00028138</w:t>
            </w:r>
          </w:p>
        </w:tc>
        <w:tc>
          <w:tcPr/>
          <w:p>
            <w:pPr>
              <w:pStyle w:val="Compact"/>
            </w:pPr>
            <w:r>
              <w:t xml:space="preserve">+0.0770</w:t>
            </w:r>
          </w:p>
        </w:tc>
        <w:tc>
          <w:tcPr/>
          <w:p>
            <w:pPr>
              <w:pStyle w:val="Compact"/>
            </w:pPr>
            <w:r>
              <w:t xml:space="preserve">[+0.00008776, +0.00049211]</w:t>
            </w:r>
          </w:p>
        </w:tc>
        <w:tc>
          <w:tcPr/>
          <w:p>
            <w:pPr>
              <w:pStyle w:val="Compact"/>
            </w:pPr>
            <w:r>
              <w:t xml:space="preserve">2.63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B0:INIT:ORDER</w:t>
            </w:r>
          </w:p>
        </w:tc>
        <w:tc>
          <w:tcPr/>
          <w:p>
            <w:pPr>
              <w:pStyle w:val="Compact"/>
            </w:pPr>
            <w:r>
              <w:t xml:space="preserve">+0.00052995</w:t>
            </w:r>
          </w:p>
        </w:tc>
        <w:tc>
          <w:tcPr/>
          <w:p>
            <w:pPr>
              <w:pStyle w:val="Compact"/>
            </w:pPr>
            <w:r>
              <w:t xml:space="preserve">+0.1451</w:t>
            </w:r>
          </w:p>
        </w:tc>
        <w:tc>
          <w:tcPr/>
          <w:p>
            <w:pPr>
              <w:pStyle w:val="Compact"/>
            </w:pPr>
            <w:r>
              <w:t xml:space="preserve">[+0.00039595, +0.00069028]</w:t>
            </w:r>
          </w:p>
        </w:tc>
        <w:tc>
          <w:tcPr/>
          <w:p>
            <w:pPr>
              <w:pStyle w:val="Compact"/>
            </w:pPr>
            <w:r>
              <w:t xml:space="preserve">9.32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B0</w:t>
            </w:r>
          </w:p>
        </w:tc>
        <w:tc>
          <w:tcPr/>
          <w:p>
            <w:pPr>
              <w:pStyle w:val="Compact"/>
            </w:pPr>
            <w:r>
              <w:t xml:space="preserve">초기값</w:t>
            </w:r>
          </w:p>
        </w:tc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C3 nMAE</w:t>
            </w:r>
          </w:p>
        </w:tc>
        <w:tc>
          <w:tcPr/>
          <w:p>
            <w:pPr>
              <w:pStyle w:val="Compact"/>
            </w:pPr>
            <w:r>
              <w:t xml:space="preserve">MAG nMAE</w:t>
            </w:r>
          </w:p>
        </w:tc>
        <w:tc>
          <w:tcPr/>
          <w:p>
            <w:pPr>
              <w:pStyle w:val="Compact"/>
            </w:pPr>
            <w:r>
              <w:t xml:space="preserve">MAG 이득(%)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0.36066358</w:t>
            </w:r>
          </w:p>
        </w:tc>
        <w:tc>
          <w:tcPr/>
          <w:p>
            <w:pPr>
              <w:pStyle w:val="Compact"/>
            </w:pPr>
            <w:r>
              <w:t xml:space="preserve">0.36064235</w:t>
            </w:r>
          </w:p>
        </w:tc>
        <w:tc>
          <w:tcPr/>
          <w:p>
            <w:pPr>
              <w:pStyle w:val="Compact"/>
            </w:pPr>
            <w:r>
              <w:t xml:space="preserve">+0.0059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0.35737395</w:t>
            </w:r>
          </w:p>
        </w:tc>
        <w:tc>
          <w:tcPr/>
          <w:p>
            <w:pPr>
              <w:pStyle w:val="Compact"/>
            </w:pPr>
            <w:r>
              <w:t xml:space="preserve">0.35717077</w:t>
            </w:r>
          </w:p>
        </w:tc>
        <w:tc>
          <w:tcPr/>
          <w:p>
            <w:pPr>
              <w:pStyle w:val="Compact"/>
            </w:pPr>
            <w:r>
              <w:t xml:space="preserve">+0.0569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0.36124024</w:t>
            </w:r>
          </w:p>
        </w:tc>
        <w:tc>
          <w:tcPr/>
          <w:p>
            <w:pPr>
              <w:pStyle w:val="Compact"/>
            </w:pPr>
            <w:r>
              <w:t xml:space="preserve">0.36057947</w:t>
            </w:r>
          </w:p>
        </w:tc>
        <w:tc>
          <w:tcPr/>
          <w:p>
            <w:pPr>
              <w:pStyle w:val="Compact"/>
            </w:pPr>
            <w:r>
              <w:t xml:space="preserve">+0.1829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0.35819482</w:t>
            </w:r>
          </w:p>
        </w:tc>
        <w:tc>
          <w:tcPr/>
          <w:p>
            <w:pPr>
              <w:pStyle w:val="Compact"/>
            </w:pPr>
            <w:r>
              <w:t xml:space="preserve">0.35784923</w:t>
            </w:r>
          </w:p>
        </w:tc>
        <w:tc>
          <w:tcPr/>
          <w:p>
            <w:pPr>
              <w:pStyle w:val="Compact"/>
            </w:pPr>
            <w:r>
              <w:t xml:space="preserve">+0.0965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0.37360315</w:t>
            </w:r>
          </w:p>
        </w:tc>
        <w:tc>
          <w:tcPr/>
          <w:p>
            <w:pPr>
              <w:pStyle w:val="Compact"/>
            </w:pPr>
            <w:r>
              <w:t xml:space="preserve">0.37218257</w:t>
            </w:r>
          </w:p>
        </w:tc>
        <w:tc>
          <w:tcPr/>
          <w:p>
            <w:pPr>
              <w:pStyle w:val="Compact"/>
            </w:pPr>
            <w:r>
              <w:t xml:space="preserve">+0.3802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0.36951706</w:t>
            </w:r>
          </w:p>
        </w:tc>
        <w:tc>
          <w:tcPr/>
          <w:p>
            <w:pPr>
              <w:pStyle w:val="Compact"/>
            </w:pPr>
            <w:r>
              <w:t xml:space="preserve">0.36759733</w:t>
            </w:r>
          </w:p>
        </w:tc>
        <w:tc>
          <w:tcPr/>
          <w:p>
            <w:pPr>
              <w:pStyle w:val="Compact"/>
            </w:pPr>
            <w:r>
              <w:t xml:space="preserve">+0.5195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81551</w:t>
            </w:r>
          </w:p>
        </w:tc>
        <w:tc>
          <w:tcPr/>
          <w:p>
            <w:pPr>
              <w:pStyle w:val="Compact"/>
            </w:pPr>
            <w:r>
              <w:t xml:space="preserve">0.37129373</w:t>
            </w:r>
          </w:p>
        </w:tc>
        <w:tc>
          <w:tcPr/>
          <w:p>
            <w:pPr>
              <w:pStyle w:val="Compact"/>
            </w:pPr>
            <w:r>
              <w:t xml:space="preserve">0.37239126</w:t>
            </w:r>
          </w:p>
        </w:tc>
        <w:tc>
          <w:tcPr/>
          <w:p>
            <w:pPr>
              <w:pStyle w:val="Compact"/>
            </w:pPr>
            <w:r>
              <w:t xml:space="preserve">-0.2956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81552</w:t>
            </w:r>
          </w:p>
        </w:tc>
        <w:tc>
          <w:tcPr/>
          <w:p>
            <w:pPr>
              <w:pStyle w:val="Compact"/>
            </w:pPr>
            <w:r>
              <w:t xml:space="preserve">0.37003701</w:t>
            </w:r>
          </w:p>
        </w:tc>
        <w:tc>
          <w:tcPr/>
          <w:p>
            <w:pPr>
              <w:pStyle w:val="Compact"/>
            </w:pPr>
            <w:r>
              <w:t xml:space="preserve">0.36901274</w:t>
            </w:r>
          </w:p>
        </w:tc>
        <w:tc>
          <w:tcPr/>
          <w:p>
            <w:pPr>
              <w:pStyle w:val="Compact"/>
            </w:pPr>
            <w:r>
              <w:t xml:space="preserve">+0.2768</w:t>
            </w:r>
          </w:p>
        </w:tc>
      </w:tr>
    </w:tbl>
    <w:p>
      <w:pPr>
        <w:pStyle w:val="CaptionedFigure"/>
      </w:pPr>
      <w:r>
        <w:drawing>
          <wp:inline>
            <wp:extent cx="5334000" cy="1764323"/>
            <wp:effectExtent b="0" l="0" r="0" t="0"/>
            <wp:docPr descr="세 패널의 원인 분리 contrast" title="" id="18" name="Picture"/>
            <a:graphic>
              <a:graphicData uri="http://schemas.openxmlformats.org/drawingml/2006/picture">
                <pic:pic>
                  <pic:nvPicPr>
                    <pic:cNvPr descr="figures/01_factori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세 패널의 원인 분리 contrast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고정종료와 검증선택의8조합" title="" id="21" name="Picture"/>
            <a:graphic>
              <a:graphicData uri="http://schemas.openxmlformats.org/drawingml/2006/picture">
                <pic:pic>
                  <pic:nvPicPr>
                    <pic:cNvPr descr="figures/02_cell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고정종료와 검증선택의8조합</w:t>
      </w:r>
    </w:p>
    <w:bookmarkEnd w:id="23"/>
    <w:bookmarkStart w:id="24" w:name="원점수와-조건별-손해"/>
    <w:p>
      <w:pPr>
        <w:pStyle w:val="Heading2"/>
      </w:pPr>
      <w:r>
        <w:t xml:space="preserve">원점수와 조건별 손해</w:t>
      </w:r>
    </w:p>
    <w:p>
      <w:pPr>
        <w:pStyle w:val="FirstParagraph"/>
      </w:pPr>
      <w:r>
        <w:t xml:space="preserve">아래는 각 조합을 동일 가중한 평균이다. 공식 원래3seed 평균을 대체하는 점수가 아니며 연구 성공 기준으로 새로 선택한 점수도 아니다. 개별8조합·9형태·모든 fault 상태는 CELL_EFFECTS.csv와 RAW_SCORES.csv에 보존했다.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패널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MAG</w:t>
            </w:r>
          </w:p>
        </w:tc>
        <w:tc>
          <w:tcPr/>
          <w:p>
            <w:pPr>
              <w:pStyle w:val="Compact"/>
            </w:pPr>
            <w:r>
              <w:t xml:space="preserve">MAG 이득%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0.1670709</w:t>
            </w:r>
          </w:p>
        </w:tc>
        <w:tc>
          <w:tcPr/>
          <w:p>
            <w:pPr>
              <w:pStyle w:val="Compact"/>
            </w:pPr>
            <w:r>
              <w:t xml:space="preserve">0.1670811</w:t>
            </w:r>
          </w:p>
        </w:tc>
        <w:tc>
          <w:tcPr/>
          <w:p>
            <w:pPr>
              <w:pStyle w:val="Compact"/>
            </w:pPr>
            <w:r>
              <w:t xml:space="preserve">-0.0061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0.1722803</w:t>
            </w:r>
          </w:p>
        </w:tc>
        <w:tc>
          <w:tcPr/>
          <w:p>
            <w:pPr>
              <w:pStyle w:val="Compact"/>
            </w:pPr>
            <w:r>
              <w:t xml:space="preserve">0.1722682</w:t>
            </w:r>
          </w:p>
        </w:tc>
        <w:tc>
          <w:tcPr/>
          <w:p>
            <w:pPr>
              <w:pStyle w:val="Compact"/>
            </w:pPr>
            <w:r>
              <w:t xml:space="preserve">+0.0070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0.1890400</w:t>
            </w:r>
          </w:p>
        </w:tc>
        <w:tc>
          <w:tcPr/>
          <w:p>
            <w:pPr>
              <w:pStyle w:val="Compact"/>
            </w:pPr>
            <w:r>
              <w:t xml:space="preserve">0.1890720</w:t>
            </w:r>
          </w:p>
        </w:tc>
        <w:tc>
          <w:tcPr/>
          <w:p>
            <w:pPr>
              <w:pStyle w:val="Compact"/>
            </w:pPr>
            <w:r>
              <w:t xml:space="preserve">-0.0169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0.2024921</w:t>
            </w:r>
          </w:p>
        </w:tc>
        <w:tc>
          <w:tcPr/>
          <w:p>
            <w:pPr>
              <w:pStyle w:val="Compact"/>
            </w:pPr>
            <w:r>
              <w:t xml:space="preserve">0.2024730</w:t>
            </w:r>
          </w:p>
        </w:tc>
        <w:tc>
          <w:tcPr/>
          <w:p>
            <w:pPr>
              <w:pStyle w:val="Compact"/>
            </w:pPr>
            <w:r>
              <w:t xml:space="preserve">+0.0094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0.1935993</w:t>
            </w:r>
          </w:p>
        </w:tc>
        <w:tc>
          <w:tcPr/>
          <w:p>
            <w:pPr>
              <w:pStyle w:val="Compact"/>
            </w:pPr>
            <w:r>
              <w:t xml:space="preserve">0.1937657</w:t>
            </w:r>
          </w:p>
        </w:tc>
        <w:tc>
          <w:tcPr/>
          <w:p>
            <w:pPr>
              <w:pStyle w:val="Compact"/>
            </w:pPr>
            <w:r>
              <w:t xml:space="preserve">-0.0860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0.1669362</w:t>
            </w:r>
          </w:p>
        </w:tc>
        <w:tc>
          <w:tcPr/>
          <w:p>
            <w:pPr>
              <w:pStyle w:val="Compact"/>
            </w:pPr>
            <w:r>
              <w:t xml:space="preserve">0.1669665</w:t>
            </w:r>
          </w:p>
        </w:tc>
        <w:tc>
          <w:tcPr/>
          <w:p>
            <w:pPr>
              <w:pStyle w:val="Compact"/>
            </w:pPr>
            <w:r>
              <w:t xml:space="preserve">-0.0182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0.1721199</w:t>
            </w:r>
          </w:p>
        </w:tc>
        <w:tc>
          <w:tcPr/>
          <w:p>
            <w:pPr>
              <w:pStyle w:val="Compact"/>
            </w:pPr>
            <w:r>
              <w:t xml:space="preserve">0.1721242</w:t>
            </w:r>
          </w:p>
        </w:tc>
        <w:tc>
          <w:tcPr/>
          <w:p>
            <w:pPr>
              <w:pStyle w:val="Compact"/>
            </w:pPr>
            <w:r>
              <w:t xml:space="preserve">-0.0025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0.1891726</w:t>
            </w:r>
          </w:p>
        </w:tc>
        <w:tc>
          <w:tcPr/>
          <w:p>
            <w:pPr>
              <w:pStyle w:val="Compact"/>
            </w:pPr>
            <w:r>
              <w:t xml:space="preserve">0.1891938</w:t>
            </w:r>
          </w:p>
        </w:tc>
        <w:tc>
          <w:tcPr/>
          <w:p>
            <w:pPr>
              <w:pStyle w:val="Compact"/>
            </w:pPr>
            <w:r>
              <w:t xml:space="preserve">-0.0112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0.2018112</w:t>
            </w:r>
          </w:p>
        </w:tc>
        <w:tc>
          <w:tcPr/>
          <w:p>
            <w:pPr>
              <w:pStyle w:val="Compact"/>
            </w:pPr>
            <w:r>
              <w:t xml:space="preserve">0.2015704</w:t>
            </w:r>
          </w:p>
        </w:tc>
        <w:tc>
          <w:tcPr/>
          <w:p>
            <w:pPr>
              <w:pStyle w:val="Compact"/>
            </w:pPr>
            <w:r>
              <w:t xml:space="preserve">+0.1193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0.1935912</w:t>
            </w:r>
          </w:p>
        </w:tc>
        <w:tc>
          <w:tcPr/>
          <w:p>
            <w:pPr>
              <w:pStyle w:val="Compact"/>
            </w:pPr>
            <w:r>
              <w:t xml:space="preserve">0.1936945</w:t>
            </w:r>
          </w:p>
        </w:tc>
        <w:tc>
          <w:tcPr/>
          <w:p>
            <w:pPr>
              <w:pStyle w:val="Compact"/>
            </w:pPr>
            <w:r>
              <w:t xml:space="preserve">-0.0534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0.2400674</w:t>
            </w:r>
          </w:p>
        </w:tc>
        <w:tc>
          <w:tcPr/>
          <w:p>
            <w:pPr>
              <w:pStyle w:val="Compact"/>
            </w:pPr>
            <w:r>
              <w:t xml:space="preserve">0.2401230</w:t>
            </w:r>
          </w:p>
        </w:tc>
        <w:tc>
          <w:tcPr/>
          <w:p>
            <w:pPr>
              <w:pStyle w:val="Compact"/>
            </w:pPr>
            <w:r>
              <w:t xml:space="preserve">-0.0231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0.2558013</w:t>
            </w:r>
          </w:p>
        </w:tc>
        <w:tc>
          <w:tcPr/>
          <w:p>
            <w:pPr>
              <w:pStyle w:val="Compact"/>
            </w:pPr>
            <w:r>
              <w:t xml:space="preserve">0.2558814</w:t>
            </w:r>
          </w:p>
        </w:tc>
        <w:tc>
          <w:tcPr/>
          <w:p>
            <w:pPr>
              <w:pStyle w:val="Compact"/>
            </w:pPr>
            <w:r>
              <w:t xml:space="preserve">-0.0313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0.3167241</w:t>
            </w:r>
          </w:p>
        </w:tc>
        <w:tc>
          <w:tcPr/>
          <w:p>
            <w:pPr>
              <w:pStyle w:val="Compact"/>
            </w:pPr>
            <w:r>
              <w:t xml:space="preserve">0.3166302</w:t>
            </w:r>
          </w:p>
        </w:tc>
        <w:tc>
          <w:tcPr/>
          <w:p>
            <w:pPr>
              <w:pStyle w:val="Compact"/>
            </w:pPr>
            <w:r>
              <w:t xml:space="preserve">+0.0297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0.3652404</w:t>
            </w:r>
          </w:p>
        </w:tc>
        <w:tc>
          <w:tcPr/>
          <w:p>
            <w:pPr>
              <w:pStyle w:val="Compact"/>
            </w:pPr>
            <w:r>
              <w:t xml:space="preserve">0.3646782</w:t>
            </w:r>
          </w:p>
        </w:tc>
        <w:tc>
          <w:tcPr/>
          <w:p>
            <w:pPr>
              <w:pStyle w:val="Compact"/>
            </w:pPr>
            <w:r>
              <w:t xml:space="preserve">+0.1539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0.3326540</w:t>
            </w:r>
          </w:p>
        </w:tc>
        <w:tc>
          <w:tcPr/>
          <w:p>
            <w:pPr>
              <w:pStyle w:val="Compact"/>
            </w:pPr>
            <w:r>
              <w:t xml:space="preserve">0.3326613</w:t>
            </w:r>
          </w:p>
        </w:tc>
        <w:tc>
          <w:tcPr/>
          <w:p>
            <w:pPr>
              <w:pStyle w:val="Compact"/>
            </w:pPr>
            <w:r>
              <w:t xml:space="preserve">-0.0022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0.2402336</w:t>
            </w:r>
          </w:p>
        </w:tc>
        <w:tc>
          <w:tcPr/>
          <w:p>
            <w:pPr>
              <w:pStyle w:val="Compact"/>
            </w:pPr>
            <w:r>
              <w:t xml:space="preserve">0.2402625</w:t>
            </w:r>
          </w:p>
        </w:tc>
        <w:tc>
          <w:tcPr/>
          <w:p>
            <w:pPr>
              <w:pStyle w:val="Compact"/>
            </w:pPr>
            <w:r>
              <w:t xml:space="preserve">-0.0120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0.2557697</w:t>
            </w:r>
          </w:p>
        </w:tc>
        <w:tc>
          <w:tcPr/>
          <w:p>
            <w:pPr>
              <w:pStyle w:val="Compact"/>
            </w:pPr>
            <w:r>
              <w:t xml:space="preserve">0.2558232</w:t>
            </w:r>
          </w:p>
        </w:tc>
        <w:tc>
          <w:tcPr/>
          <w:p>
            <w:pPr>
              <w:pStyle w:val="Compact"/>
            </w:pPr>
            <w:r>
              <w:t xml:space="preserve">-0.0209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0.3186734</w:t>
            </w:r>
          </w:p>
        </w:tc>
        <w:tc>
          <w:tcPr/>
          <w:p>
            <w:pPr>
              <w:pStyle w:val="Compact"/>
            </w:pPr>
            <w:r>
              <w:t xml:space="preserve">0.3183942</w:t>
            </w:r>
          </w:p>
        </w:tc>
        <w:tc>
          <w:tcPr/>
          <w:p>
            <w:pPr>
              <w:pStyle w:val="Compact"/>
            </w:pPr>
            <w:r>
              <w:t xml:space="preserve">+0.0876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0.3638214</w:t>
            </w:r>
          </w:p>
        </w:tc>
        <w:tc>
          <w:tcPr/>
          <w:p>
            <w:pPr>
              <w:pStyle w:val="Compact"/>
            </w:pPr>
            <w:r>
              <w:t xml:space="preserve">0.3624135</w:t>
            </w:r>
          </w:p>
        </w:tc>
        <w:tc>
          <w:tcPr/>
          <w:p>
            <w:pPr>
              <w:pStyle w:val="Compact"/>
            </w:pPr>
            <w:r>
              <w:t xml:space="preserve">+0.3870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electricity_transfer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0.3344174</w:t>
            </w:r>
          </w:p>
        </w:tc>
        <w:tc>
          <w:tcPr/>
          <w:p>
            <w:pPr>
              <w:pStyle w:val="Compact"/>
            </w:pPr>
            <w:r>
              <w:t xml:space="preserve">0.3340767</w:t>
            </w:r>
          </w:p>
        </w:tc>
        <w:tc>
          <w:tcPr/>
          <w:p>
            <w:pPr>
              <w:pStyle w:val="Compact"/>
            </w:pPr>
            <w:r>
              <w:t xml:space="preserve">+0.1019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0.4074240</w:t>
            </w:r>
          </w:p>
        </w:tc>
        <w:tc>
          <w:tcPr/>
          <w:p>
            <w:pPr>
              <w:pStyle w:val="Compact"/>
            </w:pPr>
            <w:r>
              <w:t xml:space="preserve">0.4073187</w:t>
            </w:r>
          </w:p>
        </w:tc>
        <w:tc>
          <w:tcPr/>
          <w:p>
            <w:pPr>
              <w:pStyle w:val="Compact"/>
            </w:pPr>
            <w:r>
              <w:t xml:space="preserve">+0.0258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0.4238779</w:t>
            </w:r>
          </w:p>
        </w:tc>
        <w:tc>
          <w:tcPr/>
          <w:p>
            <w:pPr>
              <w:pStyle w:val="Compact"/>
            </w:pPr>
            <w:r>
              <w:t xml:space="preserve">0.4238418</w:t>
            </w:r>
          </w:p>
        </w:tc>
        <w:tc>
          <w:tcPr/>
          <w:p>
            <w:pPr>
              <w:pStyle w:val="Compact"/>
            </w:pPr>
            <w:r>
              <w:t xml:space="preserve">+0.0085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0.5478272</w:t>
            </w:r>
          </w:p>
        </w:tc>
        <w:tc>
          <w:tcPr/>
          <w:p>
            <w:pPr>
              <w:pStyle w:val="Compact"/>
            </w:pPr>
            <w:r>
              <w:t xml:space="preserve">0.5478993</w:t>
            </w:r>
          </w:p>
        </w:tc>
        <w:tc>
          <w:tcPr/>
          <w:p>
            <w:pPr>
              <w:pStyle w:val="Compact"/>
            </w:pPr>
            <w:r>
              <w:t xml:space="preserve">-0.0132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0.5487170</w:t>
            </w:r>
          </w:p>
        </w:tc>
        <w:tc>
          <w:tcPr/>
          <w:p>
            <w:pPr>
              <w:pStyle w:val="Compact"/>
            </w:pPr>
            <w:r>
              <w:t xml:space="preserve">0.5495218</w:t>
            </w:r>
          </w:p>
        </w:tc>
        <w:tc>
          <w:tcPr/>
          <w:p>
            <w:pPr>
              <w:pStyle w:val="Compact"/>
            </w:pPr>
            <w:r>
              <w:t xml:space="preserve">-0.1467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fixed1024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0.5881615</w:t>
            </w:r>
          </w:p>
        </w:tc>
        <w:tc>
          <w:tcPr/>
          <w:p>
            <w:pPr>
              <w:pStyle w:val="Compact"/>
            </w:pPr>
            <w:r>
              <w:t xml:space="preserve">0.5882516</w:t>
            </w:r>
          </w:p>
        </w:tc>
        <w:tc>
          <w:tcPr/>
          <w:p>
            <w:pPr>
              <w:pStyle w:val="Compact"/>
            </w:pPr>
            <w:r>
              <w:t xml:space="preserve">-0.0153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0.4072575</w:t>
            </w:r>
          </w:p>
        </w:tc>
        <w:tc>
          <w:tcPr/>
          <w:p>
            <w:pPr>
              <w:pStyle w:val="Compact"/>
            </w:pPr>
            <w:r>
              <w:t xml:space="preserve">0.4072780</w:t>
            </w:r>
          </w:p>
        </w:tc>
        <w:tc>
          <w:tcPr/>
          <w:p>
            <w:pPr>
              <w:pStyle w:val="Compact"/>
            </w:pPr>
            <w:r>
              <w:t xml:space="preserve">-0.0051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0.4232910</w:t>
            </w:r>
          </w:p>
        </w:tc>
        <w:tc>
          <w:tcPr/>
          <w:p>
            <w:pPr>
              <w:pStyle w:val="Compact"/>
            </w:pPr>
            <w:r>
              <w:t xml:space="preserve">0.4233005</w:t>
            </w:r>
          </w:p>
        </w:tc>
        <w:tc>
          <w:tcPr/>
          <w:p>
            <w:pPr>
              <w:pStyle w:val="Compact"/>
            </w:pPr>
            <w:r>
              <w:t xml:space="preserve">-0.0022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SHIFT4</w:t>
            </w:r>
          </w:p>
        </w:tc>
        <w:tc>
          <w:tcPr/>
          <w:p>
            <w:pPr>
              <w:pStyle w:val="Compact"/>
            </w:pPr>
            <w:r>
              <w:t xml:space="preserve">0.5498654</w:t>
            </w:r>
          </w:p>
        </w:tc>
        <w:tc>
          <w:tcPr/>
          <w:p>
            <w:pPr>
              <w:pStyle w:val="Compact"/>
            </w:pPr>
            <w:r>
              <w:t xml:space="preserve">0.5503121</w:t>
            </w:r>
          </w:p>
        </w:tc>
        <w:tc>
          <w:tcPr/>
          <w:p>
            <w:pPr>
              <w:pStyle w:val="Compact"/>
            </w:pPr>
            <w:r>
              <w:t xml:space="preserve">-0.0812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SHIFT8</w:t>
            </w:r>
          </w:p>
        </w:tc>
        <w:tc>
          <w:tcPr/>
          <w:p>
            <w:pPr>
              <w:pStyle w:val="Compact"/>
            </w:pPr>
            <w:r>
              <w:t xml:space="preserve">0.5465155</w:t>
            </w:r>
          </w:p>
        </w:tc>
        <w:tc>
          <w:tcPr/>
          <w:p>
            <w:pPr>
              <w:pStyle w:val="Compact"/>
            </w:pPr>
            <w:r>
              <w:t xml:space="preserve">0.5460862</w:t>
            </w:r>
          </w:p>
        </w:tc>
        <w:tc>
          <w:tcPr/>
          <w:p>
            <w:pPr>
              <w:pStyle w:val="Compact"/>
            </w:pPr>
            <w:r>
              <w:t xml:space="preserve">+0.0786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ettm1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SHIFT_POINT</w:t>
            </w:r>
          </w:p>
        </w:tc>
        <w:tc>
          <w:tcPr/>
          <w:p>
            <w:pPr>
              <w:pStyle w:val="Compact"/>
            </w:pPr>
            <w:r>
              <w:t xml:space="preserve">0.5886190</w:t>
            </w:r>
          </w:p>
        </w:tc>
        <w:tc>
          <w:tcPr/>
          <w:p>
            <w:pPr>
              <w:pStyle w:val="Compact"/>
            </w:pPr>
            <w:r>
              <w:t xml:space="preserve">0.5889560</w:t>
            </w:r>
          </w:p>
        </w:tc>
        <w:tc>
          <w:tcPr/>
          <w:p>
            <w:pPr>
              <w:pStyle w:val="Compact"/>
            </w:pPr>
            <w:r>
              <w:t xml:space="preserve">-0.0573</w:t>
            </w:r>
          </w:p>
        </w:tc>
      </w:tr>
    </w:tbl>
    <w:bookmarkEnd w:id="24"/>
    <w:bookmarkStart w:id="25" w:name="검증과-비용"/>
    <w:p>
      <w:pPr>
        <w:pStyle w:val="Heading2"/>
      </w:pPr>
      <w:r>
        <w:t xml:space="preserve">검증과 비용</w:t>
      </w:r>
    </w:p>
    <w:p>
      <w:pPr>
        <w:pStyle w:val="FirstParagraph"/>
      </w:pPr>
      <w:r>
        <w:t xml:space="preserve">실제 모델의 초기 B0 동일성, residual-off 복원, 학습 중 동결 가중치·buffer 유지, 추가파라미터 갱신, 저장/복원 검사를 통과했다. 독립 감사는 동일 B0 수준의 동결 hash와 동일 초기화 수준의 실제 tensor를 비교했고,840개 contrast를 별도 marginal 합산으로 재계산했다.960개 셀 집계와 기존 selected 대각선120개를 재현했다. 원점별 nMAE와 pinball을 scalar loop로 검산했다. 날짜 bootstrap은 고정 모델에 조건부인2000회7일 block 재추출이고7contrast 내 다중비교 구간을 병기했다. 서로 다른 자료·상태 전체에 대한 familywise 보장을 주장하지 않는다.</w:t>
      </w:r>
    </w:p>
    <w:p>
      <w:pPr>
        <w:pStyle w:val="BodyText"/>
      </w:pPr>
      <w:r>
        <w:t xml:space="preserve">새 optimizer 시간은12.75분, 검증2.10분, 새 추론13.49분, 전체 runner wall33.06분이다. 새 학습 peak allocated는362.1MiB, GPU 최소 여유는8227MiB였다. RustDesk는 기존 승인 예외이고 외부 학습 감지 표본은0개다. 원 모델·LoRA 비용을 제외한 추가 모듈의8,712파라미터만으로 전체 배포 비용을 주장하지 않는다.</w:t>
      </w:r>
    </w:p>
    <w:bookmarkEnd w:id="25"/>
    <w:bookmarkStart w:id="26" w:name="논문에-남길-주장과-한계"/>
    <w:p>
      <w:pPr>
        <w:pStyle w:val="Heading2"/>
      </w:pPr>
      <w:r>
        <w:t xml:space="preserve">논문에 남길 주장과 한계</w:t>
      </w:r>
    </w:p>
    <w:p>
      <w:pPr>
        <w:pStyle w:val="FirstParagraph"/>
      </w:pPr>
      <w:r>
        <w:t xml:space="preserve">이 통제는 앞선 ‘한 seed가 평균 차이에85.4% 기여했다’는 관찰보다 원인을 더 좁힌다. 하지만 직접 통제한 것은 B0·초기값·순서의 선택한 두 수준이다. 내부 gradient나 표현의 작동 원리 전체를 입증한 것은 아니다. 실제 센서 사건 레이블은 없고, E는 반복 사용한 개발 기간이다. 기존 C3의 좁은 양성 결과와 단순 MAG의 우위·손해를 함께 보존한다. 원인 규명이 새 지속성 구성요소의 성능 우위 또는 신규성을 자동으로 만들지는 않는다.</w:t>
      </w:r>
    </w:p>
    <w:p>
      <w:pPr>
        <w:pStyle w:val="BodyText"/>
      </w:pPr>
      <w:r>
        <w:t xml:space="preserve">FINAL_DECISION.md에 실제 방향·상호작용·checkpoint 민감도를 해석한다. 새 모델 선택이나 자동 후속학습은 실행하지 않는다. 원 가중치·TRAIN·전체 예측은 로컬 캐시이며 GitHub에는 코드·봉인·집계·검산만 공개한다.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최종-판단-학습-원인-분리는-진전-새-방법-우위는-별도"/>
    <w:p>
      <w:pPr>
        <w:pStyle w:val="Heading1"/>
      </w:pPr>
      <w:r>
        <w:t xml:space="preserve">최종 판단 — 학습 원인 분리는 진전, 새 방법 우위는 별도</w:t>
      </w:r>
    </w:p>
    <w:bookmarkStart w:id="28" w:name="실행-완료"/>
    <w:p>
      <w:pPr>
        <w:pStyle w:val="Heading2"/>
      </w:pPr>
      <w:r>
        <w:t xml:space="preserve">실행 완료</w:t>
      </w:r>
    </w:p>
    <w:p>
      <w:pPr>
        <w:pStyle w:val="FirstParagraph"/>
      </w:pPr>
      <w:r>
        <w:t xml:space="preserve">사전 봉인된32경로를 모두 확보했다. 기존8개 재사용, 신규24fits·24,576 본학습 updates와12smoke updates다.192평가 view(신규129·재사용63)를 모두 저장한 뒤 채점했다. 원점 scalar metric14,592회, 독립 factorial contrast840개, 셀960개, 기존 selected 대각선120개 검산을 통과했다. 미실행 예정 경로는0개다. 추가 후보·LR·seed·후속학습은 실행하지 않았다.</w:t>
      </w:r>
    </w:p>
    <w:bookmarkEnd w:id="28"/>
    <w:bookmarkStart w:id="29" w:name="무엇이-가장-큰가"/>
    <w:p>
      <w:pPr>
        <w:pStyle w:val="Heading2"/>
      </w:pPr>
      <w:r>
        <w:t xml:space="preserve">무엇이 가장 큰가</w:t>
      </w:r>
    </w:p>
    <w:p>
      <w:pPr>
        <w:pStyle w:val="FirstParagraph"/>
      </w:pPr>
      <w:r>
        <w:t xml:space="preserve">하나의 보편적인 최대 원인으로 답할 수는 없다.</w:t>
      </w:r>
      <w:r>
        <w:t xml:space="preserve"> </w:t>
      </w:r>
      <w:r>
        <w:rPr>
          <w:b/>
          <w:bCs/>
        </w:rPr>
        <w:t xml:space="preserve">비교한 두 수준에서 주 분석(fixed1024, 전력 전이 SHIFT8)의 가장 큰 절대 성분은 B0×초기값 상호작용이고, 기존 V 선택 절차에서는 B0 주효과가 가장 컸다.</w:t>
      </w:r>
      <w:r>
        <w:t xml:space="preserve"> </w:t>
      </w:r>
      <w:r>
        <w:t xml:space="preserve">점추정 순위이며 요인 크기 간의 순위 검정까지 수행한 것은 아니다.</w:t>
      </w:r>
    </w:p>
    <w:p>
      <w:pPr>
        <w:pStyle w:val="Compact"/>
        <w:numPr>
          <w:ilvl w:val="0"/>
          <w:numId w:val="1001"/>
        </w:numPr>
      </w:pPr>
      <w:r>
        <w:t xml:space="preserve">fixed1024: B0×INIT contrast −0.00104889 nMAE, 공통 C3 분모 −0.2872%, 조건부 Bonferroni7 구간 [−0.001204, −0.000919].8셀 간 오차 차이 분산의36.51%이고, 모든 교호 성분의 합은64.20%다. 이 비율은 선택한8셀의 기술적 분해이며 모집단·인과 기여 확률이 아니다.</w:t>
      </w:r>
    </w:p>
    <w:p>
      <w:pPr>
        <w:pStyle w:val="Compact"/>
        <w:numPr>
          <w:ilvl w:val="0"/>
          <w:numId w:val="1001"/>
        </w:numPr>
      </w:pPr>
      <w:r>
        <w:t xml:space="preserve">단일 요인 주효과의 절대 점추정은 INIT0.1801%, ORDER0.1703%, B0 0.1394% 순이다. 차이가 작고 별도 순위 검정이 없으므로 ‘초기값이 확실한 최대 원인’이라고 말하지 않는다.</w:t>
      </w:r>
    </w:p>
    <w:p>
      <w:pPr>
        <w:pStyle w:val="Compact"/>
        <w:numPr>
          <w:ilvl w:val="0"/>
          <w:numId w:val="1001"/>
        </w:numPr>
      </w:pPr>
      <w:r>
        <w:t xml:space="preserve">selected: B0 contrast +0.00169094 nMAE, 공통 분모 +0.4648%, 조건부 Bonferroni7 구간 [+0.001187,+0.002207]. checkpoint 선택을 포함한 절차의 민감도이며 B0 내부 표현의 작동 원리 전체를 규명한 것은 아니다.</w:t>
      </w:r>
    </w:p>
    <w:bookmarkEnd w:id="29"/>
    <w:bookmarkStart w:id="30" w:name="원오차와-두-방법-사이의-격차를-구분-1"/>
    <w:p>
      <w:pPr>
        <w:pStyle w:val="Heading2"/>
      </w:pPr>
      <w:r>
        <w:t xml:space="preserve">원오차와 두 방법 사이의 격차를 구분</w:t>
      </w:r>
    </w:p>
    <w:p>
      <w:pPr>
        <w:pStyle w:val="FirstParagraph"/>
      </w:pPr>
      <w:r>
        <w:t xml:space="preserve">원오차 자체의 단일 요인 주효과에서는 B0가 가장 큰 절대 점추정이었다. 반면 C3−MAG 격차의7성분 중에는 B0×초기값이 가장 컸다. 두 질문의 답이 다르다. 아래는 전력 전이 SHIFT8, fixed1024에서 나머지 요인을 평균한81551→81552 변화다. 양수는 원오차 증가다.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바꾸는 요인</w:t>
            </w:r>
          </w:p>
        </w:tc>
        <w:tc>
          <w:tcPr/>
          <w:p>
            <w:pPr>
              <w:pStyle w:val="Compact"/>
            </w:pPr>
            <w:r>
              <w:t xml:space="preserve">C3 원오차 변화(nMAE)</w:t>
            </w:r>
          </w:p>
        </w:tc>
        <w:tc>
          <w:tcPr/>
          <w:p>
            <w:pPr>
              <w:pStyle w:val="Compact"/>
            </w:pPr>
            <w:r>
              <w:t xml:space="preserve">MAG 원오차 변화(nMAE)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</w:t>
            </w:r>
          </w:p>
        </w:tc>
        <w:tc>
          <w:tcPr/>
          <w:p>
            <w:pPr>
              <w:pStyle w:val="Compact"/>
            </w:pPr>
            <w:r>
              <w:t xml:space="preserve">+0.01174459</w:t>
            </w:r>
          </w:p>
        </w:tc>
        <w:tc>
          <w:tcPr/>
          <w:p>
            <w:pPr>
              <w:pStyle w:val="Compact"/>
            </w:pPr>
            <w:r>
              <w:t xml:space="preserve">+0.01123552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-0.00009799</w:t>
            </w:r>
          </w:p>
        </w:tc>
        <w:tc>
          <w:tcPr/>
          <w:p>
            <w:pPr>
              <w:pStyle w:val="Compact"/>
            </w:pPr>
            <w:r>
              <w:t xml:space="preserve">+0.00055992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-0.00291946</w:t>
            </w:r>
          </w:p>
        </w:tc>
        <w:tc>
          <w:tcPr/>
          <w:p>
            <w:pPr>
              <w:pStyle w:val="Compact"/>
            </w:pPr>
            <w:r>
              <w:t xml:space="preserve">-0.00354140</w:t>
            </w:r>
          </w:p>
        </w:tc>
      </w:tr>
    </w:tbl>
    <w:p>
      <w:pPr>
        <w:pStyle w:val="BodyText"/>
      </w:pPr>
      <w:r>
        <w:t xml:space="preserve">B0 교체는 두 방법의 원오차를 모두 크게 바꾸므로, 그 공통 변화를 뺀 방법 간 격차에서는 B0 주효과가 상대적으로 작아질 수 있다. ‘예측 정확도에 무엇이 큰 영향을 주는가’와 ‘두 gate의 상대적 차이를 무엇이 만드는가’를 하나의 순위로 합치지 않는다.</w:t>
      </w:r>
    </w:p>
    <w:bookmarkEnd w:id="30"/>
    <w:bookmarkStart w:id="31" w:name="직접-통제에서-확인된-상호작용"/>
    <w:p>
      <w:pPr>
        <w:pStyle w:val="Heading2"/>
      </w:pPr>
      <w:r>
        <w:t xml:space="preserve">직접 통제에서 확인된 상호작용</w:t>
      </w:r>
    </w:p>
    <w:p>
      <w:pPr>
        <w:pStyle w:val="FirstParagraph"/>
      </w:pPr>
      <w:r>
        <w:t xml:space="preserve">B0를81551로 고정한 상태에서 초기값을81551→81552로 바꾸면, 순서를 평균한 d=C3−MAG는+0.00039098 증가한다(MAG 방향). 같은 초기값 변경을 B0 81552에 적용하면 d는−0.00170680 감소한다(C3 방향). 즉 어느 초기값이 두 방법의 차이에 유리한지는 B0에 의존한다. 여기서 사용하는 초기값은 추가 어댑터의 초기 tensor이며 B0 자체의 초기화와 다르다. 두 값을 빼는 difference-in-differences는 factorial 표의 B0×INIT contrast의2배다.</w:t>
      </w:r>
    </w:p>
    <w:p>
      <w:pPr>
        <w:pStyle w:val="BodyText"/>
      </w:pPr>
      <w:r>
        <w:t xml:space="preserve">또한 B0 81552·초기값81552를 고정하고 순서만81551→81552로 바꾸면 fixed1024의 MAG 이득은−0.2956%에서+0.2768%로 부호가 바뀐다. 이는 등록된8셀의 설명적 예시다. 이 한 쌍을 새 선택 기준이나 일반적인 순서 효과로 승격하지 않는다.</w:t>
      </w:r>
    </w:p>
    <w:bookmarkEnd w:id="31"/>
    <w:bookmarkStart w:id="32" w:name="checkpoint와-데이터에-따른-한계"/>
    <w:p>
      <w:pPr>
        <w:pStyle w:val="Heading2"/>
      </w:pPr>
      <w:r>
        <w:t xml:space="preserve">checkpoint와 데이터에 따른 한계</w:t>
      </w:r>
    </w:p>
    <w:p>
      <w:pPr>
        <w:pStyle w:val="FirstParagraph"/>
      </w:pPr>
      <w:r>
        <w:t xml:space="preserve">전력 전이8셀 평균의 MAG 이득은 fixed1024 +0.1539%, selected +0.3870%다. ETTm1에서는 fixed1024 −0.1467%에서 selected +0.0786%로 방향이 바뀐다. 따라서 checkpoint 선택은 실제 해석에 중요하고, 일부 선택에서 step0이 사용되는 사실을 숨기지 않는다. 이 숫자들은 이번8조합 평균이며 기존3seed 평균을 대체하지 않는다.</w:t>
      </w:r>
    </w:p>
    <w:p>
      <w:pPr>
        <w:pStyle w:val="BodyText"/>
      </w:pPr>
      <w:r>
        <w:t xml:space="preserve">전력 source4의 fixed1024 평균 차이는 MAG +0.0094%로 작고, 전이의 REFERENCE/FAULT에서는 MAG가 각각−0.0232%/−0.0313% 손해였다. 모든 형태·오류 조건을 유지했다. 근소한 평균 차이를 실용적 동등성이나 센서 오류 해결로 해석하지 않는다.</w:t>
      </w:r>
    </w:p>
    <w:bookmarkEnd w:id="32"/>
    <w:bookmarkStart w:id="33" w:name="논문에-남길-것"/>
    <w:p>
      <w:pPr>
        <w:pStyle w:val="Heading2"/>
      </w:pPr>
      <w:r>
        <w:t xml:space="preserve">논문에 남길 것</w:t>
      </w:r>
    </w:p>
    <w:p>
      <w:pPr>
        <w:pStyle w:val="FirstParagraph"/>
      </w:pPr>
      <w:r>
        <w:t xml:space="preserve">유지할 주장은 ‘이 추가 PEFT에서 최종 C3/MAG 차이는 B0·어댑터 초기값·순서의 조합 및 checkpoint 선택에 민감하다’는 통제 실증이다. 기존의 ‘최종 순위와 고정 가중치의 추론 규칙 효과가 다를 수 있다’는 관찰에, 이번 학습 요인 분리가 더해졌다. 초기 seed 묶음만 보고 원인을 추측하던 상태보다 설명 근거가 보강됐다.</w:t>
      </w:r>
    </w:p>
    <w:p>
      <w:pPr>
        <w:pStyle w:val="BodyText"/>
      </w:pPr>
      <w:r>
        <w:t xml:space="preserve">보류할 주장은 ‘지속성 규칙이 유효 신호를 보존하므로 단순 대안보다 일관되게 우수하다’는 고유 방법론 설명이다. 이번 실험은 그 성능 우위나 신규성을 입증하지 않는다. B0의 내부 기하·gradient의 작동 원리, 셀 내 반복의 불확실성,81553 등 다른 수준, 독립 원천 및 정식 선행과의 비교는 여전히 미검증이다.81553과 이전 음성 결과는 원래 보고서에 유지하며 현재 평균으로 바꾸지 않는다.</w:t>
      </w:r>
    </w:p>
    <w:p>
      <w:pPr>
        <w:pStyle w:val="BodyText"/>
      </w:pPr>
      <w:r>
        <w:t xml:space="preserve">판정:</w:t>
      </w:r>
      <w:r>
        <w:t xml:space="preserve"> </w:t>
      </w:r>
      <w:r>
        <w:rPr>
          <w:b/>
          <w:bCs/>
        </w:rPr>
        <w:t xml:space="preserve">CONTROLLED_CONDITIONAL_EXPLANATION_SUPPORTED / GENERAL_METHOD_SUPERIORITY_NOT_ESTABLISHED</w:t>
      </w:r>
      <w:r>
        <w:t xml:space="preserve">. 논문 PASS나 게재 가능성을 선언하지 않는다. 새 후보 또는 후속학습을 자동 시작하지 않고 종료한다.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2026-09-18T08:14:34Z</dcterms:created>
  <dcterms:modified xsi:type="dcterms:W3CDTF">2026-09-18T08:14:34Z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