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지속-변화와-추가-peft-논문-준비-근거-묶음"/>
    <w:p>
      <w:pPr>
        <w:pStyle w:val="Heading1"/>
      </w:pPr>
      <w:r>
        <w:t xml:space="preserve">지속 변화와 추가 PEFT: 논문 준비 근거 묶음</w:t>
      </w:r>
    </w:p>
    <w:p>
      <w:pPr>
        <w:pStyle w:val="FirstParagraph"/>
      </w:pPr>
      <w:r>
        <w:t xml:space="preserve">한국어 검토본 · 2026-09-18 · 기존 결과 보존 · 투고 원고가 아닌 실험·시각화 요약</w:t>
      </w:r>
    </w:p>
    <w:bookmarkStart w:id="9" w:name="무엇을-실제로-했는가"/>
    <w:p>
      <w:pPr>
        <w:pStyle w:val="Heading2"/>
      </w:pPr>
      <w:r>
        <w:t xml:space="preserve">무엇을 실제로 했는가</w:t>
      </w:r>
    </w:p>
    <w:p>
      <w:pPr>
        <w:pStyle w:val="FirstParagraph"/>
      </w:pPr>
      <w:r>
        <w:t xml:space="preserve">같은 학습률과 1,024회 업데이트를 사용한 C2/C3의 가중치와 추론 gate를 교차 평가했다. 미적응 Chronos-Bolt(F0), 마지막 값 유지, 계절 반복을 같은 입력과 정답으로 비교했다. NESO의 C3/RECENCY 교차 평가도 추가했다.</w:t>
      </w:r>
    </w:p>
    <w:p>
      <w:pPr>
        <w:pStyle w:val="BodyText"/>
      </w:pPr>
      <w:r>
        <w:t xml:space="preserve">114개 비교를 완료했다. 이 중 24개는 검증된 기존 예측을 재사용했고, 90개는 새로 평가했다(GPU 70개, CPU 단순 예측 20개). 새 학습과 optimizer update는 0회다. 원점 점수 640,320행, 독립 scalar 3,534행×2지표, 직접 효과 742행과 분해 56행을 검산했다.</w:t>
      </w:r>
    </w:p>
    <w:bookmarkEnd w:id="9"/>
    <w:bookmarkStart w:id="10" w:name="논문에-남길-발견"/>
    <w:p>
      <w:pPr>
        <w:pStyle w:val="Heading2"/>
      </w:pPr>
      <w:r>
        <w:t xml:space="preserve">논문에 남길 발견</w:t>
      </w:r>
    </w:p>
    <w:p>
      <w:pPr>
        <w:pStyle w:val="Compact"/>
        <w:numPr>
          <w:ilvl w:val="0"/>
          <w:numId w:val="1001"/>
        </w:numPr>
      </w:pPr>
      <w:r>
        <w:t xml:space="preserve">기존 selected SHIFT8에서 C3는 전력16계열의 B0보다 7.112%, 일반 어댑터 C2보다 2.399% 개선됐다. NESO에서는 각각 5.459%, 1.312% 개선됐다.</w:t>
      </w:r>
    </w:p>
    <w:p>
      <w:pPr>
        <w:pStyle w:val="Compact"/>
        <w:numPr>
          <w:ilvl w:val="0"/>
          <w:numId w:val="1001"/>
        </w:numPr>
      </w:pPr>
      <w:r>
        <w:t xml:space="preserve">전력16계열의 동일 예산 C2/C3 분해는 총 nMAE 이득 +0.011603 중 gate 항 +0.002701, 가중치 항 +0.008903을 보였다. 학습된 함수의 차이와 추론 규칙 양쪽을 구분할 근거다.</w:t>
      </w:r>
    </w:p>
    <w:p>
      <w:pPr>
        <w:pStyle w:val="Compact"/>
        <w:numPr>
          <w:ilvl w:val="0"/>
          <w:numId w:val="1001"/>
        </w:numPr>
      </w:pPr>
      <w:r>
        <w:t xml:space="preserve">NESO의 같은 분해는 gate 항 −0.000045, 가중치 항 +0.005175였다. gate 구간은 0을 포함한다. 전력16계열의 설명을 모든 원천에 그대로 확장할 수 없다.</w:t>
      </w:r>
    </w:p>
    <w:p>
      <w:pPr>
        <w:pStyle w:val="Compact"/>
        <w:numPr>
          <w:ilvl w:val="0"/>
          <w:numId w:val="1001"/>
        </w:numPr>
      </w:pPr>
      <w:r>
        <w:t xml:space="preserve">SHIFT8에서 C3는 이번 다섯 패널 모두 F0와 두 단순 점예측보다 낮은 평균 오차를 보였다. 그러나 NESO 원자료에서는 F0보다 6.206% 악화했다.</w:t>
      </w:r>
    </w:p>
    <w:bookmarkEnd w:id="10"/>
    <w:bookmarkStart w:id="11" w:name="반드시-함께-적을-한계"/>
    <w:p>
      <w:pPr>
        <w:pStyle w:val="Heading2"/>
      </w:pPr>
      <w:r>
        <w:t xml:space="preserve">반드시 함께 적을 한계</w:t>
      </w:r>
    </w:p>
    <w:p>
      <w:pPr>
        <w:pStyle w:val="FirstParagraph"/>
      </w:pPr>
      <w:r>
        <w:t xml:space="preserve">C3는 NESO의 RECENCY보다 평균 0.109% 나빴고 세 번째 seed의 C2 대비 이득도 역전했다. NESO SHIFT8의 C3/RECENCY mask는 입력 256개에서 모두 동일했다. 따라서 이 조건은 두 규칙의 추론 위치 선택 능력을 구분하지 못한다. 모든 mask가 유용하지 않다는 뜻도 아니다.</w:t>
      </w:r>
    </w:p>
    <w:p>
      <w:pPr>
        <w:pStyle w:val="BodyText"/>
      </w:pPr>
      <w:r>
        <w:t xml:space="preserve">ETTm1/2의 불리한 결과, 긴 변화와 pulse의 손해, 원자료와 오류 조건의 손해를 남긴다. 합성 변화는 실제 센서 사건 레이블이 아니다. 이번 추가 평가는 이미 결과를 본 자료의 후속 진단이며 새 독립 시험이 아니다. 정식 COSA/TATO/SOLID/Time-PEFT 전체 비교는 실행하지 않았다.</w:t>
      </w:r>
    </w:p>
    <w:p>
      <w:pPr>
        <w:pStyle w:val="BodyText"/>
      </w:pPr>
      <w:r>
        <w:t xml:space="preserve">현재 근거는</w:t>
      </w:r>
      <w:r>
        <w:t xml:space="preserve"> </w:t>
      </w:r>
      <w:r>
        <w:rPr>
          <w:b/>
          <w:bCs/>
        </w:rPr>
        <w:t xml:space="preserve">추가 PEFT의 조건부 이득과 보존의 절충을 다루는 통제 실증 연구</w:t>
      </w:r>
      <w:r>
        <w:t xml:space="preserve">에 맞는다. 범용 새 방법의 우위나 논문 채택을 보장하지 않는다. 전체 표·코드·자료 계보는 같은 폴더의 README, EVIDENCE_REPORT, CLAIM_EVIDENCE, REPRODUCIBILITY에 있다.</w:t>
      </w:r>
    </w:p>
    <w:bookmarkEnd w:id="11"/>
    <w:bookmarkStart w:id="15" w:name="그림-1.-주-결과와-seed별-변동"/>
    <w:p>
      <w:pPr>
        <w:pStyle w:val="Heading2"/>
      </w:pPr>
      <w:r>
        <w:t xml:space="preserve">그림 1. 주 결과와 seed별 변동</w:t>
      </w:r>
    </w:p>
    <w:p>
      <w:pPr>
        <w:pStyle w:val="CaptionedFigure"/>
      </w:pPr>
      <w:r>
        <w:drawing>
          <wp:inline>
            <wp:extent cx="5334000" cy="1639464"/>
            <wp:effectExtent b="0" l="0" r="0" t="0"/>
            <wp:docPr descr="주 결과와 seed별 변동" title="" id="13" name="Picture"/>
            <a:graphic>
              <a:graphicData uri="http://schemas.openxmlformats.org/drawingml/2006/picture">
                <pic:pic>
                  <pic:nvPicPr>
                    <pic:cNvPr descr="figures/F1_main_seed_effect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주 결과와 seed별 변동</w:t>
      </w:r>
    </w:p>
    <w:p>
      <w:pPr>
        <w:pStyle w:val="BodyText"/>
      </w:pPr>
      <w:r>
        <w:t xml:space="preserve">selected SHIFT8의 평균 효과와 조건부 날짜 구간. 주황 ×는 개별 seed다. ETTm2의 RECENCY는 미실행이다.</w:t>
      </w:r>
    </w:p>
    <w:bookmarkEnd w:id="15"/>
    <w:bookmarkStart w:id="19" w:name="그림-2.-미적응-모델과-단순-기준선"/>
    <w:p>
      <w:pPr>
        <w:pStyle w:val="Heading2"/>
      </w:pPr>
      <w:r>
        <w:t xml:space="preserve">그림 2. 미적응 모델과 단순 기준선</w:t>
      </w:r>
    </w:p>
    <w:p>
      <w:pPr>
        <w:pStyle w:val="CaptionedFigure"/>
      </w:pPr>
      <w:r>
        <w:drawing>
          <wp:inline>
            <wp:extent cx="5334000" cy="1495394"/>
            <wp:effectExtent b="0" l="0" r="0" t="0"/>
            <wp:docPr descr="미적응 모델과 단순 기준선" title="" id="17" name="Picture"/>
            <a:graphic>
              <a:graphicData uri="http://schemas.openxmlformats.org/drawingml/2006/picture">
                <pic:pic>
                  <pic:nvPicPr>
                    <pic:cNvPr descr="figures/F2_foundation_simple_baselin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미적응 모델과 단순 기준선</w:t>
      </w:r>
    </w:p>
    <w:p>
      <w:pPr>
        <w:pStyle w:val="BodyText"/>
      </w:pPr>
      <w:r>
        <w:t xml:space="preserve">원자료·오류·지속 변화의 손익을 분리한다. 로그축이며, 단순 점예측을 확률 예측 성능의 대체물로 해석하지 않는다.</w:t>
      </w:r>
    </w:p>
    <w:bookmarkEnd w:id="19"/>
    <w:bookmarkStart w:id="23" w:name="그림-3.-학습된-가중치와-추론-gate의-분해"/>
    <w:p>
      <w:pPr>
        <w:pStyle w:val="Heading2"/>
      </w:pPr>
      <w:r>
        <w:t xml:space="preserve">그림 3. 학습된 가중치와 추론 gate의 분해</w:t>
      </w:r>
    </w:p>
    <w:p>
      <w:pPr>
        <w:pStyle w:val="CaptionedFigure"/>
      </w:pPr>
      <w:r>
        <w:drawing>
          <wp:inline>
            <wp:extent cx="5334000" cy="1523087"/>
            <wp:effectExtent b="0" l="0" r="0" t="0"/>
            <wp:docPr descr="학습된 가중치와 추론 gate의 분해" title="" id="21" name="Picture"/>
            <a:graphic>
              <a:graphicData uri="http://schemas.openxmlformats.org/drawingml/2006/picture">
                <pic:pic>
                  <pic:nvPicPr>
                    <pic:cNvPr descr="figures/F3_matched_factori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3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학습된 가중치와 추론 gate의 분해</w:t>
      </w:r>
    </w:p>
    <w:p>
      <w:pPr>
        <w:pStyle w:val="BodyText"/>
      </w:pPr>
      <w:r>
        <w:t xml:space="preserve">Electricity source의 동일 학습률·1,024 업데이트 모델을 교차 평가했다. 구간은 탐색적이며, 서로 다른 source의 효과를 합산하지 않는다.</w:t>
      </w:r>
    </w:p>
    <w:bookmarkEnd w:id="23"/>
    <w:bookmarkStart w:id="27" w:name="그림-4.-변화-형태에-따른-추가-가치"/>
    <w:p>
      <w:pPr>
        <w:pStyle w:val="Heading2"/>
      </w:pPr>
      <w:r>
        <w:t xml:space="preserve">그림 4. 변화 형태에 따른 추가 가치</w:t>
      </w:r>
    </w:p>
    <w:p>
      <w:pPr>
        <w:pStyle w:val="CaptionedFigure"/>
      </w:pPr>
      <w:r>
        <w:drawing>
          <wp:inline>
            <wp:extent cx="5334000" cy="3088105"/>
            <wp:effectExtent b="0" l="0" r="0" t="0"/>
            <wp:docPr descr="변화 형태에 따른 추가 가치" title="" id="25" name="Picture"/>
            <a:graphic>
              <a:graphicData uri="http://schemas.openxmlformats.org/drawingml/2006/picture">
                <pic:pic>
                  <pic:nvPicPr>
                    <pic:cNvPr descr="figures/F4_all_shap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8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변화 형태에 따른 추가 가치</w:t>
      </w:r>
    </w:p>
    <w:p>
      <w:pPr>
        <w:pStyle w:val="BodyText"/>
      </w:pPr>
      <w:r>
        <w:t xml:space="preserve">등록한 모든 형태와 불리한 조건을 함께 보인다. 색과 숫자는 C3의 상대 오차 감소율이다. N/A는 미실행이며 0점이 아니다.</w:t>
      </w:r>
    </w:p>
    <w:bookmarkEnd w:id="27"/>
    <w:bookmarkStart w:id="31" w:name="그림-5.-가상-변화-빈도에-따른-절충"/>
    <w:p>
      <w:pPr>
        <w:pStyle w:val="Heading2"/>
      </w:pPr>
      <w:r>
        <w:t xml:space="preserve">그림 5. 가상 변화 빈도에 따른 절충</w:t>
      </w:r>
    </w:p>
    <w:p>
      <w:pPr>
        <w:pStyle w:val="CaptionedFigure"/>
      </w:pPr>
      <w:r>
        <w:drawing>
          <wp:inline>
            <wp:extent cx="5334000" cy="2855042"/>
            <wp:effectExtent b="0" l="0" r="0" t="0"/>
            <wp:docPr descr="가상 변화 빈도에 따른 절충" title="" id="29" name="Picture"/>
            <a:graphic>
              <a:graphicData uri="http://schemas.openxmlformats.org/drawingml/2006/picture">
                <pic:pic>
                  <pic:nvPicPr>
                    <pic:cNvPr descr="figures/F5_operating_mix_sensitivit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5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가상 변화 빈도에 따른 절충</w:t>
      </w:r>
    </w:p>
    <w:p>
      <w:pPr>
        <w:pStyle w:val="BodyText"/>
      </w:pPr>
      <w:r>
        <w:t xml:space="preserve">w는 SHIFT8 비중, q는 나머지 중 FAULT 비중이다. 실제 현장 빈도 추정이나 배포 정책의 최적화가 아니다.</w:t>
      </w:r>
    </w:p>
    <w:bookmarkEnd w:id="31"/>
    <w:bookmarkStart w:id="35" w:name="그림-6.-기존-validation-학습곡선"/>
    <w:p>
      <w:pPr>
        <w:pStyle w:val="Heading2"/>
      </w:pPr>
      <w:r>
        <w:t xml:space="preserve">그림 6. 기존 validation 학습곡선</w:t>
      </w:r>
    </w:p>
    <w:p>
      <w:pPr>
        <w:pStyle w:val="CaptionedFigure"/>
      </w:pPr>
      <w:r>
        <w:drawing>
          <wp:inline>
            <wp:extent cx="5334000" cy="1912751"/>
            <wp:effectExtent b="0" l="0" r="0" t="0"/>
            <wp:docPr descr="기존 validation 학습곡선" title="" id="33" name="Picture"/>
            <a:graphic>
              <a:graphicData uri="http://schemas.openxmlformats.org/drawingml/2006/picture">
                <pic:pic>
                  <pic:nvPicPr>
                    <pic:cNvPr descr="figures/F6_validation_trajectori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2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기존 validation 학습곡선</w:t>
      </w:r>
    </w:p>
    <w:p>
      <w:pPr>
        <w:pStyle w:val="BodyText"/>
      </w:pPr>
      <w:r>
        <w:t xml:space="preserve">새 학습 없이 기존 checkpoint의 V 점수를 그렸다. ETTm1의 C2/C3는 선택 학습률이 다르므로 동일 학습 조건의 비교라고 부르지 않는다.</w:t>
      </w:r>
    </w:p>
    <w:bookmarkEnd w:id="35"/>
    <w:bookmarkStart w:id="39" w:name="그림-7.-자원-비용과-정확도"/>
    <w:p>
      <w:pPr>
        <w:pStyle w:val="Heading2"/>
      </w:pPr>
      <w:r>
        <w:t xml:space="preserve">그림 7. 자원 비용과 정확도</w:t>
      </w:r>
    </w:p>
    <w:p>
      <w:pPr>
        <w:pStyle w:val="CaptionedFigure"/>
      </w:pPr>
      <w:r>
        <w:drawing>
          <wp:inline>
            <wp:extent cx="5334000" cy="1938155"/>
            <wp:effectExtent b="0" l="0" r="0" t="0"/>
            <wp:docPr descr="자원 비용과 정확도" title="" id="37" name="Picture"/>
            <a:graphic>
              <a:graphicData uri="http://schemas.openxmlformats.org/drawingml/2006/picture">
                <pic:pic>
                  <pic:nvPicPr>
                    <pic:cNvPr descr="figures/F7_cost_accurac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자원 비용과 정확도</w:t>
      </w:r>
    </w:p>
    <w:p>
      <w:pPr>
        <w:pStyle w:val="BodyText"/>
      </w:pPr>
      <w:r>
        <w:t xml:space="preserve">기존 RTX 3080 FP32 측정값을 사용했다. 128입력 기준이며 B0의 선행 학습 비용은 별도다. 시간축과 오차축 모두 낮을수록 좋다.</w:t>
      </w:r>
    </w:p>
    <w:bookmarkEnd w:id="39"/>
    <w:bookmarkStart w:id="43" w:name="그림-8.-사전에-고정한-첫-원점-예시"/>
    <w:p>
      <w:pPr>
        <w:pStyle w:val="Heading2"/>
      </w:pPr>
      <w:r>
        <w:t xml:space="preserve">그림 8. 사전에 고정한 첫 원점 예시</w:t>
      </w:r>
    </w:p>
    <w:p>
      <w:pPr>
        <w:pStyle w:val="CaptionedFigure"/>
      </w:pPr>
      <w:r>
        <w:drawing>
          <wp:inline>
            <wp:extent cx="5334000" cy="2641498"/>
            <wp:effectExtent b="0" l="0" r="0" t="0"/>
            <wp:docPr descr="사전에 고정한 첫 원점 예시" title="" id="41" name="Picture"/>
            <a:graphic>
              <a:graphicData uri="http://schemas.openxmlformats.org/drawingml/2006/picture">
                <pic:pic>
                  <pic:nvPicPr>
                    <pic:cNvPr descr="figures/F8_fixed_exampl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사전에 고정한 첫 원점 예시</w:t>
      </w:r>
    </w:p>
    <w:p>
      <w:pPr>
        <w:pStyle w:val="BodyText"/>
      </w:pPr>
      <w:r>
        <w:t xml:space="preserve">첫 E 원점·첫 채널·첫 draw·seed81551이다. 성능이 좋은 사례로 선택하지 않았다. 합성 변화로 음수 수요 등 비현실적 값이 나타날 수 있다.</w:t>
      </w:r>
    </w:p>
    <w:bookmarkEnd w:id="43"/>
    <w:bookmarkStart w:id="47" w:name="그림-9.-두-gate-규칙을-구분할-수-있는가"/>
    <w:p>
      <w:pPr>
        <w:pStyle w:val="Heading2"/>
      </w:pPr>
      <w:r>
        <w:t xml:space="preserve">그림 9. 두 gate 규칙을 구분할 수 있는가</w:t>
      </w:r>
    </w:p>
    <w:p>
      <w:pPr>
        <w:pStyle w:val="CaptionedFigure"/>
      </w:pPr>
      <w:r>
        <w:drawing>
          <wp:inline>
            <wp:extent cx="5334000" cy="2657029"/>
            <wp:effectExtent b="0" l="0" r="0" t="0"/>
            <wp:docPr descr="두 gate 규칙을 구분할 수 있는가" title="" id="45" name="Picture"/>
            <a:graphic>
              <a:graphicData uri="http://schemas.openxmlformats.org/drawingml/2006/picture">
                <pic:pic>
                  <pic:nvPicPr>
                    <pic:cNvPr descr="figures/F9_gate_identifiability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두 gate 규칙을 구분할 수 있는가</w:t>
      </w:r>
    </w:p>
    <w:p>
      <w:pPr>
        <w:pStyle w:val="BodyText"/>
      </w:pPr>
      <w:r>
        <w:t xml:space="preserve">평가 후 CPU 진단이다. NESO SHIFT8의 모든 256개 입력에서 C3와 RECENCY가 같은 mask를 만든다. 두 모델의 차이를 이 조건의 추론 위치 선택 능력으로 설명할 수 없다.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2026-09-17T23:48:11Z</dcterms:created>
  <dcterms:modified xsi:type="dcterms:W3CDTF">2026-09-17T23:48:11Z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