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F7" w:rsidRPr="00964CDE" w:rsidRDefault="0030646B" w:rsidP="00356343">
      <w:pPr>
        <w:jc w:val="center"/>
        <w:rPr>
          <w:b/>
          <w:bCs/>
          <w:color w:val="000000" w:themeColor="text1"/>
          <w:sz w:val="36"/>
          <w:szCs w:val="36"/>
        </w:rPr>
      </w:pPr>
      <w:bookmarkStart w:id="0" w:name="_GoBack"/>
      <w:bookmarkEnd w:id="0"/>
      <w:r>
        <w:rPr>
          <w:b/>
          <w:bCs/>
          <w:color w:val="000000" w:themeColor="text1"/>
          <w:sz w:val="36"/>
          <w:szCs w:val="36"/>
        </w:rPr>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Analytic Hierarchy Process for the modeling, in pursuit of further detailed conclusion. The method of AHP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BOOST algorithm is applied to produce more reliable and stable results. Model's feasibility and sensitivity are finally tested using the data in the testing set, establishing the model’s application value.</w:t>
      </w:r>
    </w:p>
    <w:p w:rsidR="0007230F" w:rsidRPr="0007230F" w:rsidRDefault="0007230F" w:rsidP="0007230F">
      <w:pPr>
        <w:spacing w:afterLines="50" w:after="156"/>
        <w:rPr>
          <w:bCs/>
          <w:color w:val="000000" w:themeColor="text1"/>
          <w:sz w:val="24"/>
        </w:rPr>
      </w:pPr>
      <w:r w:rsidRPr="0007230F">
        <w:rPr>
          <w:bCs/>
          <w:color w:val="000000" w:themeColor="text1"/>
          <w:sz w:val="24"/>
        </w:rPr>
        <w:t>In a word, the model constructed not only yields the ranking of individual variables' significance related to the phones' sales volume but also gives insight about which particular traits contribute more to sales volume. It also enables the manufactures to predict sales volume, given its related features, and they can be more informed of the customers' needs 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Jie Zhang and Jianan Zhong </w:t>
      </w:r>
      <w:r w:rsidRPr="00E45111">
        <w:rPr>
          <w:sz w:val="24"/>
          <w:vertAlign w:val="superscript"/>
        </w:rPr>
        <w:t>[3]</w:t>
      </w:r>
      <w:r w:rsidRPr="00E45111">
        <w:rPr>
          <w:sz w:val="24"/>
        </w:rPr>
        <w:t xml:space="preserve"> conducted research to analyze how sale promotion influences customers’ minds and predict the purchase choices of customers. Gang Du and Zhenyu Huang </w:t>
      </w:r>
      <w:r w:rsidRPr="00E45111">
        <w:rPr>
          <w:sz w:val="24"/>
          <w:vertAlign w:val="superscript"/>
        </w:rPr>
        <w:t>[4]</w:t>
      </w:r>
      <w:r>
        <w:rPr>
          <w:sz w:val="24"/>
        </w:rPr>
        <w:t xml:space="preserve"> </w:t>
      </w:r>
      <w:r w:rsidRPr="00E45111">
        <w:rPr>
          <w:sz w:val="24"/>
        </w:rPr>
        <w:t xml:space="preserve">employed the Teradata platform to build decision-making tree model to predict customers’ purchasing behaviors, further improving the efficiency and accuracy of prediction. Zhanbo Zhao, Luping Sun, and Meng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Zhihai Hu, Dandan Zhao and Yi Zhang </w:t>
      </w:r>
      <w:r w:rsidRPr="00E45111">
        <w:rPr>
          <w:sz w:val="24"/>
          <w:vertAlign w:val="superscript"/>
        </w:rPr>
        <w:t>[6]</w:t>
      </w:r>
      <w:r w:rsidRPr="00E45111">
        <w:rPr>
          <w:sz w:val="24"/>
        </w:rPr>
        <w:t xml:space="preserve"> employed sales 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 Hou, Xu Zhang, Enjun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Youzhi Xue and Yongfeng Guo </w:t>
      </w:r>
      <w:r w:rsidRPr="00E45111">
        <w:rPr>
          <w:sz w:val="24"/>
          <w:vertAlign w:val="superscript"/>
        </w:rPr>
        <w:t>[9]</w:t>
      </w:r>
      <w:r w:rsidRPr="00E45111">
        <w:rPr>
          <w:sz w:val="24"/>
        </w:rPr>
        <w:t xml:space="preserve"> employed a Tobit model to discover that customers valued more on price and delivery fee. Jingsha Fu </w:t>
      </w:r>
      <w:r w:rsidRPr="00E45111">
        <w:rPr>
          <w:sz w:val="24"/>
          <w:vertAlign w:val="superscript"/>
        </w:rPr>
        <w:t>[10]</w:t>
      </w:r>
      <w:r w:rsidRPr="00E45111">
        <w:rPr>
          <w:sz w:val="24"/>
        </w:rPr>
        <w:t xml:space="preserve"> created a quantify model of influential factors. As for BP Neural Network Fitting, Yanli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r w:rsidRPr="00E45111">
        <w:rPr>
          <w:sz w:val="24"/>
        </w:rPr>
        <w:t xml:space="preserve">i.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w:t>
      </w:r>
      <w:r w:rsidRPr="00E45111">
        <w:rPr>
          <w:sz w:val="24"/>
        </w:rPr>
        <w:lastRenderedPageBreak/>
        <w:t>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1C505F" w:rsidP="00425A8B">
      <w:pPr>
        <w:spacing w:afterLines="50" w:after="156"/>
        <w:rPr>
          <w:sz w:val="24"/>
        </w:rPr>
      </w:pPr>
      <w:r>
        <w:pict>
          <v:group id="组合 193" o:spid="_x0000_s1064" style="width:422.95pt;height:470.85pt;mso-position-horizontal-relative:char;mso-position-vertical-relative:line" coordorigin="666" coordsize="53715,5979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style="mso-next-textbox:#任意多边形 195"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style="mso-next-textbox:#任意多边形 206"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style="mso-next-textbox:#任意多边形 208"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rsidR="004C6F2A" w:rsidRDefault="004C6F2A"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rsidR="004C6F2A" w:rsidRDefault="004C6F2A"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style="mso-next-textbox:#任意多边形 221"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BOOST</w:t>
                    </w:r>
                  </w:p>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style="mso-next-textbox:#任意多边形 222"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style="mso-next-textbox:#任意多边形 223"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style="mso-next-textbox:#任意多边形 225"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style="mso-next-textbox:#任意多边形 226"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style="mso-next-textbox:#任意多边形 227"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style="mso-next-textbox:#任意多边形 228"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style="mso-next-textbox:#任意多边形 231"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style="mso-next-textbox:#任意多边形 232"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style="mso-next-textbox:#任意多边形 233"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style="mso-next-textbox:#任意多边形 234"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style="mso-next-textbox:#任意多边形 237"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style="mso-next-textbox:#任意多边形 238"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AHP</w:t>
                      </w:r>
                    </w:p>
                  </w:txbxContent>
                </v:textbox>
              </v:shape>
              <v:shape id="任意多边形 239" o:spid="_x0000_s1101"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style="mso-next-textbox:#任意多边形 239"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style="mso-next-textbox:#任意多边形 240"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style="mso-next-textbox:#任意多边形 241"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anchorlock/>
          </v:group>
        </w:pic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w:t>
      </w:r>
      <w:r w:rsidRPr="004E6193">
        <w:rPr>
          <w:sz w:val="24"/>
        </w:rPr>
        <w:lastRenderedPageBreak/>
        <w:t xml:space="preserve">effectively complete the goal. Then we apply the results of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Afterward, we employ the BOOST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1C505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1C505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1C505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1C505F"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1C505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1C505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1C505F"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1C505F"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1C505F"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A025F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7D5214" w:rsidRDefault="001C505F" w:rsidP="00425A8B">
      <w:pPr>
        <w:spacing w:afterLines="50" w:after="156"/>
        <w:rPr>
          <w:bCs/>
          <w:color w:val="000000" w:themeColor="text1"/>
          <w:sz w:val="24"/>
        </w:rPr>
      </w:pPr>
      <w:r>
        <w:rPr>
          <w:bCs/>
          <w:color w:val="000000" w:themeColor="text1"/>
          <w:sz w:val="24"/>
        </w:rPr>
      </w:r>
      <w:r>
        <w:rPr>
          <w:bCs/>
          <w:color w:val="000000" w:themeColor="text1"/>
          <w:sz w:val="24"/>
        </w:rPr>
        <w:pict>
          <v:group id="组合 1035" o:spid="_x0000_s1161" style="width:426pt;height:605.2pt;mso-position-horizontal-relative:char;mso-position-vertical-relative:line" coordorigin="-96,2667" coordsize="54103,7924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16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rsidR="004C6F2A" w:rsidRDefault="004C6F2A" w:rsidP="007D5214">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4C6F2A" w:rsidRDefault="004C6F2A" w:rsidP="007D5214">
                    <w:pPr>
                      <w:jc w:val="center"/>
                      <w:rPr>
                        <w:color w:val="000000" w:themeColor="text1"/>
                        <w:szCs w:val="21"/>
                      </w:rPr>
                    </w:pPr>
                    <w:r>
                      <w:rPr>
                        <w:color w:val="000000" w:themeColor="text1"/>
                        <w:szCs w:val="21"/>
                      </w:rPr>
                      <w:t>……</w:t>
                    </w:r>
                  </w:p>
                </w:txbxContent>
              </v:textbox>
            </v:shape>
            <v:group id="组合 1037" o:spid="_x0000_s116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16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16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rsidR="004C6F2A" w:rsidRDefault="004C6F2A" w:rsidP="007D5214">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16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rsidR="004C6F2A" w:rsidRDefault="004C6F2A" w:rsidP="007D5214">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16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rsidR="004C6F2A" w:rsidRDefault="004C6F2A"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16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rsidR="004C6F2A" w:rsidRDefault="004C6F2A"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16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rsidR="004C6F2A" w:rsidRDefault="004C6F2A" w:rsidP="007D5214">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17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rsidR="004C6F2A" w:rsidRDefault="004C6F2A"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v:textbox>
                </v:shape>
                <v:shape id="流程图: 可选过程 1045" o:spid="_x0000_s117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rsidR="004C6F2A" w:rsidRDefault="004C6F2A"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17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rsidR="004C6F2A" w:rsidRDefault="004C6F2A"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17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rsidR="004C6F2A" w:rsidRDefault="004C6F2A"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17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rsidR="004C6F2A" w:rsidRDefault="004C6F2A"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17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rsidR="004C6F2A" w:rsidRDefault="004C6F2A"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17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rsidR="004C6F2A" w:rsidRDefault="004C6F2A"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17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rsidR="004C6F2A" w:rsidRDefault="004C6F2A"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17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rsidR="004C6F2A" w:rsidRDefault="004C6F2A" w:rsidP="007D5214">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4C6F2A" w:rsidRDefault="004C6F2A" w:rsidP="007D5214">
                        <w:pPr>
                          <w:jc w:val="center"/>
                          <w:rPr>
                            <w:color w:val="000000" w:themeColor="text1"/>
                          </w:rPr>
                        </w:pPr>
                      </w:p>
                    </w:txbxContent>
                  </v:textbox>
                </v:shape>
                <v:shape id="流程图: 可选过程 1053" o:spid="_x0000_s117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rsidR="004C6F2A" w:rsidRDefault="004C6F2A"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18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rsidR="004C6F2A" w:rsidRDefault="004C6F2A"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18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rsidR="004C6F2A" w:rsidRDefault="004C6F2A"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18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rsidR="004C6F2A" w:rsidRDefault="004C6F2A"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18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rsidR="004C6F2A" w:rsidRDefault="004C6F2A"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4C6F2A" w:rsidRDefault="004C6F2A" w:rsidP="007D5214">
                        <w:pPr>
                          <w:jc w:val="center"/>
                          <w:rPr>
                            <w:color w:val="000000" w:themeColor="text1"/>
                          </w:rPr>
                        </w:pPr>
                      </w:p>
                    </w:txbxContent>
                  </v:textbox>
                </v:roundrect>
                <v:shape id="流程图: 可选过程 1058" o:spid="_x0000_s118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rsidR="004C6F2A" w:rsidRDefault="004C6F2A" w:rsidP="007D5214">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4C6F2A" w:rsidRDefault="004C6F2A" w:rsidP="007D5214">
                        <w:pPr>
                          <w:jc w:val="center"/>
                          <w:rPr>
                            <w:color w:val="000000" w:themeColor="text1"/>
                          </w:rPr>
                        </w:pPr>
                      </w:p>
                    </w:txbxContent>
                  </v:textbox>
                </v:shape>
              </v:group>
              <v:rect id="矩形 1059" o:spid="_x0000_s118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18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18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18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rsidR="004C6F2A" w:rsidRDefault="004C6F2A" w:rsidP="007D5214">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18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rsidR="004C6F2A" w:rsidRDefault="004C6F2A"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19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rsidR="004C6F2A" w:rsidRDefault="004C6F2A"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19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rsidR="004C6F2A" w:rsidRDefault="004C6F2A"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9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rsidR="004C6F2A" w:rsidRDefault="004C6F2A"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9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rsidR="004C6F2A" w:rsidRDefault="004C6F2A"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9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rsidR="004C6F2A" w:rsidRDefault="004C6F2A"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9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rsidR="004C6F2A" w:rsidRDefault="004C6F2A"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9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rsidR="004C6F2A" w:rsidRDefault="004C6F2A" w:rsidP="007D5214">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4C6F2A" w:rsidRDefault="004C6F2A" w:rsidP="007D5214">
                        <w:pPr>
                          <w:jc w:val="center"/>
                          <w:rPr>
                            <w:color w:val="000000" w:themeColor="text1"/>
                          </w:rPr>
                        </w:pPr>
                      </w:p>
                    </w:txbxContent>
                  </v:textbox>
                </v:shape>
                <v:shape id="流程图: 可选过程 1071" o:spid="_x0000_s119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rsidR="004C6F2A" w:rsidRDefault="004C6F2A"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9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rsidR="004C6F2A" w:rsidRDefault="004C6F2A"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9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rsidR="004C6F2A" w:rsidRDefault="004C6F2A"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0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rsidR="004C6F2A" w:rsidRDefault="004C6F2A"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0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rsidR="004C6F2A" w:rsidRDefault="004C6F2A"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0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rsidR="004C6F2A" w:rsidRDefault="004C6F2A" w:rsidP="007D5214">
                        <w:pPr>
                          <w:jc w:val="center"/>
                          <w:rPr>
                            <w:color w:val="FFFFFF" w:themeColor="background1"/>
                          </w:rPr>
                        </w:pPr>
                        <w:r>
                          <w:rPr>
                            <w:color w:val="FFFFFF" w:themeColor="background1"/>
                            <w:szCs w:val="21"/>
                          </w:rPr>
                          <w:t>75.8</w:t>
                        </w:r>
                      </w:p>
                      <w:p w:rsidR="004C6F2A" w:rsidRDefault="004C6F2A" w:rsidP="007D5214">
                        <w:pPr>
                          <w:jc w:val="center"/>
                          <w:rPr>
                            <w:color w:val="000000" w:themeColor="text1"/>
                          </w:rPr>
                        </w:pPr>
                      </w:p>
                    </w:txbxContent>
                  </v:textbox>
                </v:shape>
                <v:shape id="流程图: 可选过程 1077" o:spid="_x0000_s120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rsidR="004C6F2A" w:rsidRDefault="004C6F2A"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0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rsidR="004C6F2A" w:rsidRDefault="004C6F2A" w:rsidP="007D5214">
                        <w:pPr>
                          <w:jc w:val="center"/>
                          <w:rPr>
                            <w:color w:val="000000" w:themeColor="text1"/>
                          </w:rPr>
                        </w:pPr>
                        <w:r>
                          <w:rPr>
                            <w:color w:val="000000" w:themeColor="text1"/>
                            <w:szCs w:val="21"/>
                          </w:rPr>
                          <w:t>Dual Camera: 1</w:t>
                        </w:r>
                      </w:p>
                    </w:txbxContent>
                  </v:textbox>
                </v:shape>
                <v:roundrect id="圆角矩形 1079" o:spid="_x0000_s120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rsidR="004C6F2A" w:rsidRDefault="004C6F2A"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4C6F2A" w:rsidRDefault="004C6F2A" w:rsidP="007D5214">
                        <w:pPr>
                          <w:jc w:val="center"/>
                          <w:rPr>
                            <w:color w:val="000000" w:themeColor="text1"/>
                          </w:rPr>
                        </w:pPr>
                      </w:p>
                    </w:txbxContent>
                  </v:textbox>
                </v:roundrect>
                <v:shape id="流程图: 可选过程 1080" o:spid="_x0000_s120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rsidR="004C6F2A" w:rsidRDefault="004C6F2A"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0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rsidR="004C6F2A" w:rsidRDefault="004C6F2A" w:rsidP="007D5214">
                        <w:pPr>
                          <w:jc w:val="center"/>
                          <w:rPr>
                            <w:color w:val="FFFFFF" w:themeColor="background1"/>
                            <w:szCs w:val="21"/>
                          </w:rPr>
                        </w:pPr>
                        <w:r>
                          <w:rPr>
                            <w:color w:val="FFFFFF" w:themeColor="background1"/>
                            <w:szCs w:val="21"/>
                          </w:rPr>
                          <w:t>1080</w:t>
                        </w:r>
                      </w:p>
                    </w:txbxContent>
                  </v:textbox>
                </v:shape>
                <v:shape id="流程图: 可选过程 1082" o:spid="_x0000_s120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rsidR="004C6F2A" w:rsidRDefault="004C6F2A" w:rsidP="007D5214">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0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rsidR="004C6F2A" w:rsidRDefault="004C6F2A" w:rsidP="007D5214">
                        <w:pPr>
                          <w:jc w:val="center"/>
                          <w:rPr>
                            <w:color w:val="000000" w:themeColor="text1"/>
                          </w:rPr>
                        </w:pPr>
                        <w:r>
                          <w:rPr>
                            <w:color w:val="FFFFFF" w:themeColor="background1"/>
                            <w:szCs w:val="21"/>
                          </w:rPr>
                          <w:t>7.3</w:t>
                        </w:r>
                      </w:p>
                    </w:txbxContent>
                  </v:textbox>
                </v:shape>
                <v:shape id="流程图: 可选过程 1084" o:spid="_x0000_s121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rsidR="004C6F2A" w:rsidRDefault="004C6F2A" w:rsidP="007D5214">
                        <w:pPr>
                          <w:jc w:val="center"/>
                          <w:rPr>
                            <w:color w:val="FFFFFF" w:themeColor="background1"/>
                          </w:rPr>
                        </w:pPr>
                        <w:r>
                          <w:rPr>
                            <w:color w:val="FFFFFF" w:themeColor="background1"/>
                            <w:szCs w:val="21"/>
                          </w:rPr>
                          <w:t>1 (GPRS)</w:t>
                        </w:r>
                      </w:p>
                    </w:txbxContent>
                  </v:textbox>
                </v:shape>
                <v:shape id="流程图: 可选过程 1085" o:spid="_x0000_s121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rsidR="004C6F2A" w:rsidRDefault="004C6F2A" w:rsidP="007D5214">
                        <w:pPr>
                          <w:jc w:val="center"/>
                          <w:rPr>
                            <w:color w:val="000000" w:themeColor="text1"/>
                          </w:rPr>
                        </w:pPr>
                        <w:r>
                          <w:rPr>
                            <w:color w:val="000000" w:themeColor="text1"/>
                            <w:szCs w:val="21"/>
                          </w:rPr>
                          <w:t>Front Camera: 1</w:t>
                        </w:r>
                      </w:p>
                    </w:txbxContent>
                  </v:textbox>
                </v:shape>
              </v:group>
              <v:rect id="矩形 1086" o:spid="_x0000_s121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21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1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anchorlock/>
          </v:group>
        </w:pict>
      </w:r>
    </w:p>
    <w:p w:rsidR="007D5214" w:rsidRPr="007D5214" w:rsidRDefault="007D5214" w:rsidP="007D5214">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A6EDE" w:rsidRDefault="00FA6EDE" w:rsidP="00425A8B">
      <w:pPr>
        <w:spacing w:afterLines="50" w:after="156"/>
        <w:rPr>
          <w:bCs/>
          <w:color w:val="000000" w:themeColor="text1"/>
          <w:sz w:val="24"/>
        </w:rPr>
      </w:pPr>
      <w:r w:rsidRPr="00FA6EDE">
        <w:rPr>
          <w:bCs/>
          <w:color w:val="000000" w:themeColor="text1"/>
          <w:sz w:val="24"/>
        </w:rPr>
        <w:t xml:space="preserve">We set Unlock Phones, Google Play, Battery Type, Display Resolution, Operation </w:t>
      </w:r>
      <w:r w:rsidRPr="00FA6EDE">
        <w:rPr>
          <w:bCs/>
          <w:color w:val="000000" w:themeColor="text1"/>
          <w:sz w:val="24"/>
        </w:rPr>
        <w:lastRenderedPageBreak/>
        <w:t>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t>
      </w:r>
      <w:r w:rsidRPr="002A59FE">
        <w:rPr>
          <w:rFonts w:eastAsia="仿宋_GB2312"/>
          <w:sz w:val="24"/>
        </w:rPr>
        <w:lastRenderedPageBreak/>
        <w:t xml:space="preserve">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1C505F" w:rsidP="00425A8B">
      <w:pPr>
        <w:snapToGrid w:val="0"/>
        <w:spacing w:afterLines="50" w:after="156" w:line="180" w:lineRule="atLeast"/>
        <w:jc w:val="left"/>
        <w:rPr>
          <w:rFonts w:eastAsia="仿宋_GB2312"/>
          <w:sz w:val="24"/>
        </w:rPr>
      </w:pPr>
      <w:r>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88.1pt;margin-top:43.95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rsidR="004C6F2A" w:rsidRPr="008A1391" w:rsidRDefault="004C6F2A" w:rsidP="001211E9">
                  <w:pPr>
                    <w:rPr>
                      <w:rFonts w:eastAsia="仿宋_GB2312"/>
                    </w:rPr>
                  </w:pPr>
                  <w:r>
                    <w:rPr>
                      <w:rFonts w:eastAsia="仿宋_GB2312"/>
                    </w:rPr>
                    <w:t>(1)</w:t>
                  </w:r>
                </w:p>
              </w:txbxContent>
            </v:textbox>
            <w10:wrap anchorx="margin"/>
          </v:shape>
        </w:pic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1C50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1C505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rsidR="004C6F2A" w:rsidRPr="008A1391" w:rsidRDefault="004C6F2A"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1C50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1C50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1C505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rsidR="004C6F2A" w:rsidRPr="008A1391" w:rsidRDefault="004C6F2A"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v:shape id="文本框 248" o:spid="_x0000_s1029" type="#_x0000_t202" style="position:absolute;margin-left:-223.3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rsidR="004C6F2A" w:rsidRPr="008A1391" w:rsidRDefault="004C6F2A" w:rsidP="001211E9">
                  <w:pPr>
                    <w:rPr>
                      <w:rFonts w:eastAsia="仿宋_GB2312"/>
                    </w:rPr>
                  </w:pPr>
                  <w:r>
                    <w:rPr>
                      <w:rFonts w:eastAsia="仿宋_GB2312"/>
                    </w:rPr>
                    <w:t>(4)</w:t>
                  </w:r>
                </w:p>
              </w:txbxContent>
            </v:textbox>
            <w10:wrap anchorx="margin"/>
          </v:shape>
        </w:pict>
      </w:r>
      <w:r w:rsidR="002A59FE">
        <w:rPr>
          <w:rFonts w:eastAsia="仿宋_GB2312"/>
          <w:sz w:val="24"/>
        </w:rPr>
        <w:t xml:space="preserve">: </w:t>
      </w:r>
    </w:p>
    <w:p w:rsidR="00493D23" w:rsidRPr="00E354B3" w:rsidRDefault="001C505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1C505F" w:rsidP="00425A8B">
      <w:pPr>
        <w:spacing w:afterLines="50" w:after="156"/>
        <w:rPr>
          <w:sz w:val="24"/>
          <w:szCs w:val="36"/>
        </w:rPr>
      </w:pPr>
      <w:r>
        <w:rPr>
          <w:rFonts w:ascii="仿宋_GB2312" w:eastAsia="仿宋_GB2312"/>
          <w:noProof/>
          <w:sz w:val="24"/>
          <w:szCs w:val="21"/>
        </w:rPr>
        <w:pict>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rsidR="004C6F2A" w:rsidRPr="008A1391" w:rsidRDefault="004C6F2A"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rsidR="004C6F2A" w:rsidRPr="008A1391" w:rsidRDefault="004C6F2A" w:rsidP="001211E9">
                  <w:pPr>
                    <w:rPr>
                      <w:rFonts w:eastAsia="仿宋_GB2312"/>
                    </w:rPr>
                  </w:pPr>
                  <w:r>
                    <w:rPr>
                      <w:rFonts w:eastAsia="仿宋_GB2312"/>
                    </w:rPr>
                    <w:t>(5)</w:t>
                  </w:r>
                </w:p>
              </w:txbxContent>
            </v:textbox>
            <w10:wrap anchorx="margin"/>
          </v:shape>
        </w:pic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1C505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1C505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1C505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rsidR="004C6F2A" w:rsidRPr="008A1391" w:rsidRDefault="004C6F2A"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rsidR="004C6F2A" w:rsidRPr="008A1391" w:rsidRDefault="004C6F2A" w:rsidP="001211E9">
                  <w:pPr>
                    <w:rPr>
                      <w:rFonts w:eastAsia="仿宋_GB2312"/>
                    </w:rPr>
                  </w:pPr>
                  <w:r>
                    <w:rPr>
                      <w:rFonts w:eastAsia="仿宋_GB2312"/>
                    </w:rPr>
                    <w:t>(7)</w:t>
                  </w:r>
                </w:p>
              </w:txbxContent>
            </v:textbox>
            <w10:wrap anchorx="margin"/>
          </v:shape>
        </w:pict>
      </w:r>
      <w:r>
        <w:rPr>
          <w:rFonts w:ascii="仿宋_GB2312" w:eastAsia="仿宋_GB2312"/>
          <w:noProof/>
          <w:sz w:val="24"/>
          <w:szCs w:val="21"/>
        </w:rPr>
        <w:pict>
          <v:shape id="文本框 253" o:spid="_x0000_s1034" type="#_x0000_t202" style="position:absolute;margin-left:388.1pt;margin-top:133.15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rsidR="004C6F2A" w:rsidRPr="008A1391" w:rsidRDefault="004C6F2A" w:rsidP="001211E9">
                  <w:pPr>
                    <w:rPr>
                      <w:rFonts w:eastAsia="仿宋_GB2312"/>
                    </w:rPr>
                  </w:pPr>
                  <w:r>
                    <w:rPr>
                      <w:rFonts w:eastAsia="仿宋_GB2312"/>
                    </w:rPr>
                    <w:t>(9)</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2A59FE" w:rsidP="002A59FE">
      <w:pPr>
        <w:snapToGrid w:val="0"/>
        <w:spacing w:afterLines="50" w:after="156" w:line="180" w:lineRule="atLeast"/>
        <w:rPr>
          <w:rFonts w:eastAsia="仿宋_GB2312"/>
          <w:sz w:val="24"/>
        </w:rPr>
      </w:pPr>
      <w:r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w:t>
      </w:r>
      <w:r w:rsidRPr="002A59FE">
        <w:rPr>
          <w:rFonts w:eastAsia="仿宋_GB2312"/>
          <w:sz w:val="24"/>
        </w:rPr>
        <w:lastRenderedPageBreak/>
        <w:t xml:space="preserve">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CE70C1" w:rsidRDefault="00690751" w:rsidP="00B03C0E">
      <w:pPr>
        <w:pStyle w:val="a5"/>
        <w:spacing w:afterLines="50" w:after="156"/>
        <w:ind w:left="842" w:firstLineChars="0" w:firstLine="0"/>
        <w:rPr>
          <w:rFonts w:ascii="Times New Roman"/>
          <w:b/>
          <w:sz w:val="24"/>
          <w:szCs w:val="36"/>
          <w:lang w:eastAsia="zh-CN"/>
        </w:rPr>
      </w:pPr>
      <w:r>
        <w:rPr>
          <w:rFonts w:ascii="Times New Roman"/>
          <w:b/>
          <w:sz w:val="24"/>
          <w:szCs w:val="36"/>
          <w:lang w:eastAsia="zh-CN"/>
        </w:rPr>
        <w:t>Information Entropy</w:t>
      </w:r>
    </w:p>
    <w:p w:rsidR="002A59FE" w:rsidRDefault="001C505F" w:rsidP="00B03C0E">
      <w:pPr>
        <w:rPr>
          <w:rFonts w:eastAsia="仿宋_GB2312"/>
          <w:sz w:val="24"/>
        </w:rPr>
      </w:pPr>
      <w:r>
        <w:rPr>
          <w:rFonts w:ascii="仿宋_GB2312" w:eastAsia="仿宋_GB2312"/>
          <w:noProof/>
          <w:sz w:val="24"/>
          <w:szCs w:val="21"/>
        </w:rPr>
        <w:pict>
          <v:shape id="文本框 254" o:spid="_x0000_s1035" type="#_x0000_t202" style="position:absolute;left:0;text-align:left;margin-left:381.55pt;margin-top:80.8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rsidR="004C6F2A" w:rsidRPr="008A1391" w:rsidRDefault="004C6F2A" w:rsidP="001211E9">
                  <w:pPr>
                    <w:rPr>
                      <w:rFonts w:eastAsia="仿宋_GB2312"/>
                    </w:rPr>
                  </w:pPr>
                  <w:r>
                    <w:rPr>
                      <w:rFonts w:eastAsia="仿宋_GB2312"/>
                    </w:rPr>
                    <w:t>(10)</w:t>
                  </w:r>
                </w:p>
              </w:txbxContent>
            </v:textbox>
            <w10:wrap anchorx="margin"/>
          </v:shape>
        </w:pic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r w:rsidRPr="0013622C">
        <w:rPr>
          <w:rFonts w:eastAsia="仿宋_GB2312" w:hint="eastAsia"/>
          <w:sz w:val="24"/>
        </w:rPr>
        <w:lastRenderedPageBreak/>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lastRenderedPageBreak/>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w:t>
      </w:r>
      <w:r w:rsidRPr="0013622C">
        <w:rPr>
          <w:rFonts w:eastAsia="仿宋_GB2312" w:hint="eastAsia"/>
          <w:sz w:val="24"/>
        </w:rPr>
        <w:lastRenderedPageBreak/>
        <w:t xml:space="preserve">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1C505F" w:rsidP="00425A8B">
      <w:pPr>
        <w:spacing w:afterLines="50" w:after="156"/>
        <w:rPr>
          <w:rFonts w:eastAsia="仿宋_GB2312"/>
          <w:sz w:val="24"/>
        </w:rPr>
      </w:pPr>
      <w:r>
        <w:rPr>
          <w:rFonts w:eastAsia="仿宋_GB2312"/>
          <w:b/>
          <w:noProof/>
          <w:sz w:val="24"/>
        </w:rPr>
        <w:pict>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rsidR="004C6F2A" w:rsidRPr="008A1391" w:rsidRDefault="004C6F2A" w:rsidP="00314BE1">
                  <w:pPr>
                    <w:rPr>
                      <w:rFonts w:eastAsia="仿宋_GB2312"/>
                    </w:rPr>
                  </w:pPr>
                  <w:r>
                    <w:rPr>
                      <w:rFonts w:eastAsia="仿宋_GB2312"/>
                    </w:rPr>
                    <w:t>(11)</w:t>
                  </w:r>
                </w:p>
              </w:txbxContent>
            </v:textbox>
            <w10:wrap anchorx="margin"/>
          </v:shape>
        </w:pic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lastRenderedPageBreak/>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lastRenderedPageBreak/>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IsGalleryFeatured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IsHighQuality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Is gallery Featured are also significant factors promoting the phone's sales. One thing particularly noticeable is that Category Click Rate and Category Convert Rate are considered separately in the data processing, but they yield a similar final result, the </w:t>
      </w:r>
      <w:r w:rsidRPr="001A6F74">
        <w:rPr>
          <w:rFonts w:eastAsia="仿宋_GB2312"/>
          <w:sz w:val="24"/>
        </w:rPr>
        <w:lastRenderedPageBreak/>
        <w:t>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1C505F" w:rsidP="00425A8B">
      <w:pPr>
        <w:spacing w:afterLines="50" w:after="156"/>
        <w:rPr>
          <w:rFonts w:eastAsia="仿宋_GB2312"/>
          <w:sz w:val="24"/>
        </w:rPr>
      </w:pPr>
      <w:r>
        <w:rPr>
          <w:rFonts w:ascii="仿宋_GB2312" w:eastAsia="仿宋_GB2312"/>
          <w:noProof/>
          <w:sz w:val="24"/>
          <w:szCs w:val="21"/>
        </w:rPr>
        <w:pict>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rsidR="004C6F2A" w:rsidRPr="008A1391" w:rsidRDefault="004C6F2A"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1C505F" w:rsidP="00425A8B">
      <w:pPr>
        <w:spacing w:afterLines="50" w:after="156"/>
        <w:rPr>
          <w:rFonts w:eastAsia="仿宋_GB2312"/>
          <w:sz w:val="24"/>
        </w:rPr>
      </w:pPr>
      <w:r>
        <w:rPr>
          <w:rFonts w:ascii="仿宋_GB2312" w:eastAsia="仿宋_GB2312"/>
          <w:noProof/>
          <w:sz w:val="24"/>
          <w:szCs w:val="21"/>
        </w:rPr>
        <w:pict>
          <v:shape id="文本框 209" o:spid="_x0000_s1038" type="#_x0000_t202" style="position:absolute;left:0;text-align:left;margin-left:-161.3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rsidR="004C6F2A" w:rsidRPr="008A1391" w:rsidRDefault="004C6F2A"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1C505F"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1C505F"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1C505F"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rsidR="004C6F2A" w:rsidRPr="001211E9" w:rsidRDefault="004C6F2A"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v:shape id="文本框 210" o:spid="_x0000_s1040" type="#_x0000_t202" style="position:absolute;left:0;text-align:left;margin-left:-133.3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rsidR="004C6F2A" w:rsidRPr="001211E9" w:rsidRDefault="004C6F2A"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72.75pt" o:ole="">
            <v:imagedata r:id="rId8" o:title=""/>
          </v:shape>
          <o:OLEObject Type="Embed" ProgID="Unknown" ShapeID="_x0000_i1028" DrawAspect="Content" ObjectID="_1599584933"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DF6C37" w:rsidP="00425A8B">
      <w:pPr>
        <w:snapToGrid w:val="0"/>
        <w:spacing w:afterLines="50" w:after="156"/>
        <w:contextualSpacing/>
        <w:jc w:val="left"/>
        <w:rPr>
          <w:rFonts w:ascii="仿宋_GB2312" w:eastAsia="仿宋_GB2312"/>
          <w:sz w:val="24"/>
        </w:rPr>
      </w:pPr>
      <w:r>
        <w:rPr>
          <w:rFonts w:ascii="仿宋_GB2312" w:eastAsia="仿宋_GB2312"/>
          <w:noProof/>
          <w:sz w:val="24"/>
          <w:szCs w:val="21"/>
        </w:rPr>
        <w:pict>
          <v:shape id="文本框 212" o:spid="_x0000_s1041" type="#_x0000_t202" style="position:absolute;margin-left:379.1pt;margin-top:89.6pt;width:36.75pt;height:24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rsidR="004C6F2A" w:rsidRPr="001211E9" w:rsidRDefault="004C6F2A" w:rsidP="00C23900">
                  <w:pPr>
                    <w:rPr>
                      <w:rFonts w:eastAsia="仿宋_GB2312"/>
                    </w:rPr>
                  </w:pPr>
                  <w:r>
                    <w:rPr>
                      <w:rFonts w:eastAsia="仿宋_GB2312"/>
                    </w:rPr>
                    <w:t>(16</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w:t>
      </w:r>
      <w:r w:rsidR="001A6F74">
        <w:rPr>
          <w:rFonts w:eastAsia="仿宋_GB2312"/>
          <w:sz w:val="24"/>
        </w:rPr>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lastRenderedPageBreak/>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1C505F" w:rsidP="00CE70C1">
      <w:pPr>
        <w:snapToGrid w:val="0"/>
        <w:ind w:firstLineChars="200" w:firstLine="420"/>
        <w:jc w:val="center"/>
        <w:rPr>
          <w:rFonts w:ascii="仿宋_GB2312" w:eastAsia="仿宋_GB2312"/>
          <w:sz w:val="24"/>
        </w:rPr>
      </w:pPr>
      <w:r>
        <w:rPr>
          <w:noProof/>
        </w:rPr>
        <w:pict>
          <v:shape id="文本框 1082" o:spid="_x0000_s1042" type="#_x0000_t202" style="position:absolute;left:0;text-align:left;margin-left:16.7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rsidR="004C6F2A" w:rsidRDefault="004C6F2A"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1C505F" w:rsidP="00425A8B">
      <w:pPr>
        <w:snapToGrid w:val="0"/>
        <w:spacing w:afterLines="50" w:after="156"/>
        <w:rPr>
          <w:rFonts w:ascii="仿宋_GB2312" w:eastAsia="仿宋_GB2312"/>
          <w:sz w:val="24"/>
        </w:rPr>
      </w:pPr>
      <w:r>
        <w:rPr>
          <w:noProof/>
        </w:rPr>
        <w:pict>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rsidR="004C6F2A" w:rsidRDefault="004C6F2A"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1C50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1C50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1C50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w:t>
      </w:r>
      <w:r w:rsidRPr="006D226D">
        <w:rPr>
          <w:rFonts w:eastAsia="仿宋_GB2312"/>
          <w:sz w:val="24"/>
        </w:rPr>
        <w:lastRenderedPageBreak/>
        <w:t>into 5 categories, which are 0-0.1, 0.1-0.2, 0.2-0.225, 0.225-0.3, 0.3-0.464. We divide the convert rate into 5 categories, which are 0-0.1, 0.1-0.2, 0.20-0.22, 0.22-0.23, 0.23-0.468.</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he previous charts demonstrate, for instance: most of the phones possess 3000 mAh, 4000 mAh, or 4100 mAh battery. The phones with Android sy</w:t>
      </w:r>
      <w:r w:rsidR="006D226D">
        <w:rPr>
          <w:sz w:val="24"/>
          <w:szCs w:val="36"/>
        </w:rPr>
        <w:t>stems lead the ranking of system</w:t>
      </w:r>
      <w:r>
        <w:rPr>
          <w:sz w:val="24"/>
          <w:szCs w:val="36"/>
        </w:rPr>
        <w:t xml:space="preserve">s, while Apple system is the second one. For the phones which achieve </w:t>
      </w:r>
      <w:r>
        <w:rPr>
          <w:sz w:val="24"/>
          <w:szCs w:val="36"/>
        </w:rPr>
        <w:lastRenderedPageBreak/>
        <w:t xml:space="preserve">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1C505F" w:rsidP="00425A8B">
      <w:pPr>
        <w:spacing w:afterLines="50" w:after="156"/>
        <w:rPr>
          <w:rFonts w:eastAsia="仿宋_GB2312"/>
          <w:sz w:val="24"/>
        </w:rPr>
      </w:pPr>
      <w:r>
        <w:rPr>
          <w:rFonts w:ascii="仿宋_GB2312" w:eastAsia="仿宋_GB2312"/>
          <w:noProof/>
          <w:sz w:val="24"/>
          <w:szCs w:val="21"/>
        </w:rPr>
        <w:pict>
          <v:shape id="文本框 1088" o:spid="_x0000_s1044" type="#_x0000_t202" style="position:absolute;left:0;text-align:left;margin-left:-163.3pt;margin-top:158.1pt;width:33.75pt;height:24pt;z-index:25170124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rsidR="004C6F2A" w:rsidRPr="008A1391" w:rsidRDefault="004C6F2A" w:rsidP="001211E9">
                  <w:pPr>
                    <w:rPr>
                      <w:rFonts w:eastAsia="仿宋_GB2312"/>
                    </w:rPr>
                  </w:pPr>
                  <w:r>
                    <w:rPr>
                      <w:rFonts w:eastAsia="仿宋_GB2312"/>
                    </w:rPr>
                    <w:t>(20)</w:t>
                  </w:r>
                </w:p>
              </w:txbxContent>
            </v:textbox>
            <w10:wrap anchorx="margin"/>
          </v:shape>
        </w:pic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lastRenderedPageBreak/>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 xml:space="preserve">egression. We can regard the properties of phones as independent variables, and the sales as dependent variables. Based on the samples, each data can be viewed as a mapping from the independent variables, which </w:t>
      </w:r>
      <w:r>
        <w:rPr>
          <w:rFonts w:eastAsia="仿宋_GB2312"/>
          <w:sz w:val="24"/>
        </w:rPr>
        <w:lastRenderedPageBreak/>
        <w:t>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1C505F" w:rsidP="00425A8B">
      <w:pPr>
        <w:spacing w:afterLines="50" w:after="156"/>
        <w:rPr>
          <w:rFonts w:eastAsia="仿宋_GB2312"/>
          <w:sz w:val="24"/>
        </w:rPr>
      </w:pPr>
      <w:r>
        <w:rPr>
          <w:rFonts w:ascii="仿宋_GB2312" w:eastAsia="仿宋_GB2312"/>
          <w:noProof/>
          <w:sz w:val="24"/>
          <w:szCs w:val="21"/>
        </w:rPr>
        <w:pict>
          <v:shape id="文本框 1089" o:spid="_x0000_s1045" type="#_x0000_t202" style="position:absolute;left:0;text-align:left;margin-left:382.1pt;margin-top:63.85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rsidR="004C6F2A" w:rsidRPr="008A1391" w:rsidRDefault="004C6F2A"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1C505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1C505F" w:rsidP="00425A8B">
      <w:pPr>
        <w:spacing w:afterLines="50" w:after="156"/>
        <w:rPr>
          <w:rFonts w:eastAsia="仿宋_GB2312"/>
          <w:sz w:val="24"/>
        </w:rPr>
      </w:pPr>
      <w:r>
        <w:rPr>
          <w:rFonts w:ascii="仿宋_GB2312" w:eastAsia="仿宋_GB2312"/>
          <w:noProof/>
          <w:sz w:val="24"/>
          <w:szCs w:val="21"/>
        </w:rPr>
        <w:pict>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rsidR="004C6F2A" w:rsidRPr="008A1391" w:rsidRDefault="004C6F2A"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1C505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1C505F" w:rsidP="00425A8B">
      <w:pPr>
        <w:spacing w:afterLines="50" w:after="156"/>
        <w:rPr>
          <w:rFonts w:eastAsia="仿宋_GB2312"/>
          <w:sz w:val="24"/>
        </w:rPr>
      </w:pPr>
      <w:r>
        <w:rPr>
          <w:rFonts w:ascii="仿宋_GB2312" w:eastAsia="仿宋_GB2312"/>
          <w:noProof/>
          <w:sz w:val="24"/>
          <w:szCs w:val="21"/>
        </w:rPr>
        <w:pict>
          <v:shape id="文本框 1091" o:spid="_x0000_s1048" type="#_x0000_t202" style="position:absolute;left:0;text-align:left;margin-left:382.1pt;margin-top:4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rsidR="004C6F2A" w:rsidRPr="008A1391" w:rsidRDefault="004C6F2A" w:rsidP="00A463EB">
                  <w:pPr>
                    <w:rPr>
                      <w:rFonts w:eastAsia="仿宋_GB2312"/>
                    </w:rPr>
                  </w:pPr>
                  <w:r>
                    <w:rPr>
                      <w:rFonts w:eastAsia="仿宋_GB2312"/>
                    </w:rPr>
                    <w:t>(23)</w:t>
                  </w:r>
                </w:p>
              </w:txbxContent>
            </v:textbox>
            <w10:wrap anchorx="margin"/>
          </v:shape>
        </w:pict>
      </w:r>
      <w:r>
        <w:rPr>
          <w:rFonts w:ascii="仿宋_GB2312" w:eastAsia="仿宋_GB2312"/>
          <w:noProof/>
          <w:sz w:val="24"/>
          <w:szCs w:val="21"/>
        </w:rPr>
        <w:pict>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rsidR="004C6F2A" w:rsidRPr="008A1391" w:rsidRDefault="004C6F2A" w:rsidP="00A463EB">
                  <w:pPr>
                    <w:rPr>
                      <w:rFonts w:eastAsia="仿宋_GB2312"/>
                    </w:rPr>
                  </w:pPr>
                  <w:r>
                    <w:rPr>
                      <w:rFonts w:eastAsia="仿宋_GB2312"/>
                    </w:rPr>
                    <w:t>(24)</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 xml:space="preserve">Click Rate </w:t>
            </w:r>
            <w:r w:rsidRPr="00B24D11">
              <w:rPr>
                <w:color w:val="000000"/>
                <w:sz w:val="24"/>
              </w:rPr>
              <w:lastRenderedPageBreak/>
              <w:t>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Lower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Click Rate </w:t>
            </w:r>
            <w:r w:rsidRPr="00B24D11">
              <w:rPr>
                <w:color w:val="000000"/>
                <w:sz w:val="24"/>
              </w:rPr>
              <w:lastRenderedPageBreak/>
              <w:t>Upper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Upper Bound</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1C505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425A8B">
      <w:pPr>
        <w:spacing w:afterLines="50" w:after="156"/>
        <w:rPr>
          <w:rFonts w:eastAsia="仿宋_GB2312"/>
          <w:sz w:val="24"/>
        </w:rPr>
      </w:pPr>
      <w:r>
        <w:rPr>
          <w:rFonts w:eastAsia="仿宋_GB2312"/>
          <w:sz w:val="24"/>
        </w:rPr>
        <w:t>The comparison between the distinction result and the real result is shown in table 17, which shows the accuracy of the distinction. In light of the fact that the accuracy is relative low, which is insufficient to reveal the features of each variable</w:t>
      </w:r>
      <w:r w:rsidR="00C3484E">
        <w:rPr>
          <w:rFonts w:eastAsia="仿宋_GB2312"/>
          <w:sz w:val="24"/>
        </w:rPr>
        <w:t xml:space="preserve"> precisely, we consider taking</w:t>
      </w:r>
      <w:r>
        <w:rPr>
          <w:rFonts w:eastAsia="仿宋_GB2312"/>
          <w:sz w:val="24"/>
        </w:rPr>
        <w:t xml:space="preserve"> the advantage of other methods. </w:t>
      </w:r>
    </w:p>
    <w:p w:rsidR="00214F6F" w:rsidRDefault="00214F6F" w:rsidP="00425A8B">
      <w:pPr>
        <w:snapToGrid w:val="0"/>
        <w:spacing w:afterLines="50" w:after="156"/>
        <w:ind w:firstLineChars="200" w:firstLine="420"/>
        <w:jc w:val="center"/>
        <w:rPr>
          <w:rFonts w:eastAsia="仿宋_GB2312"/>
        </w:rPr>
      </w:pPr>
      <w:r>
        <w:rPr>
          <w:rFonts w:eastAsia="仿宋_GB2312"/>
        </w:rPr>
        <w:t>Table 17: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1C505F"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v:shape id="文本框 1093" o:spid="_x0000_s1049" type="#_x0000_t202" style="position:absolute;left:0;text-align:left;margin-left:-163.3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rsidR="004C6F2A" w:rsidRPr="008A1391" w:rsidRDefault="004C6F2A"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v:shape id="_x0000_i1029" type="#_x0000_t75" style="width:153pt;height:23.25pt" o:ole="">
            <v:imagedata r:id="rId17" o:title=""/>
          </v:shape>
          <o:OLEObject Type="Embed" ProgID="Unknown" ShapeID="_x0000_i1029" DrawAspect="Content" ObjectID="_1599584934"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lastRenderedPageBreak/>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1C505F" w:rsidP="00425A8B">
      <w:pPr>
        <w:spacing w:afterLines="50" w:after="156"/>
        <w:rPr>
          <w:rFonts w:eastAsia="仿宋_GB2312"/>
          <w:sz w:val="24"/>
        </w:rPr>
      </w:pPr>
      <w:r>
        <w:rPr>
          <w:rFonts w:eastAsia="仿宋_GB2312"/>
          <w:noProof/>
          <w:sz w:val="24"/>
        </w:rPr>
        <w:pict>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rsidR="004C6F2A" w:rsidRPr="00A463EB" w:rsidRDefault="004C6F2A"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1C505F"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1C505F"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1C505F" w:rsidP="00425A8B">
      <w:pPr>
        <w:snapToGrid w:val="0"/>
        <w:spacing w:afterLines="50" w:after="156"/>
        <w:ind w:firstLineChars="200" w:firstLine="480"/>
        <w:jc w:val="center"/>
        <w:rPr>
          <w:rFonts w:eastAsia="仿宋_GB2312"/>
        </w:rPr>
      </w:pPr>
      <w:r>
        <w:rPr>
          <w:rFonts w:ascii="仿宋_GB2312" w:eastAsia="仿宋_GB2312"/>
          <w:noProof/>
          <w:sz w:val="24"/>
          <w:szCs w:val="21"/>
        </w:rPr>
        <w:pict>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rsidR="004C6F2A" w:rsidRPr="00A463EB" w:rsidRDefault="004C6F2A"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w:t>
      </w:r>
      <w:r w:rsidRPr="00BB3754">
        <w:rPr>
          <w:sz w:val="24"/>
          <w:szCs w:val="36"/>
        </w:rPr>
        <w:lastRenderedPageBreak/>
        <w:t xml:space="preserve">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1C505F"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4" o:spid="_x0000_s1052" type="#_x0000_t202" style="position:absolute;left:0;text-align:left;margin-left:-163.3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rsidR="004C6F2A" w:rsidRPr="008A1391" w:rsidRDefault="004C6F2A"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1C505F"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5" o:spid="_x0000_s1053" type="#_x0000_t202" style="position:absolute;left:0;text-align:left;margin-left:-163.3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rsidR="004C6F2A" w:rsidRPr="008A1391" w:rsidRDefault="004C6F2A"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1C505F" w:rsidP="00425A8B">
      <w:pPr>
        <w:snapToGrid w:val="0"/>
        <w:spacing w:afterLines="50" w:after="156"/>
        <w:contextualSpacing/>
        <w:jc w:val="left"/>
        <w:rPr>
          <w:sz w:val="24"/>
          <w:szCs w:val="36"/>
        </w:rPr>
      </w:pPr>
      <w:r>
        <w:rPr>
          <w:rFonts w:ascii="仿宋_GB2312" w:eastAsia="仿宋_GB2312"/>
          <w:noProof/>
          <w:sz w:val="24"/>
          <w:szCs w:val="21"/>
        </w:rPr>
        <w:pict>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rsidR="004C6F2A" w:rsidRPr="008A1391" w:rsidRDefault="004C6F2A"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1C505F" w:rsidP="007E7819">
      <w:pPr>
        <w:snapToGrid w:val="0"/>
        <w:spacing w:line="180" w:lineRule="atLeast"/>
        <w:ind w:firstLineChars="200" w:firstLine="480"/>
        <w:contextualSpacing/>
        <w:jc w:val="center"/>
        <w:rPr>
          <w:sz w:val="24"/>
          <w:szCs w:val="36"/>
        </w:rPr>
      </w:pPr>
      <w:r>
        <w:rPr>
          <w:noProof/>
          <w:sz w:val="24"/>
          <w:szCs w:val="36"/>
        </w:rPr>
        <w:pict>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rsidR="004C6F2A" w:rsidRPr="008A1391" w:rsidRDefault="004C6F2A"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1C505F"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anchorlock/>
          </v:group>
        </w:pic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is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B03C0E" w:rsidRPr="00214F6F" w:rsidRDefault="00B03C0E" w:rsidP="00425A8B">
      <w:pPr>
        <w:spacing w:afterLines="50" w:after="156"/>
        <w:rPr>
          <w:sz w:val="24"/>
          <w:szCs w:val="36"/>
        </w:rPr>
      </w:pPr>
    </w:p>
    <w:p w:rsidR="00D550FF" w:rsidRPr="00D550FF" w:rsidRDefault="00187F48" w:rsidP="007E7819">
      <w:pPr>
        <w:spacing w:after="50"/>
        <w:jc w:val="center"/>
        <w:rPr>
          <w:szCs w:val="36"/>
        </w:rPr>
      </w:pPr>
      <w:r>
        <w:rPr>
          <w:szCs w:val="36"/>
        </w:rPr>
        <w:lastRenderedPageBreak/>
        <w:t>Table 20</w:t>
      </w:r>
      <w:r w:rsidR="00D550FF" w:rsidRPr="00D550FF">
        <w:rPr>
          <w:szCs w:val="36"/>
        </w:rPr>
        <w:t>: RAM result in click rate</w:t>
      </w:r>
      <w:r w:rsidR="00741A85">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EE2C6F" w:rsidRDefault="00EE2C6F" w:rsidP="00EE2C6F">
      <w:pPr>
        <w:jc w:val="center"/>
        <w:rPr>
          <w:sz w:val="24"/>
          <w:szCs w:val="36"/>
        </w:rPr>
      </w:pPr>
      <w:r>
        <w:rPr>
          <w:noProof/>
        </w:rPr>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214F6F" w:rsidRDefault="00D550FF" w:rsidP="00425A8B">
      <w:pPr>
        <w:spacing w:afterLines="50" w:after="156"/>
        <w:rPr>
          <w:sz w:val="24"/>
          <w:szCs w:val="36"/>
        </w:rPr>
      </w:pPr>
      <w:r>
        <w:rPr>
          <w:rFonts w:hint="eastAsia"/>
          <w:sz w:val="24"/>
          <w:szCs w:val="36"/>
        </w:rPr>
        <w:lastRenderedPageBreak/>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425A8B">
      <w:pPr>
        <w:snapToGrid w:val="0"/>
        <w:spacing w:afterLines="50" w:after="156"/>
        <w:ind w:firstLineChars="200" w:firstLine="420"/>
        <w:jc w:val="center"/>
        <w:rPr>
          <w:rFonts w:eastAsia="仿宋_GB2312"/>
        </w:rPr>
      </w:pPr>
      <w:r>
        <w:rPr>
          <w:rFonts w:eastAsia="仿宋_GB2312"/>
        </w:rPr>
        <w:t>Table 17: Principal Regression Correlation Coefficient</w:t>
      </w:r>
      <w:r w:rsidR="00636067">
        <w:rPr>
          <w:rFonts w:eastAsia="仿宋_GB2312"/>
        </w:rPr>
        <w:t xml:space="preserve">, which is higher enough for the Regression.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Pr="00940226" w:rsidRDefault="00940226" w:rsidP="00425A8B">
      <w:pPr>
        <w:spacing w:afterLines="50" w:after="156"/>
        <w:jc w:val="center"/>
        <w:rPr>
          <w:szCs w:val="36"/>
        </w:rPr>
      </w:pPr>
      <w:r>
        <w:rPr>
          <w:szCs w:val="36"/>
        </w:rPr>
        <w:t>Table 21</w:t>
      </w:r>
      <w:r w:rsidRPr="00D550FF">
        <w:rPr>
          <w:szCs w:val="36"/>
        </w:rPr>
        <w:t xml:space="preserve">: </w:t>
      </w:r>
      <w:r>
        <w:rPr>
          <w:szCs w:val="36"/>
        </w:rPr>
        <w:t>BP Neural Network Result</w:t>
      </w:r>
      <w:r w:rsidR="00636067">
        <w:rPr>
          <w:szCs w:val="36"/>
        </w:rPr>
        <w:t xml:space="preserve">. The error of some numbers is lower than 1%. </w:t>
      </w:r>
    </w:p>
    <w:p w:rsidR="00940226" w:rsidRPr="00BD5C4E" w:rsidRDefault="00940226" w:rsidP="00940226">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use the BOOST algorithm to get the means of the five result. The result is in the appendix, part of which is as the following table 21. </w:t>
      </w:r>
    </w:p>
    <w:p w:rsidR="00214F6F" w:rsidRPr="009A11F4" w:rsidRDefault="001C505F" w:rsidP="00425A8B">
      <w:pPr>
        <w:spacing w:afterLines="50" w:after="156"/>
        <w:rPr>
          <w:bCs/>
          <w:color w:val="000000"/>
          <w:sz w:val="24"/>
        </w:rPr>
      </w:pPr>
      <w:r>
        <w:rPr>
          <w:bCs/>
          <w:noProof/>
          <w:color w:val="000000"/>
          <w:sz w:val="24"/>
        </w:rPr>
        <w:pict>
          <v:shape id="文本框 1097" o:spid="_x0000_s1056" type="#_x0000_t202" style="position:absolute;left:0;text-align:left;margin-left:-163.3pt;margin-top:86.95pt;width:33.75pt;height:24pt;z-index:2517258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" fillcolor="white [3201]" stroked="f" strokeweight=".5pt">
            <v:path arrowok="t"/>
            <v:textbox style="mso-next-textbox:#文本框 1097">
              <w:txbxContent>
                <w:p w:rsidR="004C6F2A" w:rsidRPr="008A1391" w:rsidRDefault="004C6F2A" w:rsidP="00226B5C">
                  <w:pPr>
                    <w:rPr>
                      <w:rFonts w:eastAsia="仿宋_GB2312"/>
                    </w:rPr>
                  </w:pPr>
                  <w:r>
                    <w:rPr>
                      <w:rFonts w:eastAsia="仿宋_GB2312"/>
                    </w:rPr>
                    <w:t>(32)</w:t>
                  </w:r>
                </w:p>
              </w:txbxContent>
            </v:textbox>
            <w10:wrap anchorx="margin"/>
          </v:shape>
        </w:pict>
      </w:r>
      <w:r w:rsidR="00D844F1" w:rsidRPr="00D844F1">
        <w:rPr>
          <w:bCs/>
          <w:noProof/>
          <w:color w:val="000000"/>
          <w:sz w:val="24"/>
        </w:rPr>
        <w:t xml:space="preserve">It can be seen that some of the predicted data run an accuracy that is higher than 99%. </w:t>
      </w:r>
      <w:r w:rsidR="00D844F1" w:rsidRPr="00D844F1">
        <w:rPr>
          <w:bCs/>
          <w:noProof/>
          <w:color w:val="000000"/>
          <w:sz w:val="24"/>
        </w:rPr>
        <w:lastRenderedPageBreak/>
        <w:t xml:space="preserve">We also utilize a formula to measure the error of our estimation, reaping an average score of 9.45 of click rate and 9.46 of convert rate out of 10, which shows that this </w:t>
      </w:r>
      <w:r w:rsidR="00D12AD8">
        <w:rPr>
          <w:bCs/>
          <w:noProof/>
          <w:color w:val="000000"/>
          <w:sz w:val="24"/>
        </w:rPr>
        <w:pict>
          <v:shape id="_x0000_s1218" type="#_x0000_t202" style="position:absolute;left:0;text-align:left;margin-left:381.55pt;margin-top:70.3pt;width:33.75pt;height:24pt;z-index:2517278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218">
              <w:txbxContent>
                <w:p w:rsidR="00D12AD8" w:rsidRPr="008A1391" w:rsidRDefault="00D12AD8" w:rsidP="00D12AD8">
                  <w:pPr>
                    <w:rPr>
                      <w:rFonts w:eastAsia="仿宋_GB2312"/>
                    </w:rPr>
                  </w:pPr>
                  <w:r>
                    <w:rPr>
                      <w:rFonts w:eastAsia="仿宋_GB2312"/>
                    </w:rPr>
                    <w:t>(32)</w:t>
                  </w:r>
                </w:p>
              </w:txbxContent>
            </v:textbox>
            <w10:wrap anchorx="margin"/>
          </v:shape>
        </w:pict>
      </w:r>
      <w:r w:rsidR="00D844F1" w:rsidRPr="00D844F1">
        <w:rPr>
          <w:bCs/>
          <w:noProof/>
          <w:color w:val="000000"/>
          <w:sz w:val="24"/>
        </w:rPr>
        <w:t>model can successfully reflect the trend. The formula is as the following formula 32.</w:t>
      </w:r>
    </w:p>
    <w:p w:rsidR="00940226" w:rsidRPr="00BD5C4E" w:rsidRDefault="001C505F" w:rsidP="00425A8B">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7E7819"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1C505F" w:rsidP="00425A8B">
      <w:pPr>
        <w:spacing w:afterLines="50" w:after="156"/>
        <w:rPr>
          <w:sz w:val="24"/>
          <w:szCs w:val="36"/>
        </w:rPr>
      </w:pPr>
      <w:r>
        <w:rPr>
          <w:rFonts w:ascii="仿宋_GB2312" w:eastAsia="仿宋_GB2312"/>
          <w:noProof/>
          <w:sz w:val="24"/>
          <w:szCs w:val="21"/>
        </w:rPr>
        <w:pict>
          <v:shape id="_x0000_s1057" type="#_x0000_t202" style="position:absolute;left:0;text-align:left;margin-left:-163.3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rsidR="004C6F2A" w:rsidRPr="008A1391" w:rsidRDefault="004C6F2A" w:rsidP="00A463EB">
                  <w:pPr>
                    <w:rPr>
                      <w:rFonts w:eastAsia="仿宋_GB2312"/>
                    </w:rPr>
                  </w:pPr>
                  <w:r>
                    <w:rPr>
                      <w:rFonts w:eastAsia="仿宋_GB2312"/>
                    </w:rPr>
                    <w:t>(33)</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1C505F" w:rsidP="00425A8B">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D844F1" w:rsidRPr="00D844F1" w:rsidRDefault="00D844F1" w:rsidP="00D844F1">
      <w:pPr>
        <w:spacing w:afterLines="50" w:after="156"/>
        <w:rPr>
          <w:sz w:val="24"/>
          <w:szCs w:val="36"/>
        </w:rPr>
      </w:pPr>
      <w:r w:rsidRPr="00D844F1">
        <w:rPr>
          <w:sz w:val="24"/>
          <w:szCs w:val="36"/>
        </w:rPr>
        <w:t xml:space="preserve">The 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p>
    <w:p w:rsidR="00D844F1" w:rsidRPr="00D844F1" w:rsidRDefault="00D844F1" w:rsidP="00D844F1">
      <w:pPr>
        <w:spacing w:afterLines="50" w:after="156"/>
        <w:rPr>
          <w:sz w:val="24"/>
          <w:szCs w:val="36"/>
        </w:rPr>
      </w:pPr>
      <w:r w:rsidRPr="00D844F1">
        <w:rPr>
          <w:sz w:val="24"/>
          <w:szCs w:val="36"/>
        </w:rPr>
        <w:t>In the formula, x_1denotes the original result of Principal Component Analysis. x_2 denotes the result of Bayes distinction. x_3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Pr="00B03C0E" w:rsidRDefault="00B03C0E" w:rsidP="00B03C0E">
      <w:pPr>
        <w:pStyle w:val="a5"/>
        <w:spacing w:afterLines="50" w:after="156"/>
        <w:ind w:left="360" w:firstLineChars="0" w:firstLine="0"/>
        <w:jc w:val="center"/>
        <w:rPr>
          <w:rFonts w:ascii="Times New Roman"/>
          <w:sz w:val="21"/>
          <w:szCs w:val="21"/>
        </w:rPr>
      </w:pPr>
      <w:r w:rsidRPr="00B03C0E">
        <w:rPr>
          <w:rFonts w:ascii="Times New Roman"/>
          <w:sz w:val="21"/>
          <w:szCs w:val="21"/>
        </w:rPr>
        <w:t>Table 22: Final Result</w:t>
      </w:r>
    </w:p>
    <w:p w:rsidR="00B03C0E" w:rsidRPr="00B03C0E" w:rsidRDefault="00B03C0E" w:rsidP="00B03C0E">
      <w:pPr>
        <w:jc w:val="center"/>
        <w:rPr>
          <w:sz w:val="24"/>
        </w:rPr>
      </w:pPr>
      <w:r>
        <w:rPr>
          <w:noProof/>
        </w:rPr>
        <w:drawing>
          <wp:inline distT="0" distB="0" distL="0" distR="0" wp14:anchorId="7C0494F5" wp14:editId="56D36613">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w:t>
      </w:r>
      <w:r w:rsidR="004D773A">
        <w:rPr>
          <w:sz w:val="24"/>
        </w:rPr>
        <w:lastRenderedPageBreak/>
        <w:t xml:space="preserve">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w:t>
      </w:r>
      <w:r w:rsidRPr="001F24A3">
        <w:rPr>
          <w:bCs/>
          <w:color w:val="000000" w:themeColor="text1"/>
          <w:sz w:val="24"/>
        </w:rPr>
        <w:lastRenderedPageBreak/>
        <w:t>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Despite the specific conclusion and some reasonable explanation, our research also yields significant results in the following four aspects. First, the method concerning AHP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w:t>
      </w:r>
      <w:r w:rsidRPr="0007230F">
        <w:rPr>
          <w:bCs/>
          <w:color w:val="000000" w:themeColor="text1"/>
          <w:sz w:val="24"/>
        </w:rPr>
        <w:lastRenderedPageBreak/>
        <w:t>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Naicong H., Xu Z., Enjun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sidR="003A1FFD">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003A1FFD">
        <w:rPr>
          <w:sz w:val="24"/>
        </w:rPr>
        <w:t xml:space="preserve">, </w:t>
      </w:r>
      <w:r>
        <w:rPr>
          <w:sz w:val="24"/>
        </w:rPr>
        <w:t>Guoufu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Haiwei W. Yu X., Yalin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Pr="003A1FFD"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Default="00255F8D">
      <w:pPr>
        <w:widowControl/>
        <w:jc w:val="left"/>
        <w:rPr>
          <w:bCs/>
          <w:color w:val="000000" w:themeColor="text1"/>
          <w:sz w:val="24"/>
        </w:rPr>
      </w:pPr>
    </w:p>
    <w:sectPr w:rsidR="00255F8D"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05F" w:rsidRDefault="001C505F" w:rsidP="000F3B03">
      <w:r>
        <w:separator/>
      </w:r>
    </w:p>
  </w:endnote>
  <w:endnote w:type="continuationSeparator" w:id="0">
    <w:p w:rsidR="001C505F" w:rsidRDefault="001C505F"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2A" w:rsidRDefault="004C6F2A">
    <w:pPr>
      <w:pStyle w:val="a4"/>
      <w:jc w:val="center"/>
    </w:pPr>
    <w:r>
      <w:fldChar w:fldCharType="begin"/>
    </w:r>
    <w:r>
      <w:instrText>PAGE   \* MERGEFORMAT</w:instrText>
    </w:r>
    <w:r>
      <w:fldChar w:fldCharType="separate"/>
    </w:r>
    <w:r w:rsidR="00DF6C37" w:rsidRPr="00DF6C37">
      <w:rPr>
        <w:noProof/>
        <w:lang w:val="zh-CN"/>
      </w:rPr>
      <w:t>1</w:t>
    </w:r>
    <w:r>
      <w:rPr>
        <w:noProof/>
        <w:lang w:val="zh-CN"/>
      </w:rPr>
      <w:fldChar w:fldCharType="end"/>
    </w:r>
  </w:p>
  <w:p w:rsidR="004C6F2A" w:rsidRDefault="004C6F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05F" w:rsidRDefault="001C505F" w:rsidP="000F3B03">
      <w:r>
        <w:separator/>
      </w:r>
    </w:p>
  </w:footnote>
  <w:footnote w:type="continuationSeparator" w:id="0">
    <w:p w:rsidR="001C505F" w:rsidRDefault="001C505F"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6"/>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5"/>
  </w:num>
  <w:num w:numId="12">
    <w:abstractNumId w:val="12"/>
  </w:num>
  <w:num w:numId="13">
    <w:abstractNumId w:val="8"/>
  </w:num>
  <w:num w:numId="14">
    <w:abstractNumId w:val="9"/>
  </w:num>
  <w:num w:numId="15">
    <w:abstractNumId w:val="1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230F"/>
    <w:rsid w:val="00076284"/>
    <w:rsid w:val="00083F5B"/>
    <w:rsid w:val="0008697F"/>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C505F"/>
    <w:rsid w:val="001C6E16"/>
    <w:rsid w:val="001F24A3"/>
    <w:rsid w:val="001F311B"/>
    <w:rsid w:val="002119C3"/>
    <w:rsid w:val="00214F6F"/>
    <w:rsid w:val="002230DD"/>
    <w:rsid w:val="00224B26"/>
    <w:rsid w:val="00226B5C"/>
    <w:rsid w:val="002312E0"/>
    <w:rsid w:val="002319FD"/>
    <w:rsid w:val="002445FD"/>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4BE1"/>
    <w:rsid w:val="0031728E"/>
    <w:rsid w:val="00350E0F"/>
    <w:rsid w:val="00354C45"/>
    <w:rsid w:val="00356343"/>
    <w:rsid w:val="00374C48"/>
    <w:rsid w:val="00375394"/>
    <w:rsid w:val="003A1FFD"/>
    <w:rsid w:val="003A4C1E"/>
    <w:rsid w:val="003A5784"/>
    <w:rsid w:val="003B1538"/>
    <w:rsid w:val="003B2AAD"/>
    <w:rsid w:val="003B4984"/>
    <w:rsid w:val="003C1421"/>
    <w:rsid w:val="003D21EF"/>
    <w:rsid w:val="003E590A"/>
    <w:rsid w:val="003E681E"/>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915B6"/>
    <w:rsid w:val="00493D23"/>
    <w:rsid w:val="004B3BCC"/>
    <w:rsid w:val="004B4B68"/>
    <w:rsid w:val="004C258E"/>
    <w:rsid w:val="004C4EEA"/>
    <w:rsid w:val="004C5815"/>
    <w:rsid w:val="004C6F2A"/>
    <w:rsid w:val="004D634A"/>
    <w:rsid w:val="004D773A"/>
    <w:rsid w:val="004E0CF1"/>
    <w:rsid w:val="004E1CDA"/>
    <w:rsid w:val="004E3A21"/>
    <w:rsid w:val="004E6193"/>
    <w:rsid w:val="005011FA"/>
    <w:rsid w:val="00511026"/>
    <w:rsid w:val="00511B1C"/>
    <w:rsid w:val="005217AE"/>
    <w:rsid w:val="00523306"/>
    <w:rsid w:val="00524236"/>
    <w:rsid w:val="00531E65"/>
    <w:rsid w:val="00541B0C"/>
    <w:rsid w:val="00555919"/>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36067"/>
    <w:rsid w:val="00644B81"/>
    <w:rsid w:val="006525B4"/>
    <w:rsid w:val="006560FE"/>
    <w:rsid w:val="006637A7"/>
    <w:rsid w:val="00663DD8"/>
    <w:rsid w:val="00667F38"/>
    <w:rsid w:val="00687EE5"/>
    <w:rsid w:val="00690751"/>
    <w:rsid w:val="0069121C"/>
    <w:rsid w:val="00691729"/>
    <w:rsid w:val="00696D3E"/>
    <w:rsid w:val="006A1BAF"/>
    <w:rsid w:val="006B0D11"/>
    <w:rsid w:val="006B5519"/>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D4A12"/>
    <w:rsid w:val="007D519D"/>
    <w:rsid w:val="007D5214"/>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5793"/>
    <w:rsid w:val="009202F3"/>
    <w:rsid w:val="009326A9"/>
    <w:rsid w:val="009331CA"/>
    <w:rsid w:val="00940226"/>
    <w:rsid w:val="00940D6E"/>
    <w:rsid w:val="0094108B"/>
    <w:rsid w:val="00944051"/>
    <w:rsid w:val="00947568"/>
    <w:rsid w:val="0094758A"/>
    <w:rsid w:val="009503D0"/>
    <w:rsid w:val="00951EE6"/>
    <w:rsid w:val="00964CDE"/>
    <w:rsid w:val="009777BF"/>
    <w:rsid w:val="00981A4C"/>
    <w:rsid w:val="0098661C"/>
    <w:rsid w:val="00986F3F"/>
    <w:rsid w:val="009A11F4"/>
    <w:rsid w:val="009B0F8A"/>
    <w:rsid w:val="009B6DE9"/>
    <w:rsid w:val="009C4F9F"/>
    <w:rsid w:val="009C75CF"/>
    <w:rsid w:val="009D3083"/>
    <w:rsid w:val="009E1615"/>
    <w:rsid w:val="009E1C74"/>
    <w:rsid w:val="009E669F"/>
    <w:rsid w:val="009F0449"/>
    <w:rsid w:val="009F1835"/>
    <w:rsid w:val="009F201C"/>
    <w:rsid w:val="009F4F4F"/>
    <w:rsid w:val="00A025FE"/>
    <w:rsid w:val="00A05341"/>
    <w:rsid w:val="00A05C4B"/>
    <w:rsid w:val="00A124AE"/>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42933"/>
    <w:rsid w:val="00C436E2"/>
    <w:rsid w:val="00C43E3D"/>
    <w:rsid w:val="00C51C08"/>
    <w:rsid w:val="00C53723"/>
    <w:rsid w:val="00C634AE"/>
    <w:rsid w:val="00C652CA"/>
    <w:rsid w:val="00C8078C"/>
    <w:rsid w:val="00C81EE6"/>
    <w:rsid w:val="00C83F5F"/>
    <w:rsid w:val="00C869F9"/>
    <w:rsid w:val="00C92FA2"/>
    <w:rsid w:val="00CA2DA0"/>
    <w:rsid w:val="00CB4893"/>
    <w:rsid w:val="00CB7ED0"/>
    <w:rsid w:val="00CC09D5"/>
    <w:rsid w:val="00CC2A1E"/>
    <w:rsid w:val="00CC392E"/>
    <w:rsid w:val="00CC472E"/>
    <w:rsid w:val="00CC68E9"/>
    <w:rsid w:val="00CD3392"/>
    <w:rsid w:val="00CD3C4A"/>
    <w:rsid w:val="00CD71F4"/>
    <w:rsid w:val="00CE70C1"/>
    <w:rsid w:val="00CF1423"/>
    <w:rsid w:val="00D071B4"/>
    <w:rsid w:val="00D11088"/>
    <w:rsid w:val="00D112B6"/>
    <w:rsid w:val="00D12AD8"/>
    <w:rsid w:val="00D2423D"/>
    <w:rsid w:val="00D34FED"/>
    <w:rsid w:val="00D3533F"/>
    <w:rsid w:val="00D46C5C"/>
    <w:rsid w:val="00D54AA2"/>
    <w:rsid w:val="00D54D64"/>
    <w:rsid w:val="00D550FF"/>
    <w:rsid w:val="00D60425"/>
    <w:rsid w:val="00D71539"/>
    <w:rsid w:val="00D837C0"/>
    <w:rsid w:val="00D844F1"/>
    <w:rsid w:val="00D92845"/>
    <w:rsid w:val="00D96E0A"/>
    <w:rsid w:val="00D973DF"/>
    <w:rsid w:val="00D97880"/>
    <w:rsid w:val="00DA2E4F"/>
    <w:rsid w:val="00DA43D9"/>
    <w:rsid w:val="00DA6F41"/>
    <w:rsid w:val="00DB2021"/>
    <w:rsid w:val="00DC7E74"/>
    <w:rsid w:val="00DD5B3D"/>
    <w:rsid w:val="00DD7D2D"/>
    <w:rsid w:val="00DE0AED"/>
    <w:rsid w:val="00DE6C42"/>
    <w:rsid w:val="00DF511E"/>
    <w:rsid w:val="00DF64BF"/>
    <w:rsid w:val="00DF6C37"/>
    <w:rsid w:val="00E0100B"/>
    <w:rsid w:val="00E0118E"/>
    <w:rsid w:val="00E264DF"/>
    <w:rsid w:val="00E354B3"/>
    <w:rsid w:val="00E35721"/>
    <w:rsid w:val="00E35E2C"/>
    <w:rsid w:val="00E42F4D"/>
    <w:rsid w:val="00E45111"/>
    <w:rsid w:val="00E46B20"/>
    <w:rsid w:val="00E606B4"/>
    <w:rsid w:val="00E719E9"/>
    <w:rsid w:val="00E71EF4"/>
    <w:rsid w:val="00E745DF"/>
    <w:rsid w:val="00E8163D"/>
    <w:rsid w:val="00E843A9"/>
    <w:rsid w:val="00E87C6D"/>
    <w:rsid w:val="00E91EF8"/>
    <w:rsid w:val="00E96070"/>
    <w:rsid w:val="00EB12A4"/>
    <w:rsid w:val="00EB72E6"/>
    <w:rsid w:val="00EC02A8"/>
    <w:rsid w:val="00ED3E70"/>
    <w:rsid w:val="00ED6855"/>
    <w:rsid w:val="00EE2C6F"/>
    <w:rsid w:val="00EE67F5"/>
    <w:rsid w:val="00EE6A67"/>
    <w:rsid w:val="00EF40AB"/>
    <w:rsid w:val="00F00A0C"/>
    <w:rsid w:val="00F014FA"/>
    <w:rsid w:val="00F0558B"/>
    <w:rsid w:val="00F06C0A"/>
    <w:rsid w:val="00F0779C"/>
    <w:rsid w:val="00F31D16"/>
    <w:rsid w:val="00F35F5B"/>
    <w:rsid w:val="00F365C7"/>
    <w:rsid w:val="00F377CD"/>
    <w:rsid w:val="00F45570"/>
    <w:rsid w:val="00F46CF3"/>
    <w:rsid w:val="00F5385B"/>
    <w:rsid w:val="00F669FA"/>
    <w:rsid w:val="00F73A3C"/>
    <w:rsid w:val="00F76591"/>
    <w:rsid w:val="00F82230"/>
    <w:rsid w:val="00F93DFA"/>
    <w:rsid w:val="00F966B8"/>
    <w:rsid w:val="00FA3D57"/>
    <w:rsid w:val="00FA4701"/>
    <w:rsid w:val="00FA6EDE"/>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92"/>
        <o:r id="V:Rule6" type="connector" idref="#直接箭头连接符 1087"/>
      </o:rules>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687127712"/>
        <c:axId val="687136960"/>
      </c:scatterChart>
      <c:valAx>
        <c:axId val="687127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136960"/>
        <c:crosses val="autoZero"/>
        <c:crossBetween val="midCat"/>
      </c:valAx>
      <c:valAx>
        <c:axId val="68713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127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687126080"/>
        <c:axId val="687134240"/>
      </c:barChart>
      <c:catAx>
        <c:axId val="68712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134240"/>
        <c:crosses val="autoZero"/>
        <c:auto val="1"/>
        <c:lblAlgn val="ctr"/>
        <c:lblOffset val="100"/>
        <c:noMultiLvlLbl val="0"/>
      </c:catAx>
      <c:valAx>
        <c:axId val="68713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12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687121728"/>
        <c:axId val="687123904"/>
      </c:barChart>
      <c:catAx>
        <c:axId val="687121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123904"/>
        <c:crosses val="autoZero"/>
        <c:auto val="1"/>
        <c:lblAlgn val="ctr"/>
        <c:lblOffset val="100"/>
        <c:noMultiLvlLbl val="0"/>
      </c:catAx>
      <c:valAx>
        <c:axId val="687123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12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2D810-249C-45C2-8564-5C292A9F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36</Pages>
  <Words>10751</Words>
  <Characters>61282</Characters>
  <Application>Microsoft Office Word</Application>
  <DocSecurity>0</DocSecurity>
  <Lines>510</Lines>
  <Paragraphs>143</Paragraphs>
  <ScaleCrop>false</ScaleCrop>
  <Company>番茄花园</Company>
  <LinksUpToDate>false</LinksUpToDate>
  <CharactersWithSpaces>71890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53</cp:revision>
  <dcterms:created xsi:type="dcterms:W3CDTF">2018-09-25T07:27:00Z</dcterms:created>
  <dcterms:modified xsi:type="dcterms:W3CDTF">2018-09-27T12:22:00Z</dcterms:modified>
</cp:coreProperties>
</file>