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F7" w:rsidRDefault="005778C4" w:rsidP="00B46ECB">
      <w:pPr>
        <w:ind w:firstLineChars="200" w:firstLine="480"/>
        <w:rPr>
          <w:rFonts w:ascii="仿宋_GB2312" w:eastAsia="仿宋_GB2312" w:hint="eastAsia"/>
          <w:sz w:val="24"/>
        </w:rPr>
      </w:pPr>
      <w:bookmarkStart w:id="0" w:name="_GoBack"/>
      <w:bookmarkEnd w:id="0"/>
      <w:r w:rsidRPr="005778C4">
        <w:rPr>
          <w:rFonts w:ascii="仿宋_GB2312" w:eastAsia="仿宋_GB2312"/>
          <w:sz w:val="24"/>
        </w:rPr>
        <w:t>本文作出了适当的假设以简化问题</w:t>
      </w:r>
      <w:r w:rsidR="00B51EA6">
        <w:rPr>
          <w:rFonts w:ascii="仿宋_GB2312" w:eastAsia="仿宋_GB2312"/>
          <w:sz w:val="24"/>
        </w:rPr>
        <w:t>，</w:t>
      </w:r>
      <w:r w:rsidR="00B51EA6">
        <w:rPr>
          <w:rFonts w:ascii="Segoe UI Symbol" w:eastAsia="仿宋_GB2312" w:hAnsi="Segoe UI Symbol" w:cs="Segoe UI Symbol"/>
          <w:sz w:val="24"/>
        </w:rPr>
        <w:t>但又不会导致失去信息的价值</w:t>
      </w:r>
      <w:r w:rsidRPr="005778C4">
        <w:rPr>
          <w:rFonts w:ascii="仿宋_GB2312" w:eastAsia="仿宋_GB2312"/>
          <w:sz w:val="24"/>
        </w:rPr>
        <w:t>。本文假设调查得到的所有数据都是真实的，不存在</w:t>
      </w:r>
      <w:r>
        <w:rPr>
          <w:rFonts w:ascii="仿宋_GB2312" w:eastAsia="仿宋_GB2312"/>
          <w:sz w:val="24"/>
        </w:rPr>
        <w:t>因其他因素而产生的干扰。本文假设选定的各个区域产生的外卖订单外卖垃圾是稳定的，在一段时期内不会</w:t>
      </w:r>
      <w:r w:rsidR="00B51EA6">
        <w:rPr>
          <w:rFonts w:ascii="仿宋_GB2312" w:eastAsia="仿宋_GB2312"/>
          <w:sz w:val="24"/>
        </w:rPr>
        <w:t>因为任何因素</w:t>
      </w:r>
      <w:r>
        <w:rPr>
          <w:rFonts w:ascii="仿宋_GB2312" w:eastAsia="仿宋_GB2312"/>
          <w:sz w:val="24"/>
        </w:rPr>
        <w:t>有巨大的波动。本文假设</w:t>
      </w:r>
      <w:r w:rsidRPr="005778C4">
        <w:rPr>
          <w:rFonts w:ascii="仿宋_GB2312" w:eastAsia="仿宋_GB2312"/>
          <w:sz w:val="24"/>
        </w:rPr>
        <w:t>每一个选项内使用餐盒或塑料袋的人数</w:t>
      </w:r>
      <w:r>
        <w:rPr>
          <w:rFonts w:ascii="仿宋_GB2312" w:eastAsia="仿宋_GB2312"/>
          <w:sz w:val="24"/>
        </w:rPr>
        <w:t>在选项的区间内</w:t>
      </w:r>
      <w:r w:rsidRPr="005778C4">
        <w:rPr>
          <w:rFonts w:ascii="仿宋_GB2312" w:eastAsia="仿宋_GB2312"/>
          <w:sz w:val="24"/>
        </w:rPr>
        <w:t>是均匀分布的</w:t>
      </w:r>
      <w:r>
        <w:rPr>
          <w:rFonts w:ascii="仿宋_GB2312" w:eastAsia="仿宋_GB2312"/>
          <w:sz w:val="24"/>
        </w:rPr>
        <w:t>，不存在明显向某一个区段偏移的情况</w:t>
      </w:r>
      <w:r w:rsidRPr="005778C4">
        <w:rPr>
          <w:rFonts w:ascii="仿宋_GB2312" w:eastAsia="仿宋_GB2312"/>
          <w:sz w:val="24"/>
        </w:rPr>
        <w:t>。</w:t>
      </w:r>
      <w:r w:rsidR="00B51EA6">
        <w:rPr>
          <w:rFonts w:ascii="仿宋_GB2312" w:eastAsia="仿宋_GB2312"/>
          <w:sz w:val="24"/>
        </w:rPr>
        <w:t>本文假设在网上调查得到的数据在地理地域范围上是均一的，不会存在因为地域差别而产生明显的差别。本文</w:t>
      </w:r>
      <w:r w:rsidR="00B51EA6">
        <w:rPr>
          <w:rFonts w:ascii="仿宋_GB2312" w:eastAsia="仿宋_GB2312"/>
          <w:sz w:val="24"/>
        </w:rPr>
        <w:t>还</w:t>
      </w:r>
      <w:r w:rsidR="00B51EA6">
        <w:rPr>
          <w:rFonts w:ascii="仿宋_GB2312" w:eastAsia="仿宋_GB2312"/>
          <w:sz w:val="24"/>
        </w:rPr>
        <w:t>假设外卖使用的如塑料袋，塑料盒，纸餐盒等不存在因制造厂商等因素而产生差别。各类</w:t>
      </w:r>
      <w:r w:rsidR="00B51EA6">
        <w:rPr>
          <w:rFonts w:ascii="仿宋_GB2312" w:eastAsia="仿宋_GB2312"/>
          <w:sz w:val="24"/>
        </w:rPr>
        <w:t>塑料袋，塑料盒，纸餐盒</w:t>
      </w:r>
      <w:r w:rsidR="00B51EA6">
        <w:rPr>
          <w:rFonts w:ascii="仿宋_GB2312" w:eastAsia="仿宋_GB2312"/>
          <w:sz w:val="24"/>
        </w:rPr>
        <w:t>是一样的。</w:t>
      </w:r>
    </w:p>
    <w:p w:rsidR="006004F7" w:rsidRDefault="006004F7" w:rsidP="005778C4">
      <w:pPr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本文使用了较多的符号以清晰和简明文章中的表达。符号说明如下表，未在下表中说明的符号将在文章中进行说明。</w:t>
      </w:r>
    </w:p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B46ECB" w:rsidRPr="00E908B6" w:rsidTr="006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B46ECB" w:rsidRDefault="00B46ECB" w:rsidP="006C6A0C">
            <w:pPr>
              <w:jc w:val="center"/>
              <w:rPr>
                <w:rFonts w:ascii="仿宋_GB2312" w:eastAsia="仿宋_GB2312"/>
                <w:bCs w:val="0"/>
                <w:sz w:val="24"/>
              </w:rPr>
            </w:pPr>
            <w:r w:rsidRPr="00B46ECB">
              <w:rPr>
                <w:rFonts w:ascii="仿宋_GB2312" w:eastAsia="仿宋_GB2312"/>
                <w:bCs w:val="0"/>
                <w:sz w:val="24"/>
              </w:rPr>
              <w:t>符号</w:t>
            </w:r>
          </w:p>
        </w:tc>
        <w:tc>
          <w:tcPr>
            <w:tcW w:w="6741" w:type="dxa"/>
          </w:tcPr>
          <w:p w:rsidR="00B46ECB" w:rsidRPr="00B46ECB" w:rsidRDefault="00B46ECB" w:rsidP="006C6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bCs w:val="0"/>
                <w:sz w:val="24"/>
              </w:rPr>
            </w:pPr>
            <w:r w:rsidRPr="00B46ECB">
              <w:rPr>
                <w:rFonts w:ascii="仿宋_GB2312" w:eastAsia="仿宋_GB2312"/>
                <w:bCs w:val="0"/>
                <w:sz w:val="24"/>
              </w:rPr>
              <w:t>定义</w:t>
            </w:r>
          </w:p>
        </w:tc>
      </w:tr>
      <w:tr w:rsidR="00B46ECB" w:rsidRPr="00E908B6" w:rsidTr="006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E908B6" w:rsidRDefault="00B46ECB" w:rsidP="006C6A0C">
            <w:pPr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oMath>
            </m:oMathPara>
          </w:p>
        </w:tc>
        <w:tc>
          <w:tcPr>
            <w:tcW w:w="6741" w:type="dxa"/>
          </w:tcPr>
          <w:p w:rsidR="00B46ECB" w:rsidRPr="00B46ECB" w:rsidRDefault="00B46ECB" w:rsidP="006C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自变量</w:t>
            </w:r>
          </w:p>
        </w:tc>
      </w:tr>
      <w:tr w:rsidR="00B46ECB" w:rsidRPr="00E908B6" w:rsidTr="006C6A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E908B6" w:rsidRDefault="00B46ECB" w:rsidP="00B46ECB">
            <w:pPr>
              <w:rPr>
                <w:rFonts w:eastAsia="等线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y</m:t>
                </m:r>
              </m:oMath>
            </m:oMathPara>
          </w:p>
        </w:tc>
        <w:tc>
          <w:tcPr>
            <w:tcW w:w="6741" w:type="dxa"/>
          </w:tcPr>
          <w:p w:rsidR="00B46ECB" w:rsidRPr="00B46ECB" w:rsidRDefault="00B46ECB" w:rsidP="006C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因变量</w:t>
            </w:r>
          </w:p>
        </w:tc>
      </w:tr>
      <w:tr w:rsidR="00B46ECB" w:rsidRPr="00E908B6" w:rsidTr="006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E908B6" w:rsidRDefault="00B46ECB" w:rsidP="006C6A0C">
            <w:pPr>
              <w:rPr>
                <w:rFonts w:eastAsia="等线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σ</m:t>
                </m:r>
              </m:oMath>
            </m:oMathPara>
          </w:p>
        </w:tc>
        <w:tc>
          <w:tcPr>
            <w:tcW w:w="6741" w:type="dxa"/>
          </w:tcPr>
          <w:p w:rsidR="00B46ECB" w:rsidRPr="00B46ECB" w:rsidRDefault="00B46ECB" w:rsidP="006C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数据矩阵的方差</w:t>
            </w:r>
          </w:p>
        </w:tc>
      </w:tr>
      <w:tr w:rsidR="00B46ECB" w:rsidRPr="00E908B6" w:rsidTr="006C6A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B46ECB" w:rsidRDefault="00B46ECB" w:rsidP="006C6A0C">
            <w:pPr>
              <w:rPr>
                <w:rFonts w:eastAsia="等线"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2"/>
                  </w:rPr>
                  <m:t>Σ</m:t>
                </m:r>
              </m:oMath>
            </m:oMathPara>
          </w:p>
        </w:tc>
        <w:tc>
          <w:tcPr>
            <w:tcW w:w="6741" w:type="dxa"/>
          </w:tcPr>
          <w:p w:rsidR="00B46ECB" w:rsidRPr="00B46ECB" w:rsidRDefault="00B46ECB" w:rsidP="006C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向量的协方差矩阵</w:t>
            </w:r>
          </w:p>
        </w:tc>
      </w:tr>
      <w:tr w:rsidR="00B46ECB" w:rsidRPr="00E908B6" w:rsidTr="006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3F3A6E" w:rsidRDefault="00B46ECB" w:rsidP="006C6A0C">
            <w:pPr>
              <w:jc w:val="center"/>
              <w:rPr>
                <w:rFonts w:eastAsia="等线"/>
                <w:i/>
                <w:sz w:val="22"/>
              </w:rPr>
            </w:pPr>
            <w:r>
              <w:rPr>
                <w:rFonts w:eastAsia="等线"/>
                <w:i/>
                <w:sz w:val="22"/>
              </w:rPr>
              <w:t>P</w:t>
            </w:r>
          </w:p>
        </w:tc>
        <w:tc>
          <w:tcPr>
            <w:tcW w:w="6741" w:type="dxa"/>
          </w:tcPr>
          <w:p w:rsidR="00B46ECB" w:rsidRPr="00B46ECB" w:rsidRDefault="00B46ECB" w:rsidP="006C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事件概率</w:t>
            </w:r>
          </w:p>
        </w:tc>
      </w:tr>
      <w:tr w:rsidR="00B46ECB" w:rsidRPr="00E908B6" w:rsidTr="006C6A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Default="00B46ECB" w:rsidP="006C6A0C">
            <w:pPr>
              <w:jc w:val="center"/>
              <w:rPr>
                <w:rFonts w:eastAsia="等线"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2"/>
                  </w:rPr>
                  <m:t>β</m:t>
                </m:r>
              </m:oMath>
            </m:oMathPara>
          </w:p>
        </w:tc>
        <w:tc>
          <w:tcPr>
            <w:tcW w:w="6741" w:type="dxa"/>
          </w:tcPr>
          <w:p w:rsidR="00B46ECB" w:rsidRPr="00B46ECB" w:rsidRDefault="00B46ECB" w:rsidP="006C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多项式的常数项或者系数</w:t>
            </w:r>
          </w:p>
        </w:tc>
      </w:tr>
      <w:tr w:rsidR="00B46ECB" w:rsidRPr="00E908B6" w:rsidTr="006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6ECB" w:rsidRPr="00B46ECB" w:rsidRDefault="00B46ECB" w:rsidP="006C6A0C">
            <w:pPr>
              <w:jc w:val="center"/>
              <w:rPr>
                <w:rFonts w:eastAsia="等线"/>
                <w:i/>
                <w:sz w:val="22"/>
              </w:rPr>
            </w:pPr>
            <w:r w:rsidRPr="00B46ECB">
              <w:rPr>
                <w:rFonts w:eastAsia="等线"/>
                <w:i/>
                <w:sz w:val="22"/>
              </w:rPr>
              <w:t>a</w:t>
            </w:r>
          </w:p>
        </w:tc>
        <w:tc>
          <w:tcPr>
            <w:tcW w:w="6741" w:type="dxa"/>
          </w:tcPr>
          <w:p w:rsidR="00B46ECB" w:rsidRDefault="00B46ECB" w:rsidP="006C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某一个选项的选择人数</w:t>
            </w:r>
          </w:p>
        </w:tc>
      </w:tr>
    </w:tbl>
    <w:p w:rsidR="00B46ECB" w:rsidRPr="00B46ECB" w:rsidRDefault="00B46ECB" w:rsidP="005778C4">
      <w:pPr>
        <w:ind w:firstLineChars="200" w:firstLine="480"/>
        <w:rPr>
          <w:rFonts w:ascii="仿宋_GB2312" w:eastAsia="仿宋_GB2312" w:hint="eastAsia"/>
          <w:sz w:val="24"/>
        </w:rPr>
      </w:pPr>
    </w:p>
    <w:sectPr w:rsidR="00B46ECB" w:rsidRPr="00B46E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3E" w:rsidRDefault="009B103E" w:rsidP="005778C4">
      <w:r>
        <w:separator/>
      </w:r>
    </w:p>
  </w:endnote>
  <w:endnote w:type="continuationSeparator" w:id="0">
    <w:p w:rsidR="009B103E" w:rsidRDefault="009B103E" w:rsidP="0057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3E" w:rsidRDefault="009B103E" w:rsidP="005778C4">
      <w:r>
        <w:separator/>
      </w:r>
    </w:p>
  </w:footnote>
  <w:footnote w:type="continuationSeparator" w:id="0">
    <w:p w:rsidR="009B103E" w:rsidRDefault="009B103E" w:rsidP="00577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42"/>
    <w:rsid w:val="003818E0"/>
    <w:rsid w:val="005778C4"/>
    <w:rsid w:val="006004F7"/>
    <w:rsid w:val="008C6B42"/>
    <w:rsid w:val="009B103E"/>
    <w:rsid w:val="00B46ECB"/>
    <w:rsid w:val="00B51EA6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F7877-2823-4313-B3D7-024E0E2D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8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8C4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B46EC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5</cp:revision>
  <dcterms:created xsi:type="dcterms:W3CDTF">2018-02-24T11:48:00Z</dcterms:created>
  <dcterms:modified xsi:type="dcterms:W3CDTF">2018-02-24T12:07:00Z</dcterms:modified>
</cp:coreProperties>
</file>