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CAA" w:rsidRDefault="00C03942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   </w:t>
      </w:r>
      <w:r w:rsidRPr="00657C04">
        <w:rPr>
          <w:rFonts w:ascii="仿宋_GB2312" w:eastAsia="仿宋_GB2312" w:hint="eastAsia"/>
          <w:szCs w:val="21"/>
        </w:rPr>
        <w:t>在对垃圾的两部定价法及博弈论辅助分析之后，为了让垃圾的价格制定更加科学，本文将用层次分析法对不同种类的垃圾定价进行考量与分析</w:t>
      </w:r>
    </w:p>
    <w:p w:rsidR="00C03942" w:rsidRDefault="00C03942">
      <w:pPr>
        <w:rPr>
          <w:rFonts w:ascii="仿宋_GB2312" w:eastAsia="仿宋_GB2312" w:hint="eastAsia"/>
          <w:szCs w:val="21"/>
        </w:rPr>
      </w:pP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  <w:r w:rsidRPr="00657C04">
        <w:rPr>
          <w:rFonts w:ascii="仿宋_GB2312" w:eastAsia="仿宋_GB2312" w:hint="eastAsia"/>
          <w:szCs w:val="21"/>
        </w:rPr>
        <w:t>目标层设定为选取制定不同种类类垃圾合理收费标准；准则层方面，根据相关资料的查阅，本文决定考虑处理难易程度，垃圾弹性，可能造成的环境污染及不同垃圾运输成本作为分析的标准，其中处理难易程度与环境污染覆盖了垃圾处理方面，垃圾弹性覆盖了垃圾自身性质与消费</w:t>
      </w:r>
      <w:r w:rsidRPr="00C03942">
        <w:rPr>
          <w:rFonts w:ascii="仿宋_GB2312" w:eastAsia="仿宋_GB2312" w:hint="eastAsia"/>
          <w:szCs w:val="21"/>
        </w:rPr>
        <w:t>者对其的影响，而运输成本覆盖到了垃圾运输费方面，因此准则层如此制定考虑的影响因素具有很高的合理性。在方案层上，本文选取的不同垃圾种类为可回收物，厨余垃圾及不可回收垃圾</w:t>
      </w:r>
      <w:r w:rsidRPr="00657C04">
        <w:rPr>
          <w:rFonts w:ascii="仿宋_GB2312" w:eastAsia="仿宋_GB2312" w:hint="eastAsia"/>
          <w:szCs w:val="21"/>
        </w:rPr>
        <w:t>，此三方面基本覆盖了大部分产生的生活垃圾，使得模型更进一步具有普适性。层次分析模型构建如图所示。</w:t>
      </w: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  <w:r w:rsidRPr="00C03942">
        <w:rPr>
          <w:rFonts w:ascii="仿宋_GB2312" w:eastAsia="仿宋_GB2312" w:hint="eastAsia"/>
          <w:szCs w:val="21"/>
        </w:rPr>
        <w:t>本文</w:t>
      </w:r>
      <w:r>
        <w:rPr>
          <w:rFonts w:ascii="仿宋_GB2312" w:eastAsia="仿宋_GB2312" w:hint="eastAsia"/>
          <w:szCs w:val="21"/>
        </w:rPr>
        <w:t>将准则层相对重要程度进行量化，</w:t>
      </w:r>
      <w:r w:rsidRPr="00B46A2C">
        <w:rPr>
          <w:rFonts w:ascii="仿宋_GB2312" w:eastAsia="仿宋_GB2312" w:hint="eastAsia"/>
          <w:szCs w:val="21"/>
        </w:rPr>
        <w:t>从此四个方面进行的资料查阅与分析，总结得出</w:t>
      </w:r>
      <w:r>
        <w:rPr>
          <w:rFonts w:ascii="仿宋_GB2312" w:eastAsia="仿宋_GB2312" w:hint="eastAsia"/>
          <w:szCs w:val="21"/>
        </w:rPr>
        <w:t>如表所示</w:t>
      </w:r>
      <w:r w:rsidR="00354353">
        <w:rPr>
          <w:rFonts w:ascii="仿宋_GB2312" w:eastAsia="仿宋_GB2312" w:hint="eastAsia"/>
          <w:szCs w:val="21"/>
        </w:rPr>
        <w:t>的</w:t>
      </w:r>
      <w:r w:rsidR="00354353" w:rsidRPr="00B46A2C">
        <w:rPr>
          <w:rFonts w:ascii="仿宋_GB2312" w:eastAsia="仿宋_GB2312" w:hint="eastAsia"/>
          <w:szCs w:val="21"/>
        </w:rPr>
        <w:t>对比矩阵</w:t>
      </w:r>
    </w:p>
    <w:p w:rsidR="00C03942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</w:p>
    <w:p w:rsidR="00354353" w:rsidRDefault="00C03942" w:rsidP="00C03942">
      <w:pPr>
        <w:ind w:firstLineChars="200" w:firstLine="420"/>
        <w:rPr>
          <w:rFonts w:ascii="仿宋_GB2312" w:eastAsia="仿宋_GB2312" w:hint="eastAsia"/>
          <w:szCs w:val="21"/>
        </w:rPr>
      </w:pPr>
      <w:r w:rsidRPr="00C94963">
        <w:rPr>
          <w:rFonts w:ascii="仿宋_GB2312" w:eastAsia="仿宋_GB2312" w:hint="eastAsia"/>
          <w:szCs w:val="21"/>
        </w:rPr>
        <w:t>对于准则层权重分析，本文引入一致性指标进行一致性验证。</w:t>
      </w:r>
      <w:r w:rsidR="00C809B1">
        <w:rPr>
          <w:rFonts w:ascii="仿宋_GB2312" w:eastAsia="仿宋_GB2312" w:hint="eastAsia"/>
          <w:szCs w:val="21"/>
        </w:rPr>
        <w:t>因</w:t>
      </w:r>
      <w:r w:rsidRPr="00C94963">
        <w:rPr>
          <w:rFonts w:ascii="仿宋_GB2312" w:eastAsia="仿宋_GB2312" w:hint="eastAsia"/>
          <w:szCs w:val="21"/>
        </w:rPr>
        <w:t>人们在主观确定判断矩阵是不可能完全一致，需要用一致性指标</w:t>
      </w:r>
      <w:r w:rsidR="00354353">
        <w:rPr>
          <w:rFonts w:ascii="仿宋_GB2312" w:eastAsia="仿宋_GB2312" w:hint="eastAsia"/>
          <w:szCs w:val="21"/>
        </w:rPr>
        <w:t>进行</w:t>
      </w:r>
      <w:r w:rsidRPr="00C94963">
        <w:rPr>
          <w:rFonts w:ascii="仿宋_GB2312" w:eastAsia="仿宋_GB2312" w:hint="eastAsia"/>
          <w:szCs w:val="21"/>
        </w:rPr>
        <w:t>检验</w:t>
      </w:r>
    </w:p>
    <w:p w:rsidR="00354353" w:rsidRDefault="00354353" w:rsidP="00354353">
      <w:pPr>
        <w:spacing w:line="400" w:lineRule="atLeast"/>
        <w:jc w:val="center"/>
        <w:rPr>
          <w:rFonts w:ascii="仿宋_GB2312" w:eastAsia="仿宋_GB2312" w:hint="eastAsia"/>
          <w:szCs w:val="21"/>
        </w:rPr>
      </w:pPr>
    </w:p>
    <w:p w:rsidR="00C03942" w:rsidRDefault="00354353" w:rsidP="00354353">
      <w:pPr>
        <w:spacing w:line="400" w:lineRule="atLeast"/>
        <w:jc w:val="center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由一致性指标与一致性比率之值可以看出</w:t>
      </w:r>
      <w:r w:rsidR="00C809B1">
        <w:rPr>
          <w:rFonts w:ascii="仿宋_GB2312" w:eastAsia="仿宋_GB2312" w:hint="eastAsia"/>
          <w:szCs w:val="21"/>
        </w:rPr>
        <w:t>矩阵通过一致性检验</w:t>
      </w:r>
      <w:r>
        <w:rPr>
          <w:rFonts w:ascii="仿宋_GB2312" w:eastAsia="仿宋_GB2312" w:hint="eastAsia"/>
          <w:szCs w:val="21"/>
        </w:rPr>
        <w:t xml:space="preserve"> 最终权向量如下</w:t>
      </w:r>
    </w:p>
    <w:p w:rsidR="00354353" w:rsidRDefault="00354353" w:rsidP="00C03942">
      <w:pPr>
        <w:ind w:firstLineChars="200" w:firstLine="420"/>
        <w:rPr>
          <w:rFonts w:ascii="仿宋_GB2312" w:eastAsia="仿宋_GB2312" w:hint="eastAsia"/>
          <w:szCs w:val="21"/>
        </w:rPr>
      </w:pPr>
    </w:p>
    <w:p w:rsidR="00C03942" w:rsidRPr="00C03942" w:rsidRDefault="00C03942" w:rsidP="00C03942">
      <w:pPr>
        <w:ind w:firstLineChars="200" w:firstLine="420"/>
        <w:rPr>
          <w:rFonts w:ascii="仿宋_GB2312" w:eastAsia="仿宋_GB2312"/>
          <w:szCs w:val="21"/>
        </w:rPr>
      </w:pPr>
      <w:r w:rsidRPr="00D70370">
        <w:rPr>
          <w:rFonts w:ascii="仿宋_GB2312" w:eastAsia="仿宋_GB2312" w:hint="eastAsia"/>
          <w:szCs w:val="21"/>
        </w:rPr>
        <w:t>类似的，本文继续计算方案层对准则层的权重</w:t>
      </w:r>
    </w:p>
    <w:p w:rsidR="00C03942" w:rsidRDefault="00C03942">
      <w:pPr>
        <w:rPr>
          <w:rFonts w:hint="eastAsia"/>
        </w:rPr>
      </w:pPr>
    </w:p>
    <w:p w:rsidR="00C03942" w:rsidRDefault="00C03942">
      <w:pPr>
        <w:rPr>
          <w:rFonts w:ascii="仿宋_GB2312" w:eastAsia="仿宋_GB2312" w:hint="eastAsia"/>
          <w:szCs w:val="21"/>
        </w:rPr>
      </w:pPr>
      <w:r>
        <w:rPr>
          <w:rFonts w:hint="eastAsia"/>
        </w:rPr>
        <w:t xml:space="preserve">    </w:t>
      </w:r>
      <w:r w:rsidR="00AA195C">
        <w:rPr>
          <w:rFonts w:ascii="仿宋_GB2312" w:eastAsia="仿宋_GB2312" w:hint="eastAsia"/>
          <w:szCs w:val="21"/>
        </w:rPr>
        <w:t>这里本文对塑料类，金属类和纸归</w:t>
      </w:r>
      <w:r w:rsidRPr="00D70370">
        <w:rPr>
          <w:rFonts w:ascii="仿宋_GB2312" w:eastAsia="仿宋_GB2312" w:hint="eastAsia"/>
          <w:szCs w:val="21"/>
        </w:rPr>
        <w:t>为可回收物，化妆</w:t>
      </w:r>
      <w:r w:rsidR="00354353">
        <w:rPr>
          <w:rFonts w:ascii="仿宋_GB2312" w:eastAsia="仿宋_GB2312" w:hint="eastAsia"/>
          <w:szCs w:val="21"/>
        </w:rPr>
        <w:t>品和衣物家具归并为不可回收，进行其弹性系数的代数平均作为其权重。</w:t>
      </w:r>
    </w:p>
    <w:p w:rsidR="00C03942" w:rsidRDefault="00C03942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   </w:t>
      </w:r>
    </w:p>
    <w:p w:rsidR="00C03942" w:rsidRDefault="00C03942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 xml:space="preserve">    </w:t>
      </w:r>
      <w:r w:rsidR="00AA195C">
        <w:rPr>
          <w:rFonts w:ascii="仿宋_GB2312" w:eastAsia="仿宋_GB2312" w:hint="eastAsia"/>
          <w:szCs w:val="21"/>
        </w:rPr>
        <w:t>表为得出的</w:t>
      </w:r>
      <w:r w:rsidRPr="00D70370">
        <w:rPr>
          <w:rFonts w:ascii="仿宋_GB2312" w:eastAsia="仿宋_GB2312" w:hint="eastAsia"/>
          <w:szCs w:val="21"/>
        </w:rPr>
        <w:t>各准则层对方案层的权重</w:t>
      </w:r>
    </w:p>
    <w:p w:rsidR="00C03942" w:rsidRDefault="00C03942">
      <w:pPr>
        <w:rPr>
          <w:rFonts w:ascii="仿宋_GB2312" w:eastAsia="仿宋_GB2312" w:hint="eastAsia"/>
          <w:szCs w:val="21"/>
        </w:rPr>
      </w:pPr>
    </w:p>
    <w:p w:rsidR="00C03942" w:rsidRDefault="00C03942">
      <w:r>
        <w:rPr>
          <w:rFonts w:ascii="仿宋_GB2312" w:eastAsia="仿宋_GB2312" w:hint="eastAsia"/>
          <w:szCs w:val="21"/>
        </w:rPr>
        <w:t xml:space="preserve">    之后本文对各方案层</w:t>
      </w:r>
      <w:r w:rsidR="00A24B38">
        <w:rPr>
          <w:rFonts w:ascii="仿宋_GB2312" w:eastAsia="仿宋_GB2312" w:hint="eastAsia"/>
          <w:szCs w:val="21"/>
        </w:rPr>
        <w:t>权值的一致阵进行了归一化，并最终</w:t>
      </w:r>
      <w:r w:rsidR="00A24B38" w:rsidRPr="00D70370">
        <w:rPr>
          <w:rFonts w:ascii="仿宋_GB2312" w:eastAsia="仿宋_GB2312" w:hint="eastAsia"/>
          <w:szCs w:val="21"/>
        </w:rPr>
        <w:t>得到组合权向</w:t>
      </w:r>
      <w:r w:rsidR="00A24B38">
        <w:rPr>
          <w:rFonts w:ascii="仿宋_GB2312" w:eastAsia="仿宋_GB2312" w:hint="eastAsia"/>
          <w:szCs w:val="21"/>
        </w:rPr>
        <w:t>如表</w:t>
      </w:r>
    </w:p>
    <w:sectPr w:rsidR="00C03942" w:rsidSect="00C8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3942"/>
    <w:rsid w:val="00354353"/>
    <w:rsid w:val="007969D3"/>
    <w:rsid w:val="007F2069"/>
    <w:rsid w:val="00A24B38"/>
    <w:rsid w:val="00A50324"/>
    <w:rsid w:val="00AA195C"/>
    <w:rsid w:val="00C03942"/>
    <w:rsid w:val="00C809B1"/>
    <w:rsid w:val="00C87A25"/>
    <w:rsid w:val="00CD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A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liliyan</dc:creator>
  <cp:lastModifiedBy>liliyan</cp:lastModifiedBy>
  <cp:revision>3</cp:revision>
  <dcterms:created xsi:type="dcterms:W3CDTF">2018-05-20T11:12:00Z</dcterms:created>
  <dcterms:modified xsi:type="dcterms:W3CDTF">2018-05-20T12:31:00Z</dcterms:modified>
</cp:coreProperties>
</file>