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44" w:rsidRDefault="00040044" w:rsidP="00040044">
      <w:pPr>
        <w:ind w:firstLine="420"/>
      </w:pPr>
      <w:bookmarkStart w:id="0" w:name="_GoBack"/>
      <w:bookmarkEnd w:id="0"/>
      <w:r>
        <w:rPr>
          <w:rFonts w:hint="eastAsia"/>
        </w:rPr>
        <w:t>类似的，本文继续计算方案层对准则层的权重。对于垃圾处理难易程度和环境污染的确定，本文参考了</w:t>
      </w:r>
      <w:r w:rsidR="000D1723" w:rsidRPr="00040044">
        <w:rPr>
          <w:rFonts w:hint="eastAsia"/>
        </w:rPr>
        <w:t>王靖琦</w:t>
      </w:r>
      <w:r w:rsidR="000D1723">
        <w:rPr>
          <w:rFonts w:hint="eastAsia"/>
        </w:rPr>
        <w:t>等学者研究成果，确定了各种垃圾的权重，对于垃圾弹性的确定，本文在前述章节中已经得出了其弹性系数，本文用此弹性系数作为权重。这里本文对塑料类，金属类和纸归并为可回收物，化妆品和衣物家具归并为不可回收，进行其弹性系数的代数平均作为其权重。由于运输成本在在各类垃圾中相差不大，因此本文取其权重都为</w:t>
      </w:r>
      <w:r w:rsidR="000D1723">
        <w:rPr>
          <w:rFonts w:hint="eastAsia"/>
        </w:rPr>
        <w:t>1</w:t>
      </w:r>
      <w:r w:rsidR="000D1723">
        <w:rPr>
          <w:rFonts w:hint="eastAsia"/>
        </w:rPr>
        <w:t>。</w:t>
      </w:r>
    </w:p>
    <w:p w:rsidR="0092376F" w:rsidRDefault="000D1723" w:rsidP="00040044">
      <w:pPr>
        <w:ind w:firstLine="420"/>
      </w:pPr>
      <w:r>
        <w:rPr>
          <w:rFonts w:hint="eastAsia"/>
        </w:rPr>
        <w:t>由以上得</w:t>
      </w:r>
      <w:r w:rsidR="00040044">
        <w:rPr>
          <w:rFonts w:hint="eastAsia"/>
        </w:rPr>
        <w:t>各准则层对方案层的权重如下：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13"/>
        <w:gridCol w:w="1736"/>
        <w:gridCol w:w="1737"/>
        <w:gridCol w:w="1736"/>
        <w:gridCol w:w="1737"/>
      </w:tblGrid>
      <w:tr w:rsidR="00040044" w:rsidTr="007B1086">
        <w:tc>
          <w:tcPr>
            <w:tcW w:w="1413" w:type="dxa"/>
          </w:tcPr>
          <w:p w:rsidR="00040044" w:rsidRDefault="00040044" w:rsidP="007B1086"/>
        </w:tc>
        <w:tc>
          <w:tcPr>
            <w:tcW w:w="1736" w:type="dxa"/>
          </w:tcPr>
          <w:p w:rsidR="00040044" w:rsidRDefault="00040044" w:rsidP="007B1086">
            <w:r>
              <w:t>C</w:t>
            </w:r>
            <w:r w:rsidRPr="000F6908">
              <w:rPr>
                <w:vertAlign w:val="subscript"/>
              </w:rPr>
              <w:t>1</w:t>
            </w:r>
            <w:r>
              <w:t>难易程度</w:t>
            </w:r>
          </w:p>
        </w:tc>
        <w:tc>
          <w:tcPr>
            <w:tcW w:w="1737" w:type="dxa"/>
          </w:tcPr>
          <w:p w:rsidR="00040044" w:rsidRDefault="00040044" w:rsidP="007B1086">
            <w:r>
              <w:t>C</w:t>
            </w:r>
            <w:r w:rsidRPr="000F6908">
              <w:rPr>
                <w:vertAlign w:val="subscript"/>
              </w:rPr>
              <w:t>2</w:t>
            </w:r>
            <w:r>
              <w:t>垃圾弹性</w:t>
            </w:r>
          </w:p>
        </w:tc>
        <w:tc>
          <w:tcPr>
            <w:tcW w:w="1736" w:type="dxa"/>
          </w:tcPr>
          <w:p w:rsidR="00040044" w:rsidRDefault="00040044" w:rsidP="007B1086">
            <w:r>
              <w:t>C</w:t>
            </w:r>
            <w:r w:rsidRPr="000F6908">
              <w:rPr>
                <w:vertAlign w:val="subscript"/>
              </w:rPr>
              <w:t>3</w:t>
            </w:r>
            <w:r>
              <w:t>环境污染</w:t>
            </w:r>
          </w:p>
        </w:tc>
        <w:tc>
          <w:tcPr>
            <w:tcW w:w="1737" w:type="dxa"/>
          </w:tcPr>
          <w:p w:rsidR="00040044" w:rsidRDefault="00040044" w:rsidP="007B1086">
            <w:r>
              <w:t>C</w:t>
            </w:r>
            <w:r w:rsidRPr="000F6908">
              <w:rPr>
                <w:vertAlign w:val="subscript"/>
              </w:rPr>
              <w:t>4</w:t>
            </w:r>
            <w:r>
              <w:t>运输成本</w:t>
            </w:r>
          </w:p>
        </w:tc>
      </w:tr>
      <w:tr w:rsidR="00040044" w:rsidTr="007B1086">
        <w:tc>
          <w:tcPr>
            <w:tcW w:w="1413" w:type="dxa"/>
          </w:tcPr>
          <w:p w:rsidR="00040044" w:rsidRDefault="00040044" w:rsidP="007B1086">
            <w:r>
              <w:t>P</w:t>
            </w:r>
            <w:r w:rsidRPr="000F6908">
              <w:rPr>
                <w:vertAlign w:val="subscript"/>
              </w:rPr>
              <w:t>1</w:t>
            </w:r>
            <w:r>
              <w:t>可回收物</w:t>
            </w:r>
          </w:p>
        </w:tc>
        <w:tc>
          <w:tcPr>
            <w:tcW w:w="1736" w:type="dxa"/>
          </w:tcPr>
          <w:p w:rsidR="00040044" w:rsidRPr="00176312" w:rsidRDefault="00040044" w:rsidP="007B1086">
            <w:pPr>
              <w:snapToGrid w:val="0"/>
              <w:spacing w:line="180" w:lineRule="atLeast"/>
              <w:contextualSpacing/>
              <w:rPr>
                <w:rFonts w:ascii="仿宋_GB2312" w:eastAsia="仿宋_GB2312"/>
                <w:sz w:val="24"/>
                <w:szCs w:val="21"/>
              </w:rPr>
            </w:pPr>
            <w:r w:rsidRPr="00176312">
              <w:rPr>
                <w:rFonts w:ascii="仿宋_GB2312" w:eastAsia="仿宋_GB2312" w:hint="eastAsia"/>
                <w:sz w:val="24"/>
                <w:szCs w:val="21"/>
              </w:rPr>
              <w:t>0</w:t>
            </w:r>
            <w:r w:rsidRPr="00176312">
              <w:rPr>
                <w:rFonts w:ascii="仿宋_GB2312" w:eastAsia="仿宋_GB2312"/>
                <w:sz w:val="24"/>
                <w:szCs w:val="21"/>
              </w:rPr>
              <w:t>.3600</w:t>
            </w:r>
          </w:p>
        </w:tc>
        <w:tc>
          <w:tcPr>
            <w:tcW w:w="1737" w:type="dxa"/>
          </w:tcPr>
          <w:p w:rsidR="00040044" w:rsidRDefault="00040044" w:rsidP="007B1086">
            <w:r>
              <w:rPr>
                <w:rFonts w:hint="eastAsia"/>
              </w:rPr>
              <w:t>-0.03</w:t>
            </w:r>
          </w:p>
        </w:tc>
        <w:tc>
          <w:tcPr>
            <w:tcW w:w="1736" w:type="dxa"/>
          </w:tcPr>
          <w:p w:rsidR="00040044" w:rsidRPr="00176312" w:rsidRDefault="00040044" w:rsidP="007B1086">
            <w:pPr>
              <w:snapToGrid w:val="0"/>
              <w:spacing w:line="180" w:lineRule="atLeast"/>
              <w:contextualSpacing/>
              <w:rPr>
                <w:rFonts w:ascii="仿宋_GB2312" w:eastAsia="仿宋_GB2312"/>
                <w:sz w:val="24"/>
                <w:szCs w:val="21"/>
              </w:rPr>
            </w:pPr>
            <w:r w:rsidRPr="00176312">
              <w:rPr>
                <w:rFonts w:ascii="仿宋_GB2312" w:eastAsia="仿宋_GB2312" w:hint="eastAsia"/>
                <w:sz w:val="24"/>
                <w:szCs w:val="21"/>
              </w:rPr>
              <w:t>0</w:t>
            </w:r>
            <w:r w:rsidRPr="00176312">
              <w:rPr>
                <w:rFonts w:ascii="仿宋_GB2312" w:eastAsia="仿宋_GB2312"/>
                <w:sz w:val="24"/>
                <w:szCs w:val="21"/>
              </w:rPr>
              <w:t>.7272</w:t>
            </w:r>
          </w:p>
        </w:tc>
        <w:tc>
          <w:tcPr>
            <w:tcW w:w="1737" w:type="dxa"/>
          </w:tcPr>
          <w:p w:rsidR="00040044" w:rsidRDefault="00040044" w:rsidP="007B1086">
            <w:r>
              <w:rPr>
                <w:rFonts w:hint="eastAsia"/>
              </w:rPr>
              <w:t>1</w:t>
            </w:r>
          </w:p>
        </w:tc>
      </w:tr>
      <w:tr w:rsidR="00040044" w:rsidTr="007B1086">
        <w:tc>
          <w:tcPr>
            <w:tcW w:w="1413" w:type="dxa"/>
          </w:tcPr>
          <w:p w:rsidR="00040044" w:rsidRDefault="00040044" w:rsidP="007B1086">
            <w:r>
              <w:t>P</w:t>
            </w:r>
            <w:r w:rsidRPr="000F6908">
              <w:rPr>
                <w:vertAlign w:val="subscript"/>
              </w:rPr>
              <w:t>2</w:t>
            </w:r>
            <w:r>
              <w:t>厨余垃圾</w:t>
            </w:r>
          </w:p>
        </w:tc>
        <w:tc>
          <w:tcPr>
            <w:tcW w:w="1736" w:type="dxa"/>
          </w:tcPr>
          <w:p w:rsidR="00040044" w:rsidRPr="00176312" w:rsidRDefault="00040044" w:rsidP="007B1086">
            <w:pPr>
              <w:snapToGrid w:val="0"/>
              <w:spacing w:line="180" w:lineRule="atLeast"/>
              <w:contextualSpacing/>
              <w:rPr>
                <w:rFonts w:ascii="仿宋_GB2312" w:eastAsia="仿宋_GB2312"/>
                <w:sz w:val="24"/>
                <w:szCs w:val="21"/>
              </w:rPr>
            </w:pPr>
            <w:r w:rsidRPr="00176312">
              <w:rPr>
                <w:rFonts w:ascii="仿宋_GB2312" w:eastAsia="仿宋_GB2312" w:hint="eastAsia"/>
                <w:sz w:val="24"/>
                <w:szCs w:val="21"/>
              </w:rPr>
              <w:t>1</w:t>
            </w:r>
          </w:p>
        </w:tc>
        <w:tc>
          <w:tcPr>
            <w:tcW w:w="1737" w:type="dxa"/>
          </w:tcPr>
          <w:p w:rsidR="00040044" w:rsidRDefault="00040044" w:rsidP="007B1086">
            <w:r>
              <w:rPr>
                <w:rFonts w:hint="eastAsia"/>
              </w:rPr>
              <w:t>-0.125</w:t>
            </w:r>
          </w:p>
        </w:tc>
        <w:tc>
          <w:tcPr>
            <w:tcW w:w="1736" w:type="dxa"/>
          </w:tcPr>
          <w:p w:rsidR="00040044" w:rsidRPr="00176312" w:rsidRDefault="00040044" w:rsidP="007B1086">
            <w:pPr>
              <w:snapToGrid w:val="0"/>
              <w:spacing w:line="180" w:lineRule="atLeast"/>
              <w:contextualSpacing/>
              <w:rPr>
                <w:rFonts w:ascii="仿宋_GB2312" w:eastAsia="仿宋_GB2312"/>
                <w:sz w:val="24"/>
                <w:szCs w:val="21"/>
              </w:rPr>
            </w:pPr>
            <w:r w:rsidRPr="00176312">
              <w:rPr>
                <w:rFonts w:ascii="仿宋_GB2312" w:eastAsia="仿宋_GB2312" w:hint="eastAsia"/>
                <w:sz w:val="24"/>
                <w:szCs w:val="21"/>
              </w:rPr>
              <w:t>0</w:t>
            </w:r>
            <w:r w:rsidRPr="00176312">
              <w:rPr>
                <w:rFonts w:ascii="仿宋_GB2312" w:eastAsia="仿宋_GB2312"/>
                <w:sz w:val="24"/>
                <w:szCs w:val="21"/>
              </w:rPr>
              <w:t>.7727</w:t>
            </w:r>
          </w:p>
        </w:tc>
        <w:tc>
          <w:tcPr>
            <w:tcW w:w="1737" w:type="dxa"/>
          </w:tcPr>
          <w:p w:rsidR="00040044" w:rsidRDefault="00040044" w:rsidP="007B1086">
            <w:r>
              <w:rPr>
                <w:rFonts w:hint="eastAsia"/>
              </w:rPr>
              <w:t>1</w:t>
            </w:r>
          </w:p>
        </w:tc>
      </w:tr>
      <w:tr w:rsidR="00040044" w:rsidTr="007B1086">
        <w:tc>
          <w:tcPr>
            <w:tcW w:w="1413" w:type="dxa"/>
          </w:tcPr>
          <w:p w:rsidR="00040044" w:rsidRDefault="00040044" w:rsidP="007B1086">
            <w:r>
              <w:t>P</w:t>
            </w:r>
            <w:r w:rsidRPr="000F6908">
              <w:rPr>
                <w:vertAlign w:val="subscript"/>
              </w:rPr>
              <w:t>3</w:t>
            </w:r>
            <w:r>
              <w:t>不可回收</w:t>
            </w:r>
          </w:p>
        </w:tc>
        <w:tc>
          <w:tcPr>
            <w:tcW w:w="1736" w:type="dxa"/>
          </w:tcPr>
          <w:p w:rsidR="00040044" w:rsidRPr="00176312" w:rsidRDefault="00040044" w:rsidP="007B1086">
            <w:pPr>
              <w:snapToGrid w:val="0"/>
              <w:spacing w:line="180" w:lineRule="atLeast"/>
              <w:contextualSpacing/>
              <w:rPr>
                <w:rFonts w:ascii="仿宋_GB2312" w:eastAsia="仿宋_GB2312"/>
                <w:sz w:val="24"/>
                <w:szCs w:val="21"/>
              </w:rPr>
            </w:pPr>
            <w:r w:rsidRPr="00176312">
              <w:rPr>
                <w:rFonts w:ascii="仿宋_GB2312" w:eastAsia="仿宋_GB2312" w:hint="eastAsia"/>
                <w:sz w:val="24"/>
                <w:szCs w:val="21"/>
              </w:rPr>
              <w:t>0</w:t>
            </w:r>
            <w:r w:rsidRPr="00176312">
              <w:rPr>
                <w:rFonts w:ascii="仿宋_GB2312" w:eastAsia="仿宋_GB2312"/>
                <w:sz w:val="24"/>
                <w:szCs w:val="21"/>
              </w:rPr>
              <w:t>.3555</w:t>
            </w:r>
          </w:p>
        </w:tc>
        <w:tc>
          <w:tcPr>
            <w:tcW w:w="1737" w:type="dxa"/>
          </w:tcPr>
          <w:p w:rsidR="00040044" w:rsidRDefault="00040044" w:rsidP="007B1086">
            <w:r>
              <w:rPr>
                <w:rFonts w:hint="eastAsia"/>
              </w:rPr>
              <w:t>-0.165</w:t>
            </w:r>
          </w:p>
        </w:tc>
        <w:tc>
          <w:tcPr>
            <w:tcW w:w="1736" w:type="dxa"/>
          </w:tcPr>
          <w:p w:rsidR="00040044" w:rsidRPr="00176312" w:rsidRDefault="00040044" w:rsidP="007B1086">
            <w:pPr>
              <w:snapToGrid w:val="0"/>
              <w:spacing w:line="180" w:lineRule="atLeast"/>
              <w:contextualSpacing/>
              <w:rPr>
                <w:rFonts w:ascii="仿宋_GB2312" w:eastAsia="仿宋_GB2312"/>
                <w:sz w:val="24"/>
                <w:szCs w:val="21"/>
              </w:rPr>
            </w:pPr>
            <w:r w:rsidRPr="00176312">
              <w:rPr>
                <w:rFonts w:ascii="仿宋_GB2312" w:eastAsia="仿宋_GB2312" w:hint="eastAsia"/>
                <w:sz w:val="24"/>
                <w:szCs w:val="21"/>
              </w:rPr>
              <w:t>1</w:t>
            </w:r>
          </w:p>
        </w:tc>
        <w:tc>
          <w:tcPr>
            <w:tcW w:w="1737" w:type="dxa"/>
          </w:tcPr>
          <w:p w:rsidR="00040044" w:rsidRDefault="00040044" w:rsidP="007B1086">
            <w:r>
              <w:rPr>
                <w:rFonts w:hint="eastAsia"/>
              </w:rPr>
              <w:t>1</w:t>
            </w:r>
          </w:p>
        </w:tc>
      </w:tr>
    </w:tbl>
    <w:p w:rsidR="005576BE" w:rsidRDefault="001B3A11">
      <w:r>
        <w:rPr>
          <w:rFonts w:hint="eastAsia"/>
        </w:rPr>
        <w:t xml:space="preserve">    </w:t>
      </w:r>
      <w:r>
        <w:rPr>
          <w:rFonts w:hint="eastAsia"/>
        </w:rPr>
        <w:t>因此得到</w:t>
      </w:r>
      <w:r w:rsidR="005576BE">
        <w:rPr>
          <w:rFonts w:hint="eastAsia"/>
        </w:rPr>
        <w:t>各方案层的权</w:t>
      </w:r>
      <w:r w:rsidR="00352597">
        <w:rPr>
          <w:rFonts w:hint="eastAsia"/>
        </w:rPr>
        <w:t>值矩阵，即相对重要程度，</w:t>
      </w:r>
      <w:r w:rsidR="005576BE">
        <w:rPr>
          <w:rFonts w:hint="eastAsia"/>
        </w:rPr>
        <w:t>如下：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1.0127 </w:t>
            </w:r>
          </w:p>
        </w:tc>
      </w:tr>
      <w:tr w:rsid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2.7778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2.8129 </w:t>
            </w:r>
          </w:p>
        </w:tc>
      </w:tr>
      <w:tr w:rsid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0.9875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0.3555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Default="005576BE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</w:tr>
    </w:tbl>
    <w:p w:rsidR="00040044" w:rsidRDefault="00040044"/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0.1818 </w:t>
            </w:r>
          </w:p>
        </w:tc>
      </w:tr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4.1667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0.7576 </w:t>
            </w:r>
          </w:p>
        </w:tc>
      </w:tr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5.5000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1.3200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</w:tr>
    </w:tbl>
    <w:p w:rsidR="005576BE" w:rsidRDefault="005576BE"/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0.9411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0.7272 </w:t>
            </w:r>
          </w:p>
        </w:tc>
      </w:tr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1.0626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0.7727 </w:t>
            </w:r>
          </w:p>
        </w:tc>
      </w:tr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1.3751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1.2942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</w:tr>
    </w:tbl>
    <w:p w:rsidR="005576BE" w:rsidRDefault="005576BE"/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</w:tr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</w:tr>
      <w:tr w:rsidR="005576BE" w:rsidRPr="005576BE" w:rsidTr="005576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76BE" w:rsidRPr="005576BE" w:rsidRDefault="005576BE" w:rsidP="005576B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576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1.0000 </w:t>
            </w:r>
          </w:p>
        </w:tc>
      </w:tr>
    </w:tbl>
    <w:p w:rsidR="005576BE" w:rsidRDefault="005576BE"/>
    <w:p w:rsidR="005576BE" w:rsidRDefault="00352597" w:rsidP="00352597">
      <w:pPr>
        <w:ind w:firstLineChars="200" w:firstLine="420"/>
      </w:pPr>
      <w:r>
        <w:t>由于各矩阵均为一致阵，因此其特征根均为</w:t>
      </w:r>
      <w:r>
        <w:rPr>
          <w:rFonts w:hint="eastAsia"/>
        </w:rPr>
        <w:t>3</w:t>
      </w:r>
      <w:r>
        <w:rPr>
          <w:rFonts w:hint="eastAsia"/>
        </w:rPr>
        <w:t>，其</w:t>
      </w:r>
      <w:r>
        <w:rPr>
          <w:rFonts w:hint="eastAsia"/>
        </w:rPr>
        <w:t>CI</w:t>
      </w:r>
      <w:r>
        <w:rPr>
          <w:rFonts w:hint="eastAsia"/>
        </w:rPr>
        <w:t>值及</w:t>
      </w:r>
      <w:r>
        <w:rPr>
          <w:rFonts w:hint="eastAsia"/>
        </w:rPr>
        <w:t>CR</w:t>
      </w:r>
      <w:r>
        <w:rPr>
          <w:rFonts w:hint="eastAsia"/>
        </w:rPr>
        <w:t>值均为</w:t>
      </w:r>
      <w:r>
        <w:rPr>
          <w:rFonts w:hint="eastAsia"/>
        </w:rPr>
        <w:t>0</w:t>
      </w:r>
      <w:r>
        <w:rPr>
          <w:rFonts w:hint="eastAsia"/>
        </w:rPr>
        <w:t>，通过一致性检验。然后本文计算其特征向量，即权向量，并进行归一化得权向量阵</w:t>
      </w:r>
      <w:r>
        <w:rPr>
          <w:rFonts w:hint="eastAsia"/>
        </w:rPr>
        <w:t>k</w:t>
      </w:r>
      <w:r>
        <w:rPr>
          <w:rFonts w:hint="eastAsia"/>
        </w:rPr>
        <w:t>：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352597" w:rsidRPr="00352597" w:rsidTr="0035259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0.2099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0.0937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352597" w:rsidRPr="00352597" w:rsidTr="0035259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0.5829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0.3906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0.3091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352597" w:rsidRPr="00352597" w:rsidTr="0035259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0.2072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0.5156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0.4000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2597" w:rsidRPr="00352597" w:rsidRDefault="00352597" w:rsidP="0035259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25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0.3333</w:t>
            </w:r>
          </w:p>
        </w:tc>
      </w:tr>
    </w:tbl>
    <w:p w:rsidR="00352597" w:rsidRDefault="00352597" w:rsidP="00352597">
      <w:pPr>
        <w:ind w:firstLineChars="200" w:firstLine="420"/>
      </w:pPr>
      <w:r>
        <w:rPr>
          <w:rFonts w:hint="eastAsia"/>
        </w:rPr>
        <w:t>然后本文将两层权向量阵相乘得到组合权向量为：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2597" w:rsidTr="00352597">
        <w:tc>
          <w:tcPr>
            <w:tcW w:w="2765" w:type="dxa"/>
          </w:tcPr>
          <w:p w:rsidR="00352597" w:rsidRDefault="00352597">
            <w:pPr>
              <w:rPr>
                <w:rFonts w:hint="eastAsia"/>
              </w:rPr>
            </w:pPr>
            <w:r>
              <w:rPr>
                <w:rFonts w:hint="eastAsia"/>
              </w:rPr>
              <w:t>可回收物</w:t>
            </w:r>
          </w:p>
        </w:tc>
        <w:tc>
          <w:tcPr>
            <w:tcW w:w="2765" w:type="dxa"/>
          </w:tcPr>
          <w:p w:rsidR="00352597" w:rsidRDefault="00352597">
            <w:pPr>
              <w:rPr>
                <w:rFonts w:hint="eastAsia"/>
              </w:rPr>
            </w:pPr>
            <w:r>
              <w:rPr>
                <w:rFonts w:hint="eastAsia"/>
              </w:rPr>
              <w:t>厨余垃圾</w:t>
            </w:r>
          </w:p>
        </w:tc>
        <w:tc>
          <w:tcPr>
            <w:tcW w:w="2766" w:type="dxa"/>
          </w:tcPr>
          <w:p w:rsidR="00352597" w:rsidRDefault="00352597">
            <w:pPr>
              <w:rPr>
                <w:rFonts w:hint="eastAsia"/>
              </w:rPr>
            </w:pPr>
            <w:r>
              <w:rPr>
                <w:rFonts w:hint="eastAsia"/>
              </w:rPr>
              <w:t>不可回收</w:t>
            </w:r>
          </w:p>
        </w:tc>
      </w:tr>
      <w:tr w:rsidR="00352597" w:rsidTr="001F49F1">
        <w:tc>
          <w:tcPr>
            <w:tcW w:w="2765" w:type="dxa"/>
            <w:vAlign w:val="center"/>
          </w:tcPr>
          <w:p w:rsidR="00352597" w:rsidRDefault="00352597" w:rsidP="00352597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0.1817 </w:t>
            </w:r>
          </w:p>
        </w:tc>
        <w:tc>
          <w:tcPr>
            <w:tcW w:w="2765" w:type="dxa"/>
            <w:vAlign w:val="center"/>
          </w:tcPr>
          <w:p w:rsidR="00352597" w:rsidRDefault="00352597" w:rsidP="0035259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0.4073 </w:t>
            </w:r>
          </w:p>
        </w:tc>
        <w:tc>
          <w:tcPr>
            <w:tcW w:w="2766" w:type="dxa"/>
            <w:vAlign w:val="center"/>
          </w:tcPr>
          <w:p w:rsidR="00352597" w:rsidRDefault="00352597" w:rsidP="00352597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0.4109 </w:t>
            </w:r>
          </w:p>
        </w:tc>
      </w:tr>
    </w:tbl>
    <w:p w:rsidR="00C76949" w:rsidRDefault="00C76949" w:rsidP="00C76949">
      <w:pPr>
        <w:ind w:firstLineChars="200" w:firstLine="420"/>
      </w:pPr>
      <w:r>
        <w:rPr>
          <w:rFonts w:hint="eastAsia"/>
        </w:rPr>
        <w:t>本文进一步</w:t>
      </w:r>
      <w:r>
        <w:t>计算，使得各种垃圾价格之比等于组合权向量之比，且其代数平均值恰与本文之前计算得到的每吨垃圾的回收价格相等。</w:t>
      </w:r>
      <w:r w:rsidR="006754C1">
        <w:t>而垃圾最优数量则相应的使其比例等于组合权向量之比。</w:t>
      </w:r>
      <w:r>
        <w:t>因此本文得到如下的回收价格：</w:t>
      </w:r>
      <w:r w:rsidR="00895554">
        <w:t>可回收物的固定价格为</w:t>
      </w:r>
      <w:r w:rsidR="006754C1">
        <w:t>5.11</w:t>
      </w:r>
      <w:r w:rsidR="00895554">
        <w:t>元，厨余垃圾</w:t>
      </w:r>
      <w:r w:rsidR="00895554">
        <w:t>的固定价格</w:t>
      </w:r>
      <w:r w:rsidR="00895554">
        <w:t>为</w:t>
      </w:r>
      <w:r w:rsidR="006754C1">
        <w:t>25.70</w:t>
      </w:r>
      <w:r w:rsidR="00895554">
        <w:t>元，不可回收的固定价格为</w:t>
      </w:r>
      <w:r w:rsidR="006754C1">
        <w:t>26.15</w:t>
      </w:r>
      <w:r w:rsidR="00895554">
        <w:t>元。</w:t>
      </w:r>
      <w:r w:rsidR="00D5086A">
        <w:t>可回收物的</w:t>
      </w:r>
      <w:r w:rsidR="00D5086A">
        <w:t>浮动</w:t>
      </w:r>
      <w:r w:rsidR="00D5086A">
        <w:t>价格为</w:t>
      </w:r>
      <w:r w:rsidR="00D5086A">
        <w:t>0.16</w:t>
      </w:r>
      <w:r w:rsidR="00D5086A">
        <w:t>元每吨，厨余垃圾的浮动价格为</w:t>
      </w:r>
      <w:r w:rsidR="00D5086A" w:rsidRPr="00D5086A">
        <w:t>0.35</w:t>
      </w:r>
      <w:r w:rsidR="00D5086A">
        <w:t>元每吨，不可回收的浮动价格为</w:t>
      </w:r>
      <w:r w:rsidR="00D5086A">
        <w:t>0.36</w:t>
      </w:r>
      <w:r w:rsidR="00D5086A">
        <w:t>元每吨，即有如下公式：</w:t>
      </w:r>
    </w:p>
    <w:p w:rsidR="006754C1" w:rsidRPr="006754C1" w:rsidRDefault="006754C1" w:rsidP="00C76949">
      <w:pPr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5.11</m:t>
                  </m:r>
                  <m:r>
                    <w:rPr>
                      <w:rFonts w:ascii="Cambria Math" w:hAnsi="Cambria Math"/>
                      <w:szCs w:val="21"/>
                    </w:rPr>
                    <m:t>元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w:rPr>
                      <w:rFonts w:ascii="Cambria Math" w:hAnsi="Cambria Math"/>
                      <w:szCs w:val="21"/>
                    </w:rPr>
                    <m:t>52</m:t>
                  </m:r>
                  <m:r>
                    <w:rPr>
                      <w:rFonts w:ascii="Cambria Math" w:hAnsi="Cambria Math"/>
                      <w:szCs w:val="21"/>
                    </w:rPr>
                    <m:t>kg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0.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16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元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×Quantity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szCs w:val="21"/>
                    </w:rPr>
                    <m:t>元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r>
                    <w:rPr>
                      <w:rFonts w:ascii="Cambria Math" w:hAnsi="Cambria Math"/>
                      <w:szCs w:val="21"/>
                    </w:rPr>
                    <m:t>52</m:t>
                  </m:r>
                  <m:r>
                    <w:rPr>
                      <w:rFonts w:ascii="Cambria Math" w:hAnsi="Cambria Math"/>
                      <w:szCs w:val="21"/>
                    </w:rPr>
                    <m:t>kg</m:t>
                  </m:r>
                </m:e>
              </m:eqArr>
            </m:e>
          </m:d>
        </m:oMath>
      </m:oMathPara>
    </w:p>
    <w:p w:rsidR="006754C1" w:rsidRPr="006754C1" w:rsidRDefault="006754C1" w:rsidP="00C76949">
      <w:pPr>
        <w:ind w:firstLineChars="200" w:firstLine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w:lastRenderedPageBreak/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25.70</m:t>
                  </m:r>
                  <m:r>
                    <w:rPr>
                      <w:rFonts w:ascii="Cambria Math" w:hAnsi="Cambria Math"/>
                      <w:szCs w:val="21"/>
                    </w:rPr>
                    <m:t>元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w:rPr>
                      <w:rFonts w:ascii="Cambria Math" w:hAnsi="Cambria Math"/>
                      <w:szCs w:val="21"/>
                    </w:rPr>
                    <m:t>116</m:t>
                  </m:r>
                  <m:r>
                    <w:rPr>
                      <w:rFonts w:ascii="Cambria Math" w:hAnsi="Cambria Math"/>
                      <w:szCs w:val="21"/>
                    </w:rPr>
                    <m:t>kg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0.35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元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×Quantity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14.9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szCs w:val="21"/>
                    </w:rPr>
                    <m:t>元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r>
                    <w:rPr>
                      <w:rFonts w:ascii="Cambria Math" w:hAnsi="Cambria Math"/>
                      <w:szCs w:val="21"/>
                    </w:rPr>
                    <m:t>116</m:t>
                  </m:r>
                  <m:r>
                    <w:rPr>
                      <w:rFonts w:ascii="Cambria Math" w:hAnsi="Cambria Math"/>
                      <w:szCs w:val="21"/>
                    </w:rPr>
                    <m:t>kg</m:t>
                  </m:r>
                </m:e>
              </m:eqArr>
            </m:e>
          </m:d>
        </m:oMath>
      </m:oMathPara>
    </w:p>
    <w:p w:rsidR="006754C1" w:rsidRDefault="006754C1" w:rsidP="00C76949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  <w:szCs w:val="21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26.15</m:t>
                  </m:r>
                  <m:r>
                    <w:rPr>
                      <w:rFonts w:ascii="Cambria Math" w:hAnsi="Cambria Math"/>
                      <w:szCs w:val="21"/>
                    </w:rPr>
                    <m:t>元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≤</m:t>
                  </m:r>
                  <m:r>
                    <w:rPr>
                      <w:rFonts w:ascii="Cambria Math" w:hAnsi="Cambria Math"/>
                      <w:szCs w:val="21"/>
                    </w:rPr>
                    <m:t>118</m:t>
                  </m:r>
                  <m:r>
                    <w:rPr>
                      <w:rFonts w:ascii="Cambria Math" w:hAnsi="Cambria Math"/>
                      <w:szCs w:val="21"/>
                    </w:rPr>
                    <m:t>kg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.36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元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×Quantity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16.33</m:t>
                  </m:r>
                  <m:r>
                    <w:rPr>
                      <w:rFonts w:ascii="Cambria Math" w:hAnsi="Cambria Math"/>
                      <w:szCs w:val="21"/>
                    </w:rPr>
                    <m:t>元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Quantity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Individual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r>
                    <w:rPr>
                      <w:rFonts w:ascii="Cambria Math" w:hAnsi="Cambria Math"/>
                      <w:szCs w:val="21"/>
                    </w:rPr>
                    <m:t>118</m:t>
                  </m:r>
                  <m:r>
                    <w:rPr>
                      <w:rFonts w:ascii="Cambria Math" w:hAnsi="Cambria Math"/>
                      <w:szCs w:val="21"/>
                    </w:rPr>
                    <m:t>kg</m:t>
                  </m:r>
                </m:e>
              </m:eqArr>
            </m:e>
          </m:d>
        </m:oMath>
      </m:oMathPara>
    </w:p>
    <w:p w:rsidR="005576BE" w:rsidRDefault="005576BE">
      <w:pPr>
        <w:rPr>
          <w:rFonts w:hint="eastAsia"/>
        </w:rPr>
      </w:pPr>
    </w:p>
    <w:p w:rsidR="00040044" w:rsidRPr="00040044" w:rsidRDefault="00040044" w:rsidP="00040044">
      <w:pPr>
        <w:widowControl/>
        <w:snapToGrid w:val="0"/>
        <w:spacing w:line="180" w:lineRule="atLeast"/>
        <w:contextualSpacing/>
        <w:jc w:val="left"/>
      </w:pPr>
      <w:r w:rsidRPr="00040044">
        <w:rPr>
          <w:rFonts w:hint="eastAsia"/>
        </w:rPr>
        <w:t>王靖琦</w:t>
      </w:r>
      <w:r>
        <w:rPr>
          <w:rFonts w:hint="eastAsia"/>
        </w:rPr>
        <w:t xml:space="preserve">, </w:t>
      </w:r>
      <w:r w:rsidRPr="00040044">
        <w:rPr>
          <w:rFonts w:hint="eastAsia"/>
        </w:rPr>
        <w:t>尹心</w:t>
      </w:r>
      <w:r>
        <w:rPr>
          <w:rFonts w:hint="eastAsia"/>
        </w:rPr>
        <w:t xml:space="preserve">, </w:t>
      </w:r>
      <w:r w:rsidRPr="00040044">
        <w:rPr>
          <w:rFonts w:hint="eastAsia"/>
        </w:rPr>
        <w:t>陈叶伟</w:t>
      </w:r>
      <w:r>
        <w:rPr>
          <w:rFonts w:hint="eastAsia"/>
        </w:rPr>
        <w:t>,</w:t>
      </w:r>
      <w:r w:rsidRPr="00040044">
        <w:rPr>
          <w:rFonts w:hint="eastAsia"/>
        </w:rPr>
        <w:t xml:space="preserve"> </w:t>
      </w:r>
      <w:r w:rsidRPr="00040044">
        <w:rPr>
          <w:rFonts w:hint="eastAsia"/>
        </w:rPr>
        <w:t>蔡建峰</w:t>
      </w:r>
      <w:r>
        <w:rPr>
          <w:rFonts w:hint="eastAsia"/>
        </w:rPr>
        <w:t>,</w:t>
      </w:r>
      <w:r w:rsidRPr="00040044">
        <w:rPr>
          <w:rFonts w:hint="eastAsia"/>
        </w:rPr>
        <w:t xml:space="preserve"> </w:t>
      </w:r>
      <w:r w:rsidRPr="00040044">
        <w:rPr>
          <w:rFonts w:hint="eastAsia"/>
        </w:rPr>
        <w:t>薛旺</w:t>
      </w:r>
      <w:r w:rsidRPr="00040044">
        <w:t>.</w:t>
      </w:r>
      <w:r w:rsidRPr="00040044">
        <w:rPr>
          <w:rFonts w:hint="eastAsia"/>
        </w:rPr>
        <w:t xml:space="preserve"> </w:t>
      </w:r>
      <w:r w:rsidRPr="00040044">
        <w:rPr>
          <w:rFonts w:hint="eastAsia"/>
        </w:rPr>
        <w:t>垃圾分类收费制度下我国生活垃圾分类处理模型</w:t>
      </w:r>
      <w:r w:rsidRPr="00040044">
        <w:t xml:space="preserve">[J]. </w:t>
      </w:r>
      <w:r>
        <w:rPr>
          <w:rFonts w:hint="eastAsia"/>
        </w:rPr>
        <w:t>科技视界</w:t>
      </w:r>
      <w:r>
        <w:t>, 2017, (32</w:t>
      </w:r>
      <w:r w:rsidRPr="00040044">
        <w:t xml:space="preserve">). </w:t>
      </w:r>
    </w:p>
    <w:p w:rsidR="00040044" w:rsidRPr="00040044" w:rsidRDefault="00040044">
      <w:pPr>
        <w:rPr>
          <w:rFonts w:hint="eastAsia"/>
        </w:rPr>
      </w:pPr>
    </w:p>
    <w:sectPr w:rsidR="00040044" w:rsidRPr="000400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08" w:rsidRDefault="00FB6608" w:rsidP="000F6908">
      <w:r>
        <w:separator/>
      </w:r>
    </w:p>
  </w:endnote>
  <w:endnote w:type="continuationSeparator" w:id="0">
    <w:p w:rsidR="00FB6608" w:rsidRDefault="00FB6608" w:rsidP="000F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08" w:rsidRDefault="00FB6608" w:rsidP="000F6908">
      <w:r>
        <w:separator/>
      </w:r>
    </w:p>
  </w:footnote>
  <w:footnote w:type="continuationSeparator" w:id="0">
    <w:p w:rsidR="00FB6608" w:rsidRDefault="00FB6608" w:rsidP="000F6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39"/>
    <w:rsid w:val="00040044"/>
    <w:rsid w:val="000D1723"/>
    <w:rsid w:val="000F6908"/>
    <w:rsid w:val="001B3A11"/>
    <w:rsid w:val="00315E39"/>
    <w:rsid w:val="00352597"/>
    <w:rsid w:val="003818E0"/>
    <w:rsid w:val="005576BE"/>
    <w:rsid w:val="006754C1"/>
    <w:rsid w:val="00702648"/>
    <w:rsid w:val="00797A16"/>
    <w:rsid w:val="00895554"/>
    <w:rsid w:val="00C76949"/>
    <w:rsid w:val="00D5086A"/>
    <w:rsid w:val="00F76509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D401D-7F01-42AA-BCA8-68BC60A7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908"/>
    <w:rPr>
      <w:sz w:val="18"/>
      <w:szCs w:val="18"/>
    </w:rPr>
  </w:style>
  <w:style w:type="table" w:styleId="a5">
    <w:name w:val="Table Grid"/>
    <w:basedOn w:val="a1"/>
    <w:uiPriority w:val="39"/>
    <w:rsid w:val="000F6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2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9</cp:revision>
  <dcterms:created xsi:type="dcterms:W3CDTF">2018-04-21T07:49:00Z</dcterms:created>
  <dcterms:modified xsi:type="dcterms:W3CDTF">2018-04-21T08:53:00Z</dcterms:modified>
</cp:coreProperties>
</file>