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65B64" w14:textId="77777777" w:rsidR="003F6CEF" w:rsidRDefault="00460A8C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1FACDE20" w14:textId="77777777" w:rsidR="003F6CEF" w:rsidRDefault="00460A8C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45D24073" w14:textId="77777777" w:rsidR="003F6CEF" w:rsidRDefault="00460A8C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18C2C4F9" w14:textId="0CDE3EAE" w:rsidR="00697296" w:rsidRDefault="00460A8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5729" w:history="1">
        <w:r w:rsidR="00697296" w:rsidRPr="009069CC">
          <w:rPr>
            <w:rStyle w:val="aff9"/>
            <w:rFonts w:eastAsia="黑体"/>
            <w:noProof/>
          </w:rPr>
          <w:t xml:space="preserve">0. </w:t>
        </w:r>
        <w:r w:rsidR="00697296" w:rsidRPr="009069CC">
          <w:rPr>
            <w:rStyle w:val="aff9"/>
            <w:rFonts w:eastAsia="黑体"/>
            <w:noProof/>
          </w:rPr>
          <w:t>结论速览（</w:t>
        </w:r>
        <w:r w:rsidR="00697296" w:rsidRPr="009069CC">
          <w:rPr>
            <w:rStyle w:val="aff9"/>
            <w:rFonts w:eastAsia="黑体"/>
            <w:noProof/>
          </w:rPr>
          <w:t>2026-10-18</w:t>
        </w:r>
        <w:r w:rsidR="00697296" w:rsidRPr="009069CC">
          <w:rPr>
            <w:rStyle w:val="aff9"/>
            <w:rFonts w:eastAsia="黑体"/>
            <w:noProof/>
          </w:rPr>
          <w:t>，首轮）</w:t>
        </w:r>
        <w:r w:rsidR="00697296">
          <w:rPr>
            <w:rFonts w:hint="eastAsia"/>
            <w:noProof/>
            <w:webHidden/>
          </w:rPr>
          <w:tab/>
        </w:r>
        <w:r w:rsidR="00697296">
          <w:rPr>
            <w:rFonts w:hint="eastAsia"/>
            <w:noProof/>
            <w:webHidden/>
          </w:rPr>
          <w:fldChar w:fldCharType="begin"/>
        </w:r>
        <w:r w:rsidR="00697296">
          <w:rPr>
            <w:rFonts w:hint="eastAsia"/>
            <w:noProof/>
            <w:webHidden/>
          </w:rPr>
          <w:instrText xml:space="preserve"> </w:instrText>
        </w:r>
        <w:r w:rsidR="00697296">
          <w:rPr>
            <w:noProof/>
            <w:webHidden/>
          </w:rPr>
          <w:instrText>PAGEREF _Toc243235729 \h</w:instrText>
        </w:r>
        <w:r w:rsidR="00697296">
          <w:rPr>
            <w:rFonts w:hint="eastAsia"/>
            <w:noProof/>
            <w:webHidden/>
          </w:rPr>
          <w:instrText xml:space="preserve"> </w:instrText>
        </w:r>
        <w:r w:rsidR="00697296">
          <w:rPr>
            <w:rFonts w:hint="eastAsia"/>
            <w:noProof/>
            <w:webHidden/>
          </w:rPr>
        </w:r>
        <w:r w:rsidR="00697296">
          <w:rPr>
            <w:rFonts w:hint="eastAsia"/>
            <w:noProof/>
            <w:webHidden/>
          </w:rPr>
          <w:fldChar w:fldCharType="separate"/>
        </w:r>
        <w:r w:rsidR="00697296">
          <w:rPr>
            <w:noProof/>
            <w:webHidden/>
          </w:rPr>
          <w:t>3</w:t>
        </w:r>
        <w:r w:rsidR="00697296">
          <w:rPr>
            <w:rFonts w:hint="eastAsia"/>
            <w:noProof/>
            <w:webHidden/>
          </w:rPr>
          <w:fldChar w:fldCharType="end"/>
        </w:r>
      </w:hyperlink>
    </w:p>
    <w:p w14:paraId="030B3B02" w14:textId="2C193443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30" w:history="1">
        <w:r w:rsidRPr="009069CC">
          <w:rPr>
            <w:rStyle w:val="aff9"/>
            <w:rFonts w:eastAsia="黑体"/>
            <w:noProof/>
          </w:rPr>
          <w:t xml:space="preserve">1. </w:t>
        </w:r>
        <w:r w:rsidRPr="009069CC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E37831" w14:textId="5F08A2C7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31" w:history="1">
        <w:r w:rsidRPr="009069CC">
          <w:rPr>
            <w:rStyle w:val="aff9"/>
            <w:rFonts w:eastAsia="黑体"/>
            <w:noProof/>
          </w:rPr>
          <w:t xml:space="preserve">1.1 </w:t>
        </w:r>
        <w:r w:rsidRPr="009069CC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86E00D" w14:textId="2E2A6D9B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32" w:history="1">
        <w:r w:rsidRPr="009069CC">
          <w:rPr>
            <w:rStyle w:val="aff9"/>
            <w:rFonts w:eastAsia="黑体"/>
            <w:noProof/>
          </w:rPr>
          <w:t xml:space="preserve">1.2 </w:t>
        </w:r>
        <w:r w:rsidRPr="009069CC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4DFA95" w14:textId="35842CC6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33" w:history="1">
        <w:r w:rsidRPr="009069CC">
          <w:rPr>
            <w:rStyle w:val="aff9"/>
            <w:rFonts w:eastAsia="黑体"/>
            <w:noProof/>
          </w:rPr>
          <w:t xml:space="preserve">1.3 </w:t>
        </w:r>
        <w:r w:rsidRPr="009069CC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93183F" w14:textId="33DFD3CB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34" w:history="1">
        <w:r w:rsidRPr="009069CC">
          <w:rPr>
            <w:rStyle w:val="aff9"/>
            <w:rFonts w:eastAsia="黑体"/>
            <w:noProof/>
          </w:rPr>
          <w:t xml:space="preserve">1.4 </w:t>
        </w:r>
        <w:r w:rsidRPr="009069CC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15F4F0" w14:textId="4DC23AF9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35" w:history="1">
        <w:r w:rsidRPr="009069CC">
          <w:rPr>
            <w:rStyle w:val="aff9"/>
            <w:rFonts w:eastAsia="黑体"/>
            <w:noProof/>
          </w:rPr>
          <w:t xml:space="preserve">1.5 </w:t>
        </w:r>
        <w:r w:rsidRPr="009069CC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62830A" w14:textId="270CFF37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36" w:history="1">
        <w:r w:rsidRPr="009069CC">
          <w:rPr>
            <w:rStyle w:val="aff9"/>
            <w:rFonts w:eastAsia="黑体"/>
            <w:noProof/>
          </w:rPr>
          <w:t xml:space="preserve">1.6 </w:t>
        </w:r>
        <w:r w:rsidRPr="009069CC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49E72F" w14:textId="1183CC55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37" w:history="1">
        <w:r w:rsidRPr="009069CC">
          <w:rPr>
            <w:rStyle w:val="aff9"/>
            <w:rFonts w:eastAsia="黑体"/>
            <w:noProof/>
          </w:rPr>
          <w:t xml:space="preserve">1.7 </w:t>
        </w:r>
        <w:r w:rsidRPr="009069CC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36B3AA" w14:textId="7D00C5DD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38" w:history="1">
        <w:r w:rsidRPr="009069CC">
          <w:rPr>
            <w:rStyle w:val="aff9"/>
            <w:rFonts w:eastAsia="黑体"/>
            <w:noProof/>
          </w:rPr>
          <w:t xml:space="preserve">2. </w:t>
        </w:r>
        <w:r w:rsidRPr="009069CC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976670" w14:textId="052C627D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39" w:history="1">
        <w:r w:rsidRPr="009069CC">
          <w:rPr>
            <w:rStyle w:val="aff9"/>
            <w:rFonts w:eastAsia="黑体"/>
            <w:noProof/>
          </w:rPr>
          <w:t xml:space="preserve">3. </w:t>
        </w:r>
        <w:r w:rsidRPr="009069CC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419CE5" w14:textId="12B91749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0" w:history="1">
        <w:r w:rsidRPr="009069CC">
          <w:rPr>
            <w:rStyle w:val="aff9"/>
            <w:rFonts w:eastAsia="黑体"/>
            <w:noProof/>
          </w:rPr>
          <w:t xml:space="preserve">4. </w:t>
        </w:r>
        <w:r w:rsidRPr="009069CC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2CDE99" w14:textId="78FB5AC7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1" w:history="1">
        <w:r w:rsidRPr="009069CC">
          <w:rPr>
            <w:rStyle w:val="aff9"/>
            <w:rFonts w:eastAsia="黑体"/>
            <w:noProof/>
          </w:rPr>
          <w:t xml:space="preserve">5. </w:t>
        </w:r>
        <w:r w:rsidRPr="009069CC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647285" w14:textId="084FBD34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2" w:history="1">
        <w:r w:rsidRPr="009069CC">
          <w:rPr>
            <w:rStyle w:val="aff9"/>
            <w:rFonts w:eastAsia="黑体"/>
            <w:noProof/>
          </w:rPr>
          <w:t xml:space="preserve">6. </w:t>
        </w:r>
        <w:r w:rsidRPr="009069CC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8A111D" w14:textId="6314C1F3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3" w:history="1">
        <w:r w:rsidRPr="009069CC">
          <w:rPr>
            <w:rStyle w:val="aff9"/>
            <w:rFonts w:eastAsia="黑体"/>
            <w:noProof/>
          </w:rPr>
          <w:t>6.1 star</w:t>
        </w:r>
        <w:r w:rsidRPr="009069CC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BF533C" w14:textId="6C0DA895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4" w:history="1">
        <w:r w:rsidRPr="009069CC">
          <w:rPr>
            <w:rStyle w:val="aff9"/>
            <w:rFonts w:eastAsia="黑体"/>
            <w:noProof/>
          </w:rPr>
          <w:t xml:space="preserve">6.2 </w:t>
        </w:r>
        <w:r w:rsidRPr="009069CC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E90C80" w14:textId="74EF2B40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5" w:history="1">
        <w:r w:rsidRPr="009069CC">
          <w:rPr>
            <w:rStyle w:val="aff9"/>
            <w:rFonts w:eastAsia="黑体"/>
            <w:noProof/>
          </w:rPr>
          <w:t xml:space="preserve">6.3 </w:t>
        </w:r>
        <w:r w:rsidRPr="009069CC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914CF6" w14:textId="41BE0F10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6" w:history="1">
        <w:r w:rsidRPr="009069CC">
          <w:rPr>
            <w:rStyle w:val="aff9"/>
            <w:rFonts w:eastAsia="黑体"/>
            <w:noProof/>
          </w:rPr>
          <w:t xml:space="preserve">7. </w:t>
        </w:r>
        <w:r w:rsidRPr="009069CC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4257A0" w14:textId="50964206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7" w:history="1">
        <w:r w:rsidRPr="009069CC">
          <w:rPr>
            <w:rStyle w:val="aff9"/>
            <w:rFonts w:eastAsia="黑体"/>
            <w:noProof/>
          </w:rPr>
          <w:t xml:space="preserve">7.1 </w:t>
        </w:r>
        <w:r w:rsidRPr="009069CC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28824C" w14:textId="6E036F2E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8" w:history="1">
        <w:r w:rsidRPr="009069CC">
          <w:rPr>
            <w:rStyle w:val="aff9"/>
            <w:rFonts w:eastAsia="黑体"/>
            <w:noProof/>
          </w:rPr>
          <w:t xml:space="preserve">7.2 CSV </w:t>
        </w:r>
        <w:r w:rsidRPr="009069CC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1B6A1C" w14:textId="209BF5AF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49" w:history="1">
        <w:r w:rsidRPr="009069CC">
          <w:rPr>
            <w:rStyle w:val="aff9"/>
            <w:rFonts w:eastAsia="黑体"/>
            <w:noProof/>
          </w:rPr>
          <w:t xml:space="preserve">7.3 </w:t>
        </w:r>
        <w:r w:rsidRPr="009069CC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C29F78" w14:textId="4C10B3BA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0" w:history="1">
        <w:r w:rsidRPr="009069CC">
          <w:rPr>
            <w:rStyle w:val="aff9"/>
            <w:rFonts w:eastAsia="黑体"/>
            <w:noProof/>
          </w:rPr>
          <w:t xml:space="preserve">7.4 </w:t>
        </w:r>
        <w:r w:rsidRPr="009069CC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6C9CA1" w14:textId="1DE0B67C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1" w:history="1">
        <w:r w:rsidRPr="009069CC">
          <w:rPr>
            <w:rStyle w:val="aff9"/>
            <w:rFonts w:eastAsia="黑体"/>
            <w:noProof/>
          </w:rPr>
          <w:t xml:space="preserve">7.5 </w:t>
        </w:r>
        <w:r w:rsidRPr="009069CC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C1A4C1" w14:textId="410C0811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2" w:history="1">
        <w:r w:rsidRPr="009069CC">
          <w:rPr>
            <w:rStyle w:val="aff9"/>
            <w:rFonts w:eastAsia="黑体"/>
            <w:noProof/>
          </w:rPr>
          <w:t xml:space="preserve">7.6 2009 </w:t>
        </w:r>
        <w:r w:rsidRPr="009069CC">
          <w:rPr>
            <w:rStyle w:val="aff9"/>
            <w:rFonts w:eastAsia="黑体"/>
            <w:noProof/>
          </w:rPr>
          <w:t>年</w:t>
        </w:r>
        <w:r w:rsidRPr="009069CC">
          <w:rPr>
            <w:rStyle w:val="aff9"/>
            <w:rFonts w:eastAsia="黑体"/>
            <w:noProof/>
          </w:rPr>
          <w:t xml:space="preserve"> 6 </w:t>
        </w:r>
        <w:r w:rsidRPr="009069CC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DA58E8" w14:textId="23E4AF7B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3" w:history="1">
        <w:r w:rsidRPr="009069CC">
          <w:rPr>
            <w:rStyle w:val="aff9"/>
            <w:rFonts w:eastAsia="黑体"/>
            <w:noProof/>
          </w:rPr>
          <w:t xml:space="preserve">7.7 </w:t>
        </w:r>
        <w:r w:rsidRPr="009069CC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917920" w14:textId="2E6D1B2C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4" w:history="1">
        <w:r w:rsidRPr="009069CC">
          <w:rPr>
            <w:rStyle w:val="aff9"/>
            <w:rFonts w:eastAsia="黑体"/>
            <w:noProof/>
          </w:rPr>
          <w:t xml:space="preserve">7.8 2018 </w:t>
        </w:r>
        <w:r w:rsidRPr="009069CC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E086FB" w14:textId="78961C17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5" w:history="1">
        <w:r w:rsidRPr="009069CC">
          <w:rPr>
            <w:rStyle w:val="aff9"/>
            <w:rFonts w:eastAsia="黑体"/>
            <w:noProof/>
          </w:rPr>
          <w:t xml:space="preserve">7.9 </w:t>
        </w:r>
        <w:r w:rsidRPr="009069CC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A73A88" w14:textId="4433D56B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6" w:history="1">
        <w:r w:rsidRPr="009069CC">
          <w:rPr>
            <w:rStyle w:val="aff9"/>
            <w:rFonts w:eastAsia="黑体"/>
            <w:noProof/>
          </w:rPr>
          <w:t xml:space="preserve">7.10 ST </w:t>
        </w:r>
        <w:r w:rsidRPr="009069CC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7D23E3" w14:textId="7C27F7A3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7" w:history="1">
        <w:r w:rsidRPr="009069CC">
          <w:rPr>
            <w:rStyle w:val="aff9"/>
            <w:rFonts w:eastAsia="黑体"/>
            <w:noProof/>
          </w:rPr>
          <w:t xml:space="preserve">7.11 </w:t>
        </w:r>
        <w:r w:rsidRPr="009069CC">
          <w:rPr>
            <w:rStyle w:val="aff9"/>
            <w:rFonts w:eastAsia="黑体"/>
            <w:noProof/>
          </w:rPr>
          <w:t>上市未满</w:t>
        </w:r>
        <w:r w:rsidRPr="009069CC">
          <w:rPr>
            <w:rStyle w:val="aff9"/>
            <w:rFonts w:eastAsia="黑体"/>
            <w:noProof/>
          </w:rPr>
          <w:t xml:space="preserve"> 6 </w:t>
        </w:r>
        <w:r w:rsidRPr="009069CC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D682F2" w14:textId="4A3DD273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8" w:history="1">
        <w:r w:rsidRPr="009069CC">
          <w:rPr>
            <w:rStyle w:val="aff9"/>
            <w:rFonts w:eastAsia="黑体"/>
            <w:noProof/>
          </w:rPr>
          <w:t xml:space="preserve">7.12 </w:t>
        </w:r>
        <w:r w:rsidRPr="009069CC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6A62B2" w14:textId="09EC14C1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59" w:history="1">
        <w:r w:rsidRPr="009069CC">
          <w:rPr>
            <w:rStyle w:val="aff9"/>
            <w:rFonts w:eastAsia="黑体"/>
            <w:noProof/>
          </w:rPr>
          <w:t xml:space="preserve">7.13 </w:t>
        </w:r>
        <w:r w:rsidRPr="009069CC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5905E7" w14:textId="278BCE93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0" w:history="1">
        <w:r w:rsidRPr="009069CC">
          <w:rPr>
            <w:rStyle w:val="aff9"/>
            <w:rFonts w:eastAsia="黑体"/>
            <w:noProof/>
          </w:rPr>
          <w:t xml:space="preserve">8. </w:t>
        </w:r>
        <w:r w:rsidRPr="009069CC">
          <w:rPr>
            <w:rStyle w:val="aff9"/>
            <w:rFonts w:eastAsia="黑体"/>
            <w:noProof/>
          </w:rPr>
          <w:t>事件研究引擎</w:t>
        </w:r>
        <w:r w:rsidRPr="009069CC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445472" w14:textId="15486DA5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1" w:history="1">
        <w:r w:rsidRPr="009069CC">
          <w:rPr>
            <w:rStyle w:val="aff9"/>
            <w:rFonts w:eastAsia="黑体"/>
            <w:noProof/>
          </w:rPr>
          <w:t xml:space="preserve">8.1 </w:t>
        </w:r>
        <w:r w:rsidRPr="009069CC">
          <w:rPr>
            <w:rStyle w:val="aff9"/>
            <w:rFonts w:eastAsia="黑体"/>
            <w:noProof/>
          </w:rPr>
          <w:t>首轮结果（</w:t>
        </w:r>
        <w:r w:rsidRPr="009069CC">
          <w:rPr>
            <w:rStyle w:val="aff9"/>
            <w:rFonts w:eastAsia="黑体"/>
            <w:noProof/>
          </w:rPr>
          <w:t>2026-10-18</w:t>
        </w:r>
        <w:r w:rsidRPr="009069CC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6877F9" w14:textId="08735A73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2" w:history="1">
        <w:r w:rsidRPr="009069CC">
          <w:rPr>
            <w:rStyle w:val="aff9"/>
            <w:rFonts w:eastAsia="黑体"/>
            <w:noProof/>
          </w:rPr>
          <w:t xml:space="preserve">8.2 </w:t>
        </w:r>
        <w:r w:rsidRPr="009069CC">
          <w:rPr>
            <w:rStyle w:val="aff9"/>
            <w:rFonts w:eastAsia="黑体"/>
            <w:noProof/>
          </w:rPr>
          <w:t>公告日之后的漂移与事后准确度（</w:t>
        </w:r>
        <w:r w:rsidRPr="009069CC">
          <w:rPr>
            <w:rStyle w:val="aff9"/>
            <w:rFonts w:eastAsia="黑体"/>
            <w:noProof/>
          </w:rPr>
          <w:t>2026-10-18</w:t>
        </w:r>
        <w:r w:rsidRPr="009069C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CF6E24" w14:textId="5A0F19CA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3" w:history="1">
        <w:r w:rsidRPr="009069CC">
          <w:rPr>
            <w:rStyle w:val="aff9"/>
            <w:rFonts w:eastAsia="黑体"/>
            <w:noProof/>
          </w:rPr>
          <w:t xml:space="preserve">8.3 </w:t>
        </w:r>
        <w:r w:rsidRPr="009069CC">
          <w:rPr>
            <w:rStyle w:val="aff9"/>
            <w:rFonts w:eastAsia="黑体"/>
            <w:noProof/>
          </w:rPr>
          <w:t>盈余预测误差（</w:t>
        </w:r>
        <w:r w:rsidRPr="009069CC">
          <w:rPr>
            <w:rStyle w:val="aff9"/>
            <w:rFonts w:eastAsia="黑体"/>
            <w:noProof/>
          </w:rPr>
          <w:t>2026-10-18</w:t>
        </w:r>
        <w:r w:rsidRPr="009069C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C11706" w14:textId="6643F6DD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4" w:history="1">
        <w:r w:rsidRPr="009069CC">
          <w:rPr>
            <w:rStyle w:val="aff9"/>
            <w:rFonts w:eastAsia="黑体"/>
            <w:noProof/>
          </w:rPr>
          <w:t xml:space="preserve">8.4 </w:t>
        </w:r>
        <w:r w:rsidRPr="009069CC">
          <w:rPr>
            <w:rStyle w:val="aff9"/>
            <w:rFonts w:eastAsia="黑体"/>
            <w:noProof/>
          </w:rPr>
          <w:t>第</w:t>
        </w:r>
        <w:r w:rsidRPr="009069CC">
          <w:rPr>
            <w:rStyle w:val="aff9"/>
            <w:rFonts w:eastAsia="黑体"/>
            <w:noProof/>
          </w:rPr>
          <w:t xml:space="preserve"> 4 </w:t>
        </w:r>
        <w:r w:rsidRPr="009069CC">
          <w:rPr>
            <w:rStyle w:val="aff9"/>
            <w:rFonts w:eastAsia="黑体"/>
            <w:noProof/>
          </w:rPr>
          <w:t>问：方向与层级的正式检验（</w:t>
        </w:r>
        <w:r w:rsidRPr="009069CC">
          <w:rPr>
            <w:rStyle w:val="aff9"/>
            <w:rFonts w:eastAsia="黑体"/>
            <w:noProof/>
          </w:rPr>
          <w:t>2026-10-18</w:t>
        </w:r>
        <w:r w:rsidRPr="009069C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9D00A5" w14:textId="527759CD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5" w:history="1">
        <w:r w:rsidRPr="009069CC">
          <w:rPr>
            <w:rStyle w:val="aff9"/>
            <w:rFonts w:eastAsia="黑体"/>
            <w:noProof/>
          </w:rPr>
          <w:t xml:space="preserve">8.5 </w:t>
        </w:r>
        <w:r w:rsidRPr="009069CC">
          <w:rPr>
            <w:rStyle w:val="aff9"/>
            <w:rFonts w:eastAsia="黑体"/>
            <w:noProof/>
          </w:rPr>
          <w:t>停牌稳健性（</w:t>
        </w:r>
        <w:r w:rsidRPr="009069CC">
          <w:rPr>
            <w:rStyle w:val="aff9"/>
            <w:rFonts w:eastAsia="黑体"/>
            <w:noProof/>
          </w:rPr>
          <w:t>2026-10-18</w:t>
        </w:r>
        <w:r w:rsidRPr="009069C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2E8E03" w14:textId="35F70EBE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6" w:history="1">
        <w:r w:rsidRPr="009069CC">
          <w:rPr>
            <w:rStyle w:val="aff9"/>
            <w:rFonts w:eastAsia="黑体"/>
            <w:noProof/>
          </w:rPr>
          <w:t xml:space="preserve">8.6 </w:t>
        </w:r>
        <w:r w:rsidRPr="009069CC">
          <w:rPr>
            <w:rStyle w:val="aff9"/>
            <w:rFonts w:eastAsia="黑体"/>
            <w:noProof/>
          </w:rPr>
          <w:t>聚类稳健标准误（</w:t>
        </w:r>
        <w:r w:rsidRPr="009069CC">
          <w:rPr>
            <w:rStyle w:val="aff9"/>
            <w:rFonts w:eastAsia="黑体"/>
            <w:noProof/>
          </w:rPr>
          <w:t>2026-10-18</w:t>
        </w:r>
        <w:r w:rsidRPr="009069C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0ADB4A" w14:textId="50DAE166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7" w:history="1">
        <w:r w:rsidRPr="009069CC">
          <w:rPr>
            <w:rStyle w:val="aff9"/>
            <w:rFonts w:eastAsia="黑体"/>
            <w:noProof/>
          </w:rPr>
          <w:t xml:space="preserve">8.7 </w:t>
        </w:r>
        <w:r w:rsidRPr="009069CC">
          <w:rPr>
            <w:rStyle w:val="aff9"/>
            <w:rFonts w:eastAsia="黑体"/>
            <w:noProof/>
          </w:rPr>
          <w:t>独立复跑（</w:t>
        </w:r>
        <w:r w:rsidRPr="009069CC">
          <w:rPr>
            <w:rStyle w:val="aff9"/>
            <w:rFonts w:eastAsia="黑体"/>
            <w:noProof/>
          </w:rPr>
          <w:t>2026-10-18</w:t>
        </w:r>
        <w:r w:rsidRPr="009069C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8B6354" w14:textId="1371111E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8" w:history="1">
        <w:r w:rsidRPr="009069CC">
          <w:rPr>
            <w:rStyle w:val="aff9"/>
            <w:rFonts w:eastAsia="黑体"/>
            <w:noProof/>
          </w:rPr>
          <w:t xml:space="preserve">8.8 </w:t>
        </w:r>
        <w:r w:rsidRPr="009069CC">
          <w:rPr>
            <w:rStyle w:val="aff9"/>
            <w:rFonts w:eastAsia="黑体"/>
            <w:noProof/>
          </w:rPr>
          <w:t>涨跌停、</w:t>
        </w:r>
        <w:r w:rsidRPr="009069CC">
          <w:rPr>
            <w:rStyle w:val="aff9"/>
            <w:rFonts w:eastAsia="黑体"/>
            <w:noProof/>
          </w:rPr>
          <w:t xml:space="preserve">ST </w:t>
        </w:r>
        <w:r w:rsidRPr="009069CC">
          <w:rPr>
            <w:rStyle w:val="aff9"/>
            <w:rFonts w:eastAsia="黑体"/>
            <w:noProof/>
          </w:rPr>
          <w:t>与行情数据质量（</w:t>
        </w:r>
        <w:r w:rsidRPr="009069CC">
          <w:rPr>
            <w:rStyle w:val="aff9"/>
            <w:rFonts w:eastAsia="黑体"/>
            <w:noProof/>
          </w:rPr>
          <w:t>2026-10-18</w:t>
        </w:r>
        <w:r w:rsidRPr="009069C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6E3EE5" w14:textId="6C08214D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69" w:history="1">
        <w:r w:rsidRPr="009069CC">
          <w:rPr>
            <w:rStyle w:val="aff9"/>
            <w:rFonts w:eastAsia="黑体"/>
            <w:noProof/>
          </w:rPr>
          <w:t xml:space="preserve">9. </w:t>
        </w:r>
        <w:r w:rsidRPr="009069CC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6FA591" w14:textId="066FBB2C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0" w:history="1">
        <w:r w:rsidRPr="009069CC">
          <w:rPr>
            <w:rStyle w:val="aff9"/>
            <w:rFonts w:eastAsia="黑体"/>
            <w:noProof/>
          </w:rPr>
          <w:t xml:space="preserve">9.1 </w:t>
        </w:r>
        <w:r w:rsidRPr="009069CC">
          <w:rPr>
            <w:rStyle w:val="aff9"/>
            <w:rFonts w:eastAsia="黑体"/>
            <w:noProof/>
          </w:rPr>
          <w:t>需要乙确认或交付的事项（</w:t>
        </w:r>
        <w:r w:rsidRPr="009069CC">
          <w:rPr>
            <w:rStyle w:val="aff9"/>
            <w:rFonts w:eastAsia="黑体"/>
            <w:noProof/>
          </w:rPr>
          <w:t>2026-10-18</w:t>
        </w:r>
        <w:r w:rsidRPr="009069C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2F855D" w14:textId="5CF4BF15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1" w:history="1">
        <w:r w:rsidRPr="009069CC">
          <w:rPr>
            <w:rStyle w:val="aff9"/>
            <w:rFonts w:eastAsia="黑体"/>
            <w:noProof/>
          </w:rPr>
          <w:t xml:space="preserve">10. </w:t>
        </w:r>
        <w:r w:rsidRPr="009069CC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1C2AE2" w14:textId="004E2C3E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2" w:history="1">
        <w:r w:rsidRPr="009069CC">
          <w:rPr>
            <w:rStyle w:val="aff9"/>
            <w:rFonts w:eastAsia="黑体"/>
            <w:noProof/>
          </w:rPr>
          <w:t xml:space="preserve">11. </w:t>
        </w:r>
        <w:r w:rsidRPr="009069CC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A601BC" w14:textId="7AF16252" w:rsidR="00697296" w:rsidRDefault="00697296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3" w:history="1">
        <w:r w:rsidRPr="009069CC">
          <w:rPr>
            <w:rStyle w:val="aff9"/>
            <w:rFonts w:eastAsia="黑体"/>
            <w:noProof/>
          </w:rPr>
          <w:t xml:space="preserve">12. </w:t>
        </w:r>
        <w:r w:rsidRPr="009069CC">
          <w:rPr>
            <w:rStyle w:val="aff9"/>
            <w:rFonts w:eastAsia="黑体"/>
            <w:noProof/>
          </w:rPr>
          <w:t>陈述与书面报告提纲（</w:t>
        </w:r>
        <w:r w:rsidRPr="009069CC">
          <w:rPr>
            <w:rStyle w:val="aff9"/>
            <w:rFonts w:eastAsia="黑体"/>
            <w:noProof/>
          </w:rPr>
          <w:t>2026-10-18</w:t>
        </w:r>
        <w:r w:rsidRPr="009069C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9D56C6" w14:textId="0E12C4B8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4" w:history="1">
        <w:r w:rsidRPr="009069CC">
          <w:rPr>
            <w:rStyle w:val="aff9"/>
            <w:rFonts w:eastAsia="黑体"/>
            <w:noProof/>
          </w:rPr>
          <w:t xml:space="preserve">12.1 </w:t>
        </w:r>
        <w:r w:rsidRPr="009069CC">
          <w:rPr>
            <w:rStyle w:val="aff9"/>
            <w:rFonts w:eastAsia="黑体"/>
            <w:noProof/>
          </w:rPr>
          <w:t>陈述</w:t>
        </w:r>
        <w:r w:rsidRPr="009069CC">
          <w:rPr>
            <w:rStyle w:val="aff9"/>
            <w:rFonts w:eastAsia="黑体"/>
            <w:noProof/>
          </w:rPr>
          <w:t xml:space="preserve"> PPT</w:t>
        </w:r>
        <w:r w:rsidRPr="009069CC">
          <w:rPr>
            <w:rStyle w:val="aff9"/>
            <w:rFonts w:eastAsia="黑体"/>
            <w:noProof/>
          </w:rPr>
          <w:t>（</w:t>
        </w:r>
        <w:r w:rsidRPr="009069CC">
          <w:rPr>
            <w:rStyle w:val="aff9"/>
            <w:rFonts w:eastAsia="黑体"/>
            <w:noProof/>
          </w:rPr>
          <w:t xml:space="preserve">14 </w:t>
        </w:r>
        <w:r w:rsidRPr="009069CC">
          <w:rPr>
            <w:rStyle w:val="aff9"/>
            <w:rFonts w:eastAsia="黑体"/>
            <w:noProof/>
          </w:rPr>
          <w:t>页，上限</w:t>
        </w:r>
        <w:r w:rsidRPr="009069CC">
          <w:rPr>
            <w:rStyle w:val="aff9"/>
            <w:rFonts w:eastAsia="黑体"/>
            <w:noProof/>
          </w:rPr>
          <w:t xml:space="preserve"> 15</w:t>
        </w:r>
        <w:r w:rsidRPr="009069CC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16BCB9" w14:textId="15329D1D" w:rsidR="00697296" w:rsidRDefault="00697296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5775" w:history="1">
        <w:r w:rsidRPr="009069CC">
          <w:rPr>
            <w:rStyle w:val="aff9"/>
            <w:rFonts w:eastAsia="黑体"/>
            <w:noProof/>
          </w:rPr>
          <w:t xml:space="preserve">12.2 </w:t>
        </w:r>
        <w:r w:rsidRPr="009069CC">
          <w:rPr>
            <w:rStyle w:val="aff9"/>
            <w:rFonts w:eastAsia="黑体"/>
            <w:noProof/>
          </w:rPr>
          <w:t>书面报告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_Toc243235775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FF58EA" w14:textId="3552FA65" w:rsidR="003F6CEF" w:rsidRDefault="00460A8C">
      <w:r>
        <w:rPr>
          <w:color w:val="000000"/>
        </w:rPr>
        <w:fldChar w:fldCharType="end"/>
      </w:r>
    </w:p>
    <w:p w14:paraId="3802DA61" w14:textId="77777777" w:rsidR="003F6CEF" w:rsidRDefault="00460A8C">
      <w:pPr>
        <w:pStyle w:val="1"/>
        <w:spacing w:before="280" w:after="120"/>
      </w:pPr>
      <w:bookmarkStart w:id="0" w:name="_Toc243235729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60809F1E" w14:textId="77777777" w:rsidR="003F6CEF" w:rsidRDefault="00460A8C">
      <w:r>
        <w:rPr>
          <w:color w:val="000000"/>
        </w:rPr>
        <w:t>研究问题：市场跟随明星分析师的推荐，是因为他们更准，还是因为投资者盲从名气？</w:t>
      </w:r>
    </w:p>
    <w:p w14:paraId="4165209C" w14:textId="77777777" w:rsidR="003F6CEF" w:rsidRDefault="00460A8C">
      <w:r>
        <w:rPr>
          <w:color w:val="000000"/>
        </w:rPr>
        <w:t>三个检验与目前的答案：</w:t>
      </w:r>
    </w:p>
    <w:p w14:paraId="5FA0CAED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+0.37pp</w:t>
      </w:r>
      <w:r>
        <w:rPr>
          <w:color w:val="000000"/>
        </w:rPr>
        <w:t>，</w:t>
      </w:r>
      <w:r>
        <w:rPr>
          <w:color w:val="000000"/>
        </w:rPr>
        <w:t>t=2.17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），下调没有差异。但溢价集中在涨跌停事件：剔除后</w:t>
      </w:r>
      <w:r>
        <w:rPr>
          <w:color w:val="000000"/>
        </w:rPr>
        <w:t xml:space="preserve"> [-1,+1] </w:t>
      </w:r>
      <w:r>
        <w:rPr>
          <w:color w:val="000000"/>
        </w:rPr>
        <w:t>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仍为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）。</w:t>
      </w:r>
    </w:p>
    <w:p w14:paraId="3695C02A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29F9CB79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6EFFADFB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异质性与层级：上调与下调的差异在</w:t>
      </w:r>
      <w:r>
        <w:rPr>
          <w:color w:val="000000"/>
        </w:rPr>
        <w:t xml:space="preserve"> [-1,+5] </w:t>
      </w:r>
      <w:r>
        <w:rPr>
          <w:color w:val="000000"/>
        </w:rPr>
        <w:t>与成交量上显著；上调的明星溢价集中在头部，头部与中部的差异边际显著（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）；中小层级几乎没有明星，无法估计。</w:t>
      </w:r>
    </w:p>
    <w:p w14:paraId="61C26BE5" w14:textId="77777777" w:rsidR="003F6CEF" w:rsidRDefault="00460A8C">
      <w:r>
        <w:rPr>
          <w:color w:val="000000"/>
        </w:rPr>
        <w:t>一句话：明星能带动市场，但公告日溢价部分来自涨跌停事件，且没有证据表明他们更准。影响力假说得到支持，信息优势即使存在也很弱。</w:t>
      </w:r>
    </w:p>
    <w:p w14:paraId="7AB217D0" w14:textId="77777777" w:rsidR="003F6CEF" w:rsidRDefault="00460A8C">
      <w:r>
        <w:rPr>
          <w:color w:val="000000"/>
        </w:rPr>
        <w:t>还没做：涨跌停与</w:t>
      </w:r>
      <w:r>
        <w:rPr>
          <w:color w:val="000000"/>
        </w:rPr>
        <w:t xml:space="preserve"> ST </w:t>
      </w:r>
      <w:r>
        <w:rPr>
          <w:color w:val="000000"/>
        </w:rPr>
        <w:t>稳健性。聚类、停牌稳健性与三张主图已完成。</w:t>
      </w:r>
    </w:p>
    <w:p w14:paraId="1D488EC9" w14:textId="77777777" w:rsidR="003F6CEF" w:rsidRDefault="00460A8C">
      <w:pPr>
        <w:pStyle w:val="1"/>
        <w:spacing w:before="280" w:after="120"/>
      </w:pPr>
      <w:bookmarkStart w:id="1" w:name="_Toc243235730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039A7131" w14:textId="77777777" w:rsidR="003F6CEF" w:rsidRDefault="00460A8C">
      <w:pPr>
        <w:pStyle w:val="21"/>
        <w:spacing w:after="120"/>
      </w:pPr>
      <w:bookmarkStart w:id="2" w:name="_Toc243235731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56F512CE" w14:textId="77777777" w:rsidR="003F6CEF" w:rsidRDefault="00460A8C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12DF56E9" w14:textId="77777777" w:rsidR="003F6CEF" w:rsidRDefault="00460A8C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1D15D59B" w14:textId="77777777" w:rsidR="003F6CEF" w:rsidRDefault="00460A8C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69B04E2F" w14:textId="77777777" w:rsidR="003F6CEF" w:rsidRDefault="00460A8C">
      <w:pPr>
        <w:pStyle w:val="21"/>
        <w:spacing w:after="120"/>
      </w:pPr>
      <w:bookmarkStart w:id="3" w:name="_Toc243235732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F6CEF" w14:paraId="3990C4D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BB447BA" w14:textId="77777777" w:rsidR="003F6CEF" w:rsidRDefault="003F6CEF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3E307E91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65744BE7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3F6CEF" w14:paraId="205FD188" w14:textId="77777777">
        <w:trPr>
          <w:cantSplit/>
          <w:jc w:val="center"/>
        </w:trPr>
        <w:tc>
          <w:tcPr>
            <w:tcW w:w="3137" w:type="dxa"/>
          </w:tcPr>
          <w:p w14:paraId="01DC69D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7FD508A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2AB9438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3F6CEF" w14:paraId="216F4414" w14:textId="77777777">
        <w:trPr>
          <w:cantSplit/>
          <w:jc w:val="center"/>
        </w:trPr>
        <w:tc>
          <w:tcPr>
            <w:tcW w:w="3137" w:type="dxa"/>
          </w:tcPr>
          <w:p w14:paraId="16F6193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7A31048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4588855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3F6CEF" w14:paraId="79BE2607" w14:textId="77777777">
        <w:trPr>
          <w:cantSplit/>
          <w:jc w:val="center"/>
        </w:trPr>
        <w:tc>
          <w:tcPr>
            <w:tcW w:w="3137" w:type="dxa"/>
          </w:tcPr>
          <w:p w14:paraId="449369F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6654F32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6400475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3F6CEF" w14:paraId="3BEB1C78" w14:textId="77777777">
        <w:trPr>
          <w:cantSplit/>
          <w:jc w:val="center"/>
        </w:trPr>
        <w:tc>
          <w:tcPr>
            <w:tcW w:w="3137" w:type="dxa"/>
          </w:tcPr>
          <w:p w14:paraId="0EC5CEA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5596D80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16EA773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3F6CEF" w14:paraId="5679CFC3" w14:textId="77777777">
        <w:trPr>
          <w:cantSplit/>
          <w:jc w:val="center"/>
        </w:trPr>
        <w:tc>
          <w:tcPr>
            <w:tcW w:w="3137" w:type="dxa"/>
          </w:tcPr>
          <w:p w14:paraId="45AFEBA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08EF56A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60DB41D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1A2452F2" w14:textId="77777777" w:rsidR="003F6CEF" w:rsidRDefault="003F6CEF">
      <w:pPr>
        <w:spacing w:after="0"/>
      </w:pPr>
    </w:p>
    <w:p w14:paraId="7E8EBEFD" w14:textId="77777777" w:rsidR="003F6CEF" w:rsidRDefault="00460A8C">
      <w:pPr>
        <w:pStyle w:val="21"/>
        <w:spacing w:after="120"/>
      </w:pPr>
      <w:bookmarkStart w:id="4" w:name="_Toc243235733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4541EF23" w14:textId="77777777" w:rsidR="003F6CEF" w:rsidRDefault="00460A8C">
      <w:r>
        <w:rPr>
          <w:color w:val="000000"/>
        </w:rPr>
        <w:t>陈述必须逐条回答，保持原顺序：</w:t>
      </w:r>
    </w:p>
    <w:p w14:paraId="0D7FFC0B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01F4DBCF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29A15550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2D52B1FC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5882EBCF" w14:textId="77777777" w:rsidR="003F6CEF" w:rsidRDefault="00460A8C">
      <w:r>
        <w:rPr>
          <w:color w:val="000000"/>
        </w:rPr>
        <w:t>第三问最关键：两个假说对它给出相反的预测，描述统计无法区分，只能靠检验。</w:t>
      </w:r>
    </w:p>
    <w:p w14:paraId="319D472E" w14:textId="77777777" w:rsidR="003F6CEF" w:rsidRDefault="00460A8C">
      <w:pPr>
        <w:pStyle w:val="21"/>
        <w:spacing w:after="120"/>
      </w:pPr>
      <w:bookmarkStart w:id="5" w:name="_Toc243235734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79C08786" w14:textId="77777777" w:rsidR="003F6CEF" w:rsidRDefault="00460A8C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6A1C1B62" w14:textId="77777777" w:rsidR="003F6CEF" w:rsidRDefault="00460A8C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53537A9B" w14:textId="77777777" w:rsidR="003F6CEF" w:rsidRDefault="00460A8C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44937DC0" w14:textId="77777777" w:rsidR="003F6CEF" w:rsidRDefault="00460A8C">
      <w:pPr>
        <w:pStyle w:val="21"/>
        <w:spacing w:after="120"/>
      </w:pPr>
      <w:bookmarkStart w:id="6" w:name="_Toc243235735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694C08BD" w14:textId="77777777" w:rsidR="003F6CEF" w:rsidRDefault="00460A8C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24F81A45" w14:textId="77777777" w:rsidR="003F6CEF" w:rsidRDefault="00460A8C">
      <w:pPr>
        <w:pStyle w:val="21"/>
        <w:spacing w:after="120"/>
      </w:pPr>
      <w:bookmarkStart w:id="7" w:name="_Toc243235736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5D149A36" w14:textId="77777777" w:rsidR="003F6CEF" w:rsidRDefault="00460A8C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7A6CFEF4" w14:textId="77777777" w:rsidR="003F6CEF" w:rsidRDefault="00460A8C">
      <w:pPr>
        <w:pStyle w:val="21"/>
        <w:spacing w:after="120"/>
      </w:pPr>
      <w:bookmarkStart w:id="8" w:name="_Toc243235737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427DC1B7" w14:textId="77777777" w:rsidR="003F6CEF" w:rsidRDefault="00460A8C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6D7D52AF" w14:textId="77777777" w:rsidR="003F6CEF" w:rsidRDefault="00460A8C">
      <w:pPr>
        <w:pStyle w:val="1"/>
        <w:spacing w:before="280" w:after="120"/>
      </w:pPr>
      <w:bookmarkStart w:id="9" w:name="_Toc243235738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7BD9EF2B" w14:textId="77777777" w:rsidR="003F6CEF" w:rsidRDefault="00460A8C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72B93E87" w14:textId="77777777" w:rsidR="003F6CEF" w:rsidRDefault="00460A8C">
      <w:pPr>
        <w:pStyle w:val="1"/>
        <w:spacing w:before="280" w:after="120"/>
      </w:pPr>
      <w:bookmarkStart w:id="10" w:name="_Toc243235739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47A0AF43" w14:textId="77777777" w:rsidR="003F6CEF" w:rsidRDefault="00460A8C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F6CEF" w14:paraId="443A938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A707EAB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48B86473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64F27335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3F6CEF" w14:paraId="71DD384D" w14:textId="77777777">
        <w:trPr>
          <w:cantSplit/>
          <w:jc w:val="center"/>
        </w:trPr>
        <w:tc>
          <w:tcPr>
            <w:tcW w:w="3137" w:type="dxa"/>
          </w:tcPr>
          <w:p w14:paraId="163A11F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4CCED5A4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35E6C9E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3F6CEF" w14:paraId="31A85D92" w14:textId="77777777">
        <w:trPr>
          <w:cantSplit/>
          <w:jc w:val="center"/>
        </w:trPr>
        <w:tc>
          <w:tcPr>
            <w:tcW w:w="3137" w:type="dxa"/>
          </w:tcPr>
          <w:p w14:paraId="4EC5CC7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15410F9A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7C0046C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3F6CEF" w14:paraId="2316CAC2" w14:textId="77777777">
        <w:trPr>
          <w:cantSplit/>
          <w:jc w:val="center"/>
        </w:trPr>
        <w:tc>
          <w:tcPr>
            <w:tcW w:w="3137" w:type="dxa"/>
          </w:tcPr>
          <w:p w14:paraId="231A67B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47095109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4B76AEA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3C6D2DA6" w14:textId="77777777" w:rsidR="003F6CEF" w:rsidRDefault="003F6CEF">
      <w:pPr>
        <w:spacing w:after="0"/>
      </w:pPr>
    </w:p>
    <w:p w14:paraId="437D037C" w14:textId="77777777" w:rsidR="003F6CEF" w:rsidRDefault="00460A8C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2DFB7F25" w14:textId="77777777" w:rsidR="003F6CEF" w:rsidRDefault="00460A8C">
      <w:pPr>
        <w:pStyle w:val="1"/>
        <w:spacing w:before="280" w:after="120"/>
      </w:pPr>
      <w:bookmarkStart w:id="11" w:name="_Toc243235740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244972C7" w14:textId="77777777" w:rsidR="003F6CEF" w:rsidRDefault="00460A8C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3F6CEF" w14:paraId="33CEFD83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30C508F2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11F4FECA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7EDF3ACF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54E01694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3F6CEF" w14:paraId="7B57BF9A" w14:textId="77777777">
        <w:trPr>
          <w:cantSplit/>
          <w:jc w:val="center"/>
        </w:trPr>
        <w:tc>
          <w:tcPr>
            <w:tcW w:w="2353" w:type="dxa"/>
          </w:tcPr>
          <w:p w14:paraId="26E06AF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0A73B663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142899B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749E636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3F6CEF" w14:paraId="35147487" w14:textId="77777777">
        <w:trPr>
          <w:cantSplit/>
          <w:jc w:val="center"/>
        </w:trPr>
        <w:tc>
          <w:tcPr>
            <w:tcW w:w="2353" w:type="dxa"/>
          </w:tcPr>
          <w:p w14:paraId="705E73D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728F443D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7D39D47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2E98C042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3F6CEF" w14:paraId="7F85ECFB" w14:textId="77777777">
        <w:trPr>
          <w:cantSplit/>
          <w:jc w:val="center"/>
        </w:trPr>
        <w:tc>
          <w:tcPr>
            <w:tcW w:w="2353" w:type="dxa"/>
          </w:tcPr>
          <w:p w14:paraId="6CC71CA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2DA25888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482B1F9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3968AB71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3F6CEF" w14:paraId="05597921" w14:textId="77777777">
        <w:trPr>
          <w:cantSplit/>
          <w:jc w:val="center"/>
        </w:trPr>
        <w:tc>
          <w:tcPr>
            <w:tcW w:w="2353" w:type="dxa"/>
          </w:tcPr>
          <w:p w14:paraId="4FE15EB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13FB139B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222BF09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0AB964B7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3F6CEF" w14:paraId="0B6A435E" w14:textId="77777777">
        <w:trPr>
          <w:cantSplit/>
          <w:jc w:val="center"/>
        </w:trPr>
        <w:tc>
          <w:tcPr>
            <w:tcW w:w="2353" w:type="dxa"/>
          </w:tcPr>
          <w:p w14:paraId="5488A6C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197203B2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4604856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67D992E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3F6CEF" w14:paraId="04B466C1" w14:textId="77777777">
        <w:trPr>
          <w:cantSplit/>
          <w:jc w:val="center"/>
        </w:trPr>
        <w:tc>
          <w:tcPr>
            <w:tcW w:w="2353" w:type="dxa"/>
          </w:tcPr>
          <w:p w14:paraId="06A735D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57C8E732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515A598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122A881C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3F6CEF" w14:paraId="4BF34D57" w14:textId="77777777">
        <w:trPr>
          <w:cantSplit/>
          <w:jc w:val="center"/>
        </w:trPr>
        <w:tc>
          <w:tcPr>
            <w:tcW w:w="2353" w:type="dxa"/>
          </w:tcPr>
          <w:p w14:paraId="17D69FA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1FB7A396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630B63C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46FF51D6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3F6CEF" w14:paraId="010D45FD" w14:textId="77777777">
        <w:trPr>
          <w:cantSplit/>
          <w:jc w:val="center"/>
        </w:trPr>
        <w:tc>
          <w:tcPr>
            <w:tcW w:w="2353" w:type="dxa"/>
          </w:tcPr>
          <w:p w14:paraId="4FEAF13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03340F44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7F3A601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7D8561F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3F6CEF" w14:paraId="5388AEFC" w14:textId="77777777">
        <w:trPr>
          <w:cantSplit/>
          <w:jc w:val="center"/>
        </w:trPr>
        <w:tc>
          <w:tcPr>
            <w:tcW w:w="2353" w:type="dxa"/>
          </w:tcPr>
          <w:p w14:paraId="75429FF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1800F679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77FC302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20CF80B0" w14:textId="77777777" w:rsidR="003F6CEF" w:rsidRDefault="00460A8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3DADEB97" w14:textId="77777777" w:rsidR="003F6CEF" w:rsidRDefault="003F6CEF">
      <w:pPr>
        <w:spacing w:after="0"/>
      </w:pPr>
    </w:p>
    <w:p w14:paraId="5433C4DD" w14:textId="77777777" w:rsidR="003F6CEF" w:rsidRDefault="00460A8C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61143749" w14:textId="77777777" w:rsidR="003F6CEF" w:rsidRDefault="00460A8C">
      <w:pPr>
        <w:pStyle w:val="1"/>
        <w:spacing w:before="280" w:after="120"/>
      </w:pPr>
      <w:bookmarkStart w:id="12" w:name="_Toc243235741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5F99E607" w14:textId="77777777" w:rsidR="003F6CEF" w:rsidRDefault="00460A8C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F6CEF" w14:paraId="4EB53FB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2E1A73B6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47D5C670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6F2A8ECD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3F6CEF" w14:paraId="0EC53358" w14:textId="77777777">
        <w:trPr>
          <w:cantSplit/>
          <w:jc w:val="center"/>
        </w:trPr>
        <w:tc>
          <w:tcPr>
            <w:tcW w:w="3137" w:type="dxa"/>
          </w:tcPr>
          <w:p w14:paraId="1A592E7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6A58317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546DAE51" w14:textId="77777777" w:rsidR="003F6CEF" w:rsidRDefault="003F6CEF">
            <w:pPr>
              <w:spacing w:after="40" w:line="276" w:lineRule="auto"/>
            </w:pPr>
          </w:p>
        </w:tc>
      </w:tr>
      <w:tr w:rsidR="003F6CEF" w14:paraId="78145C94" w14:textId="77777777">
        <w:trPr>
          <w:cantSplit/>
          <w:jc w:val="center"/>
        </w:trPr>
        <w:tc>
          <w:tcPr>
            <w:tcW w:w="3137" w:type="dxa"/>
          </w:tcPr>
          <w:p w14:paraId="3E4F693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07856B2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246CAC2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3F6CEF" w14:paraId="3098B1E1" w14:textId="77777777">
        <w:trPr>
          <w:cantSplit/>
          <w:jc w:val="center"/>
        </w:trPr>
        <w:tc>
          <w:tcPr>
            <w:tcW w:w="3137" w:type="dxa"/>
          </w:tcPr>
          <w:p w14:paraId="40309DD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24250A1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3C01EAC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3F6CEF" w14:paraId="0BB716C8" w14:textId="77777777">
        <w:trPr>
          <w:cantSplit/>
          <w:jc w:val="center"/>
        </w:trPr>
        <w:tc>
          <w:tcPr>
            <w:tcW w:w="3137" w:type="dxa"/>
          </w:tcPr>
          <w:p w14:paraId="6CECD98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55630E1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5420DC7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3F6CEF" w14:paraId="035A1C9C" w14:textId="77777777">
        <w:trPr>
          <w:cantSplit/>
          <w:jc w:val="center"/>
        </w:trPr>
        <w:tc>
          <w:tcPr>
            <w:tcW w:w="3137" w:type="dxa"/>
          </w:tcPr>
          <w:p w14:paraId="09F19DB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153B817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26E391B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33083B34" w14:textId="77777777" w:rsidR="003F6CEF" w:rsidRDefault="003F6CEF">
      <w:pPr>
        <w:spacing w:after="0"/>
      </w:pPr>
    </w:p>
    <w:p w14:paraId="5DD40C03" w14:textId="77777777" w:rsidR="003F6CEF" w:rsidRDefault="00460A8C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2ADDABED" w14:textId="77777777" w:rsidR="003F6CEF" w:rsidRDefault="00460A8C">
      <w:r>
        <w:rPr>
          <w:color w:val="000000"/>
        </w:rPr>
        <w:t>关键数字：</w:t>
      </w:r>
    </w:p>
    <w:p w14:paraId="15197EF6" w14:textId="77777777" w:rsidR="003F6CEF" w:rsidRDefault="00460A8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2,774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18,206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11.9%</w:t>
      </w:r>
      <w:r>
        <w:rPr>
          <w:color w:val="000000"/>
        </w:rPr>
        <w:t>、</w:t>
      </w:r>
      <w:r>
        <w:rPr>
          <w:color w:val="000000"/>
        </w:rPr>
        <w:t>11.7%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0E28715F" w14:textId="77777777" w:rsidR="003F6CEF" w:rsidRDefault="00460A8C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4092005C" w14:textId="77777777" w:rsidR="003F6CEF" w:rsidRDefault="00460A8C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3C24A1C3" w14:textId="77777777" w:rsidR="003F6CEF" w:rsidRDefault="00460A8C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645E9599" w14:textId="77777777" w:rsidR="003F6CEF" w:rsidRDefault="00460A8C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26 / </w:t>
      </w:r>
      <w:r>
        <w:rPr>
          <w:color w:val="000000"/>
        </w:rPr>
        <w:t>中小</w:t>
      </w:r>
      <w:r>
        <w:rPr>
          <w:color w:val="000000"/>
        </w:rPr>
        <w:t xml:space="preserve"> 85 </w:t>
      </w:r>
      <w:r>
        <w:rPr>
          <w:color w:val="000000"/>
        </w:rPr>
        <w:t>家（共</w:t>
      </w:r>
      <w:r>
        <w:rPr>
          <w:color w:val="000000"/>
        </w:rPr>
        <w:t xml:space="preserve"> 124 </w:t>
      </w:r>
      <w:r>
        <w:rPr>
          <w:color w:val="000000"/>
        </w:rPr>
        <w:t>家）。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1,613 </w:t>
      </w:r>
      <w:r>
        <w:rPr>
          <w:color w:val="000000"/>
        </w:rPr>
        <w:t>条明星、中部</w:t>
      </w:r>
      <w:r>
        <w:rPr>
          <w:color w:val="000000"/>
        </w:rPr>
        <w:t xml:space="preserve"> 1,159</w:t>
      </w:r>
      <w:r>
        <w:rPr>
          <w:color w:val="000000"/>
        </w:rPr>
        <w:t>、中小</w:t>
      </w:r>
      <w:r>
        <w:rPr>
          <w:color w:val="000000"/>
        </w:rPr>
        <w:t xml:space="preserve"> 2</w:t>
      </w:r>
      <w:r>
        <w:rPr>
          <w:color w:val="000000"/>
        </w:rPr>
        <w:t>。</w:t>
      </w:r>
    </w:p>
    <w:p w14:paraId="1B9DEDAB" w14:textId="77777777" w:rsidR="003F6CEF" w:rsidRDefault="00460A8C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14B37FDB" w14:textId="77777777" w:rsidR="003F6CEF" w:rsidRDefault="00460A8C">
      <w:pPr>
        <w:pStyle w:val="1"/>
        <w:spacing w:before="280" w:after="120"/>
      </w:pPr>
      <w:bookmarkStart w:id="13" w:name="_Toc243235742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453CBA04" w14:textId="77777777" w:rsidR="003F6CEF" w:rsidRDefault="00460A8C">
      <w:pPr>
        <w:pStyle w:val="21"/>
        <w:spacing w:after="120"/>
      </w:pPr>
      <w:bookmarkStart w:id="14" w:name="_Toc243235743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45B913E7" w14:textId="77777777" w:rsidR="003F6CEF" w:rsidRDefault="00460A8C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683D66B2" w14:textId="77777777" w:rsidR="003F6CEF" w:rsidRDefault="00460A8C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1699BC71" w14:textId="77777777" w:rsidR="003F6CEF" w:rsidRDefault="00460A8C">
      <w:pPr>
        <w:pStyle w:val="21"/>
        <w:spacing w:after="120"/>
      </w:pPr>
      <w:bookmarkStart w:id="15" w:name="_Toc243235744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22DF059B" w14:textId="77777777" w:rsidR="003F6CEF" w:rsidRDefault="00460A8C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60E6DAE1" w14:textId="77777777" w:rsidR="003F6CEF" w:rsidRDefault="00460A8C">
      <w:pPr>
        <w:pStyle w:val="21"/>
        <w:spacing w:after="120"/>
      </w:pPr>
      <w:bookmarkStart w:id="16" w:name="_Toc243235745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1367E632" w14:textId="77777777" w:rsidR="003F6CEF" w:rsidRDefault="00460A8C">
      <w:r>
        <w:rPr>
          <w:color w:val="000000"/>
        </w:rPr>
        <w:t>没有现成的官方研究部门层级名单。证监会的分类评级评的是证券公司整体，含资本、合规与风控，不是研究所的覆盖能力；新财富已经用于定义</w:t>
      </w:r>
      <w:r>
        <w:rPr>
          <w:color w:val="000000"/>
        </w:rPr>
        <w:t xml:space="preserve"> star</w:t>
      </w:r>
      <w:r>
        <w:rPr>
          <w:color w:val="000000"/>
        </w:rPr>
        <w:t>，再用它定义层级会把两个权威口径重复计算。所以这里自建代理变量。</w:t>
      </w:r>
    </w:p>
    <w:p w14:paraId="13F6DAB1" w14:textId="77777777" w:rsidR="003F6CEF" w:rsidRDefault="00460A8C">
      <w:r>
        <w:rPr>
          <w:color w:val="000000"/>
        </w:rPr>
        <w:t>代理变量是研究产出规模：该机构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年全部评级记录的条数。具体分三步：</w:t>
      </w:r>
    </w:p>
    <w:p w14:paraId="00307991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先定身份。</w:t>
      </w:r>
      <w:r>
        <w:rPr>
          <w:color w:val="000000"/>
        </w:rPr>
        <w:t xml:space="preserve"> </w:t>
      </w:r>
      <w:r>
        <w:rPr>
          <w:color w:val="000000"/>
        </w:rPr>
        <w:t>按年份把改名与合并并到同一家，稳定身份采用</w:t>
      </w:r>
      <w:r>
        <w:rPr>
          <w:b/>
          <w:color w:val="000000"/>
        </w:rPr>
        <w:t>样本期内最先在用的名称</w:t>
      </w:r>
      <w:r>
        <w:rPr>
          <w:color w:val="000000"/>
        </w:rPr>
        <w:t>，不采用未来的新名：国泰君安（</w:t>
      </w:r>
      <w:r>
        <w:rPr>
          <w:color w:val="000000"/>
        </w:rPr>
        <w:t xml:space="preserve">2025 </w:t>
      </w:r>
      <w:r>
        <w:rPr>
          <w:color w:val="000000"/>
        </w:rPr>
        <w:t>年才合并为国泰海通）、安信证券（</w:t>
      </w:r>
      <w:r>
        <w:rPr>
          <w:color w:val="000000"/>
        </w:rPr>
        <w:t xml:space="preserve">2024 </w:t>
      </w:r>
      <w:r>
        <w:rPr>
          <w:color w:val="000000"/>
        </w:rPr>
        <w:t>年改名国投证券）、国联证券（</w:t>
      </w:r>
      <w:r>
        <w:rPr>
          <w:color w:val="000000"/>
        </w:rPr>
        <w:t xml:space="preserve">2025 </w:t>
      </w:r>
      <w:r>
        <w:rPr>
          <w:color w:val="000000"/>
        </w:rPr>
        <w:t>年合并为国联民生）、华菁证券（</w:t>
      </w:r>
      <w:r>
        <w:rPr>
          <w:color w:val="000000"/>
        </w:rPr>
        <w:t xml:space="preserve">2021 </w:t>
      </w:r>
      <w:r>
        <w:rPr>
          <w:color w:val="000000"/>
        </w:rPr>
        <w:t>年改名华兴证券）、新时代证券（</w:t>
      </w:r>
      <w:r>
        <w:rPr>
          <w:color w:val="000000"/>
        </w:rPr>
        <w:t xml:space="preserve">2022 </w:t>
      </w:r>
      <w:r>
        <w:rPr>
          <w:color w:val="000000"/>
        </w:rPr>
        <w:t>年更名诚通证券）、联讯证券（</w:t>
      </w:r>
      <w:r>
        <w:rPr>
          <w:color w:val="000000"/>
        </w:rPr>
        <w:t xml:space="preserve">2020 </w:t>
      </w:r>
      <w:r>
        <w:rPr>
          <w:color w:val="000000"/>
        </w:rPr>
        <w:t>年改名粤开证券）、财富证券（</w:t>
      </w:r>
      <w:r>
        <w:rPr>
          <w:color w:val="000000"/>
        </w:rPr>
        <w:t xml:space="preserve">2020 </w:t>
      </w:r>
      <w:r>
        <w:rPr>
          <w:color w:val="000000"/>
        </w:rPr>
        <w:t>年改名财信证券）。同一家券商的所有历史写法只算一个身份，当前共</w:t>
      </w:r>
      <w:r>
        <w:rPr>
          <w:color w:val="000000"/>
        </w:rPr>
        <w:t xml:space="preserve"> 124 </w:t>
      </w:r>
      <w:r>
        <w:rPr>
          <w:color w:val="000000"/>
        </w:rPr>
        <w:t>个。事件表保留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原始名称；展示时用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返回当年名称，所以</w:t>
      </w:r>
      <w:r>
        <w:rPr>
          <w:color w:val="000000"/>
        </w:rPr>
        <w:t xml:space="preserve"> 2018 </w:t>
      </w:r>
      <w:r>
        <w:rPr>
          <w:color w:val="000000"/>
        </w:rPr>
        <w:t>年的国泰君安不会写成国泰海通，</w:t>
      </w:r>
      <w:r>
        <w:rPr>
          <w:color w:val="000000"/>
        </w:rPr>
        <w:t xml:space="preserve">2024 </w:t>
      </w:r>
      <w:r>
        <w:rPr>
          <w:color w:val="000000"/>
        </w:rPr>
        <w:t>年的安信会显示国投。</w:t>
      </w:r>
    </w:p>
    <w:p w14:paraId="5EB46B2B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再算规模。</w:t>
      </w:r>
      <w:r>
        <w:rPr>
          <w:color w:val="000000"/>
        </w:rPr>
        <w:t xml:space="preserve"> </w:t>
      </w:r>
      <w:r>
        <w:rPr>
          <w:color w:val="000000"/>
        </w:rPr>
        <w:t>对每个稳定身份，统计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年的全部评级记录条数。子公司（海通国际、华泰金融</w:t>
      </w:r>
      <w:r>
        <w:rPr>
          <w:color w:val="000000"/>
        </w:rPr>
        <w:t>(HK)</w:t>
      </w:r>
      <w:r>
        <w:rPr>
          <w:color w:val="000000"/>
        </w:rPr>
        <w:t>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</w:t>
      </w:r>
      <w:r>
        <w:rPr>
          <w:color w:val="000000"/>
        </w:rPr>
        <w:t>等）保留为独立身份；</w:t>
      </w:r>
      <w:r>
        <w:rPr>
          <w:color w:val="000000"/>
        </w:rPr>
        <w:t xml:space="preserve">star </w:t>
      </w:r>
      <w:r>
        <w:rPr>
          <w:color w:val="000000"/>
        </w:rPr>
        <w:t>匹配时才排除，因为上榜分析师挂在母公司。</w:t>
      </w:r>
    </w:p>
    <w:p w14:paraId="4A803301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后按累计份额切。</w:t>
      </w:r>
      <w:r>
        <w:rPr>
          <w:color w:val="000000"/>
        </w:rPr>
        <w:t xml:space="preserve"> </w:t>
      </w:r>
      <w:r>
        <w:rPr>
          <w:color w:val="000000"/>
        </w:rPr>
        <w:t>按记录数从高到低排序，头部是含自身累计不超过</w:t>
      </w:r>
      <w:r>
        <w:rPr>
          <w:color w:val="000000"/>
        </w:rPr>
        <w:t xml:space="preserve"> 50% </w:t>
      </w:r>
      <w:r>
        <w:rPr>
          <w:color w:val="000000"/>
        </w:rPr>
        <w:t>的机构（</w:t>
      </w:r>
      <w:r>
        <w:rPr>
          <w:color w:val="000000"/>
        </w:rPr>
        <w:t xml:space="preserve">13 </w:t>
      </w:r>
      <w:r>
        <w:rPr>
          <w:color w:val="000000"/>
        </w:rPr>
        <w:t>家，</w:t>
      </w:r>
      <w:r>
        <w:rPr>
          <w:color w:val="000000"/>
        </w:rPr>
        <w:t>48.0%</w:t>
      </w:r>
      <w:r>
        <w:rPr>
          <w:color w:val="000000"/>
        </w:rPr>
        <w:t>）；中部继续累计到</w:t>
      </w:r>
      <w:r>
        <w:rPr>
          <w:color w:val="000000"/>
        </w:rPr>
        <w:t xml:space="preserve"> 90%</w:t>
      </w:r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家，</w:t>
      </w:r>
      <w:r>
        <w:rPr>
          <w:color w:val="000000"/>
        </w:rPr>
        <w:t>41.4%</w:t>
      </w:r>
      <w:r>
        <w:rPr>
          <w:color w:val="000000"/>
        </w:rPr>
        <w:t>）；其余为中小（</w:t>
      </w:r>
      <w:r>
        <w:rPr>
          <w:color w:val="000000"/>
        </w:rPr>
        <w:t xml:space="preserve">85 </w:t>
      </w:r>
      <w:r>
        <w:rPr>
          <w:color w:val="000000"/>
        </w:rPr>
        <w:t>家，</w:t>
      </w:r>
      <w:r>
        <w:rPr>
          <w:color w:val="000000"/>
        </w:rPr>
        <w:t>10.6%</w:t>
      </w:r>
      <w:r>
        <w:rPr>
          <w:color w:val="000000"/>
        </w:rPr>
        <w:t>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3F6CEF" w14:paraId="4814CD6A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3331822F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层级</w:t>
            </w:r>
          </w:p>
        </w:tc>
        <w:tc>
          <w:tcPr>
            <w:tcW w:w="1882" w:type="dxa"/>
            <w:shd w:val="clear" w:color="auto" w:fill="F2F2F2"/>
          </w:tcPr>
          <w:p w14:paraId="0D5C103B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  <w:tc>
          <w:tcPr>
            <w:tcW w:w="1882" w:type="dxa"/>
            <w:shd w:val="clear" w:color="auto" w:fill="F2F2F2"/>
          </w:tcPr>
          <w:p w14:paraId="1FE76208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机构数</w:t>
            </w:r>
          </w:p>
        </w:tc>
        <w:tc>
          <w:tcPr>
            <w:tcW w:w="1882" w:type="dxa"/>
            <w:shd w:val="clear" w:color="auto" w:fill="F2F2F2"/>
          </w:tcPr>
          <w:p w14:paraId="0AA88209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记录份额</w:t>
            </w:r>
          </w:p>
        </w:tc>
        <w:tc>
          <w:tcPr>
            <w:tcW w:w="1882" w:type="dxa"/>
            <w:shd w:val="clear" w:color="auto" w:fill="F2F2F2"/>
          </w:tcPr>
          <w:p w14:paraId="7D913E6D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3F6CEF" w14:paraId="2ECA3485" w14:textId="77777777">
        <w:trPr>
          <w:cantSplit/>
          <w:jc w:val="center"/>
        </w:trPr>
        <w:tc>
          <w:tcPr>
            <w:tcW w:w="1882" w:type="dxa"/>
          </w:tcPr>
          <w:p w14:paraId="6119320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</w:p>
        </w:tc>
        <w:tc>
          <w:tcPr>
            <w:tcW w:w="1882" w:type="dxa"/>
          </w:tcPr>
          <w:p w14:paraId="1EA1EEB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含自身累计不超过</w:t>
            </w:r>
            <w:r>
              <w:rPr>
                <w:color w:val="000000"/>
                <w:sz w:val="21"/>
              </w:rPr>
              <w:t xml:space="preserve"> 50%</w:t>
            </w:r>
          </w:p>
        </w:tc>
        <w:tc>
          <w:tcPr>
            <w:tcW w:w="1882" w:type="dxa"/>
          </w:tcPr>
          <w:p w14:paraId="454EF19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1882" w:type="dxa"/>
          </w:tcPr>
          <w:p w14:paraId="0096056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48.0%</w:t>
            </w:r>
          </w:p>
        </w:tc>
        <w:tc>
          <w:tcPr>
            <w:tcW w:w="1882" w:type="dxa"/>
          </w:tcPr>
          <w:p w14:paraId="165AA72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8,368</w:t>
            </w:r>
          </w:p>
        </w:tc>
      </w:tr>
      <w:tr w:rsidR="003F6CEF" w14:paraId="54DDB86E" w14:textId="77777777">
        <w:trPr>
          <w:cantSplit/>
          <w:jc w:val="center"/>
        </w:trPr>
        <w:tc>
          <w:tcPr>
            <w:tcW w:w="1882" w:type="dxa"/>
          </w:tcPr>
          <w:p w14:paraId="1E4D92A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中部</w:t>
            </w:r>
          </w:p>
        </w:tc>
        <w:tc>
          <w:tcPr>
            <w:tcW w:w="1882" w:type="dxa"/>
          </w:tcPr>
          <w:p w14:paraId="20FF883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继续累计到</w:t>
            </w:r>
            <w:r>
              <w:rPr>
                <w:color w:val="000000"/>
                <w:sz w:val="21"/>
              </w:rPr>
              <w:t xml:space="preserve"> 90%</w:t>
            </w:r>
          </w:p>
        </w:tc>
        <w:tc>
          <w:tcPr>
            <w:tcW w:w="1882" w:type="dxa"/>
          </w:tcPr>
          <w:p w14:paraId="061A688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26</w:t>
            </w:r>
          </w:p>
        </w:tc>
        <w:tc>
          <w:tcPr>
            <w:tcW w:w="1882" w:type="dxa"/>
          </w:tcPr>
          <w:p w14:paraId="3E282B5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41.4%</w:t>
            </w:r>
          </w:p>
        </w:tc>
        <w:tc>
          <w:tcPr>
            <w:tcW w:w="1882" w:type="dxa"/>
          </w:tcPr>
          <w:p w14:paraId="26137E3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9,272</w:t>
            </w:r>
          </w:p>
        </w:tc>
      </w:tr>
      <w:tr w:rsidR="003F6CEF" w14:paraId="54A62E92" w14:textId="77777777">
        <w:trPr>
          <w:cantSplit/>
          <w:jc w:val="center"/>
        </w:trPr>
        <w:tc>
          <w:tcPr>
            <w:tcW w:w="1882" w:type="dxa"/>
          </w:tcPr>
          <w:p w14:paraId="58F9337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中小</w:t>
            </w:r>
          </w:p>
        </w:tc>
        <w:tc>
          <w:tcPr>
            <w:tcW w:w="1882" w:type="dxa"/>
          </w:tcPr>
          <w:p w14:paraId="6B39595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其余</w:t>
            </w:r>
          </w:p>
        </w:tc>
        <w:tc>
          <w:tcPr>
            <w:tcW w:w="1882" w:type="dxa"/>
          </w:tcPr>
          <w:p w14:paraId="12244B8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85</w:t>
            </w:r>
          </w:p>
        </w:tc>
        <w:tc>
          <w:tcPr>
            <w:tcW w:w="1882" w:type="dxa"/>
          </w:tcPr>
          <w:p w14:paraId="1572181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10.6%</w:t>
            </w:r>
          </w:p>
        </w:tc>
        <w:tc>
          <w:tcPr>
            <w:tcW w:w="1882" w:type="dxa"/>
          </w:tcPr>
          <w:p w14:paraId="5512FDF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3,340</w:t>
            </w:r>
          </w:p>
        </w:tc>
      </w:tr>
    </w:tbl>
    <w:p w14:paraId="06556D36" w14:textId="77777777" w:rsidR="003F6CEF" w:rsidRDefault="003F6CEF">
      <w:pPr>
        <w:spacing w:after="0"/>
      </w:pPr>
    </w:p>
    <w:p w14:paraId="164B5FC0" w14:textId="77777777" w:rsidR="003F6CEF" w:rsidRDefault="00460A8C">
      <w:r>
        <w:rPr>
          <w:color w:val="000000"/>
        </w:rPr>
        <w:t>第</w:t>
      </w:r>
      <w:r>
        <w:rPr>
          <w:color w:val="000000"/>
        </w:rPr>
        <w:t xml:space="preserve"> 14 </w:t>
      </w:r>
      <w:r>
        <w:rPr>
          <w:color w:val="000000"/>
        </w:rPr>
        <w:t>家会把累计份额推过</w:t>
      </w:r>
      <w:r>
        <w:rPr>
          <w:color w:val="000000"/>
        </w:rPr>
        <w:t xml:space="preserve"> 50%</w:t>
      </w:r>
      <w:r>
        <w:rPr>
          <w:color w:val="000000"/>
        </w:rPr>
        <w:t>，按「含自身不超过</w:t>
      </w:r>
      <w:r>
        <w:rPr>
          <w:color w:val="000000"/>
        </w:rPr>
        <w:t xml:space="preserve"> 50%</w:t>
      </w:r>
      <w:r>
        <w:rPr>
          <w:color w:val="000000"/>
        </w:rPr>
        <w:t>」的规则归入中部，所以头部是</w:t>
      </w:r>
      <w:r>
        <w:rPr>
          <w:color w:val="000000"/>
        </w:rPr>
        <w:t xml:space="preserve"> 13 </w:t>
      </w:r>
      <w:r>
        <w:rPr>
          <w:color w:val="000000"/>
        </w:rPr>
        <w:t>家而不是</w:t>
      </w:r>
      <w:r>
        <w:rPr>
          <w:color w:val="000000"/>
        </w:rPr>
        <w:t xml:space="preserve"> 14 </w:t>
      </w:r>
      <w:r>
        <w:rPr>
          <w:color w:val="000000"/>
        </w:rPr>
        <w:t>家。</w:t>
      </w:r>
    </w:p>
    <w:p w14:paraId="64A505E4" w14:textId="77777777" w:rsidR="003F6CEF" w:rsidRDefault="00460A8C">
      <w:r>
        <w:rPr>
          <w:color w:val="000000"/>
        </w:rPr>
        <w:t>为什么按累计份额切，而不是按机构数等份三分位：机构记录数极度偏斜。实测按机构数等分时，前</w:t>
      </w:r>
      <w:r>
        <w:rPr>
          <w:color w:val="000000"/>
        </w:rPr>
        <w:t xml:space="preserve"> 42 </w:t>
      </w:r>
      <w:r>
        <w:rPr>
          <w:color w:val="000000"/>
        </w:rPr>
        <w:t>家（三分之一）就占了全部</w:t>
      </w:r>
      <w:r>
        <w:rPr>
          <w:color w:val="000000"/>
        </w:rPr>
        <w:t xml:space="preserve"> 520,567 </w:t>
      </w:r>
      <w:r>
        <w:rPr>
          <w:color w:val="000000"/>
        </w:rPr>
        <w:t>条记录的</w:t>
      </w:r>
      <w:r>
        <w:rPr>
          <w:color w:val="000000"/>
        </w:rPr>
        <w:t xml:space="preserve"> 91.8%</w:t>
      </w:r>
      <w:r>
        <w:rPr>
          <w:color w:val="000000"/>
        </w:rPr>
        <w:t>。等份切的后果是头部几乎等于整个市场，中部与中小合计不到</w:t>
      </w:r>
      <w:r>
        <w:rPr>
          <w:color w:val="000000"/>
        </w:rPr>
        <w:t xml:space="preserve"> 9%</w:t>
      </w:r>
      <w:r>
        <w:rPr>
          <w:color w:val="000000"/>
        </w:rPr>
        <w:t>，层级失去区分力，分组检验也没有样本。按累计份额切，每一层都有实质研究产出：头部</w:t>
      </w:r>
      <w:r>
        <w:rPr>
          <w:color w:val="000000"/>
        </w:rPr>
        <w:t xml:space="preserve"> 48.0%</w:t>
      </w:r>
      <w:r>
        <w:rPr>
          <w:color w:val="000000"/>
        </w:rPr>
        <w:t>、中部</w:t>
      </w:r>
      <w:r>
        <w:rPr>
          <w:color w:val="000000"/>
        </w:rPr>
        <w:t xml:space="preserve"> 41.4%</w:t>
      </w:r>
      <w:r>
        <w:rPr>
          <w:color w:val="000000"/>
        </w:rPr>
        <w:t>、中小</w:t>
      </w:r>
      <w:r>
        <w:rPr>
          <w:color w:val="000000"/>
        </w:rPr>
        <w:t xml:space="preserve"> 10.6%</w:t>
      </w:r>
      <w:r>
        <w:rPr>
          <w:color w:val="000000"/>
        </w:rPr>
        <w:t>，与卖方研究由少数大所主导的市场结构一致。</w:t>
      </w:r>
      <w:r>
        <w:rPr>
          <w:color w:val="000000"/>
        </w:rPr>
        <w:t xml:space="preserve">50% </w:t>
      </w:r>
      <w:r>
        <w:rPr>
          <w:color w:val="000000"/>
        </w:rPr>
        <w:t>切出主导集团，</w:t>
      </w:r>
      <w:r>
        <w:rPr>
          <w:color w:val="000000"/>
        </w:rPr>
        <w:t xml:space="preserve">90% </w:t>
      </w:r>
      <w:r>
        <w:rPr>
          <w:color w:val="000000"/>
        </w:rPr>
        <w:t>切掉长尾。</w:t>
      </w:r>
    </w:p>
    <w:p w14:paraId="29DFDE10" w14:textId="77777777" w:rsidR="003F6CEF" w:rsidRDefault="00460A8C">
      <w:r>
        <w:rPr>
          <w:color w:val="000000"/>
        </w:rPr>
        <w:t>三个局限要写进附录：层级由同一份评级数据构造，包含事件本身，只能作描述性变量，不能作因果变量；主口径的层级固定在整个样本期，改名与合并虽已并成同一身份，但层级仍是全期一次划分，滚动层级另做稳健性；</w:t>
      </w:r>
      <w:r>
        <w:rPr>
          <w:color w:val="000000"/>
        </w:rPr>
        <w:t xml:space="preserve">star </w:t>
      </w:r>
      <w:r>
        <w:rPr>
          <w:color w:val="000000"/>
        </w:rPr>
        <w:t>与层级高度共线（中小层级只有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条明星下调），不能把层级解读为独立的因果作用。切点本身是人为选择，稳健性里应换</w:t>
      </w:r>
      <w:r>
        <w:rPr>
          <w:color w:val="000000"/>
        </w:rPr>
        <w:t xml:space="preserve"> 40/80 </w:t>
      </w:r>
      <w:r>
        <w:rPr>
          <w:color w:val="000000"/>
        </w:rPr>
        <w:t>或</w:t>
      </w:r>
      <w:r>
        <w:rPr>
          <w:color w:val="000000"/>
        </w:rPr>
        <w:t xml:space="preserve"> 60/90 </w:t>
      </w:r>
      <w:r>
        <w:rPr>
          <w:color w:val="000000"/>
        </w:rPr>
        <w:t>重估第</w:t>
      </w:r>
      <w:r>
        <w:rPr>
          <w:color w:val="000000"/>
        </w:rPr>
        <w:t xml:space="preserve"> 4 </w:t>
      </w:r>
      <w:r>
        <w:rPr>
          <w:color w:val="000000"/>
        </w:rPr>
        <w:t>问。</w:t>
      </w:r>
    </w:p>
    <w:p w14:paraId="0C56C450" w14:textId="77777777" w:rsidR="003F6CEF" w:rsidRDefault="00460A8C">
      <w:r>
        <w:rPr>
          <w:color w:val="000000"/>
        </w:rPr>
        <w:t>滚动层级稳健性：为消除前视偏误，另按事件年</w:t>
      </w:r>
      <w:r>
        <w:rPr>
          <w:color w:val="000000"/>
        </w:rPr>
        <w:t xml:space="preserve"> t </w:t>
      </w:r>
      <w:r>
        <w:rPr>
          <w:color w:val="000000"/>
        </w:rPr>
        <w:t>之前最多三年（</w:t>
      </w:r>
      <w:r>
        <w:rPr>
          <w:color w:val="000000"/>
        </w:rPr>
        <w:t xml:space="preserve">t-3 </w:t>
      </w:r>
      <w:r>
        <w:rPr>
          <w:color w:val="000000"/>
        </w:rPr>
        <w:t>至</w:t>
      </w:r>
      <w:r>
        <w:rPr>
          <w:color w:val="000000"/>
        </w:rPr>
        <w:t xml:space="preserve"> t-1</w:t>
      </w:r>
      <w:r>
        <w:rPr>
          <w:color w:val="000000"/>
        </w:rPr>
        <w:t>）的记录数重排层级，切点不变。</w:t>
      </w:r>
      <w:r>
        <w:rPr>
          <w:color w:val="000000"/>
        </w:rPr>
        <w:t xml:space="preserve">2018 </w:t>
      </w:r>
      <w:r>
        <w:rPr>
          <w:color w:val="000000"/>
        </w:rPr>
        <w:t>年没有更早数据，用当年记录并在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broker_tier_rolling.csv</w:t>
      </w:r>
      <w:r>
        <w:rPr>
          <w:color w:val="000000"/>
        </w:rPr>
        <w:t xml:space="preserve"> </w:t>
      </w:r>
      <w:r>
        <w:rPr>
          <w:color w:val="000000"/>
        </w:rPr>
        <w:t>标注。结果</w:t>
      </w:r>
      <w:r>
        <w:rPr>
          <w:color w:val="000000"/>
        </w:rPr>
        <w:t xml:space="preserve"> 23.1% </w:t>
      </w:r>
      <w:r>
        <w:rPr>
          <w:color w:val="000000"/>
        </w:rPr>
        <w:t>的事件换了层级，</w:t>
      </w:r>
      <w:r>
        <w:rPr>
          <w:color w:val="000000"/>
        </w:rPr>
        <w:t xml:space="preserve">62 </w:t>
      </w:r>
      <w:r>
        <w:rPr>
          <w:color w:val="000000"/>
        </w:rPr>
        <w:t>条事件因窗口内无记录无法归类。用滚动层级重估第</w:t>
      </w:r>
      <w:r>
        <w:rPr>
          <w:color w:val="000000"/>
        </w:rPr>
        <w:t xml:space="preserve"> 4 </w:t>
      </w:r>
      <w:r>
        <w:rPr>
          <w:color w:val="000000"/>
        </w:rPr>
        <w:t>问，上调与下调的不对称几乎不变（</w:t>
      </w:r>
      <w:r>
        <w:rPr>
          <w:color w:val="000000"/>
        </w:rPr>
        <w:t xml:space="preserve">[-1,+5] </w:t>
      </w:r>
      <w:r>
        <w:rPr>
          <w:color w:val="000000"/>
        </w:rPr>
        <w:t>交互项</w:t>
      </w:r>
      <w:r>
        <w:rPr>
          <w:color w:val="000000"/>
        </w:rPr>
        <w:t xml:space="preserve"> −0.70</w:t>
      </w:r>
      <w:r>
        <w:rPr>
          <w:color w:val="000000"/>
        </w:rPr>
        <w:t>，</w:t>
      </w:r>
      <w:r>
        <w:rPr>
          <w:color w:val="000000"/>
        </w:rPr>
        <w:t>p=0.024</w:t>
      </w:r>
      <w:r>
        <w:rPr>
          <w:color w:val="000000"/>
        </w:rPr>
        <w:t>；成交量</w:t>
      </w:r>
      <w:r>
        <w:rPr>
          <w:color w:val="000000"/>
        </w:rPr>
        <w:t xml:space="preserve"> −0.058</w:t>
      </w:r>
      <w:r>
        <w:rPr>
          <w:color w:val="000000"/>
        </w:rPr>
        <w:t>，</w:t>
      </w:r>
      <w:r>
        <w:rPr>
          <w:color w:val="000000"/>
        </w:rPr>
        <w:t>p=0.038</w:t>
      </w:r>
      <w:r>
        <w:rPr>
          <w:color w:val="000000"/>
        </w:rPr>
        <w:t>），但层级本身的显著性不稳定：头部上调的</w:t>
      </w:r>
      <w:r>
        <w:rPr>
          <w:color w:val="000000"/>
        </w:rPr>
        <w:t xml:space="preserve"> CAR </w:t>
      </w:r>
      <w:r>
        <w:rPr>
          <w:color w:val="000000"/>
        </w:rPr>
        <w:t>溢价从</w:t>
      </w:r>
      <w:r>
        <w:rPr>
          <w:color w:val="000000"/>
        </w:rPr>
        <w:t xml:space="preserve"> +0.55</w:t>
      </w:r>
      <w:r>
        <w:rPr>
          <w:color w:val="000000"/>
        </w:rPr>
        <w:t>（</w:t>
      </w:r>
      <w:r>
        <w:rPr>
          <w:color w:val="000000"/>
        </w:rPr>
        <w:t>p=0.016</w:t>
      </w:r>
      <w:r>
        <w:rPr>
          <w:color w:val="000000"/>
        </w:rPr>
        <w:t>）变为</w:t>
      </w:r>
      <w:r>
        <w:rPr>
          <w:color w:val="000000"/>
        </w:rPr>
        <w:t xml:space="preserve"> +0.49</w:t>
      </w:r>
      <w:r>
        <w:rPr>
          <w:color w:val="000000"/>
        </w:rPr>
        <w:t>（</w:t>
      </w:r>
      <w:r>
        <w:rPr>
          <w:color w:val="000000"/>
        </w:rPr>
        <w:t>p=0.044</w:t>
      </w:r>
      <w:r>
        <w:rPr>
          <w:color w:val="000000"/>
        </w:rPr>
        <w:t>），成交量溢价从</w:t>
      </w:r>
      <w:r>
        <w:rPr>
          <w:color w:val="000000"/>
        </w:rPr>
        <w:t xml:space="preserve"> +0.063</w:t>
      </w:r>
      <w:r>
        <w:rPr>
          <w:color w:val="000000"/>
        </w:rPr>
        <w:t>（</w:t>
      </w:r>
      <w:r>
        <w:rPr>
          <w:color w:val="000000"/>
        </w:rPr>
        <w:t>p=0.013</w:t>
      </w:r>
      <w:r>
        <w:rPr>
          <w:color w:val="000000"/>
        </w:rPr>
        <w:t>）变为</w:t>
      </w:r>
      <w:r>
        <w:rPr>
          <w:color w:val="000000"/>
        </w:rPr>
        <w:t xml:space="preserve"> +0.042</w:t>
      </w:r>
      <w:r>
        <w:rPr>
          <w:color w:val="000000"/>
        </w:rPr>
        <w:t>（</w:t>
      </w:r>
      <w:r>
        <w:rPr>
          <w:color w:val="000000"/>
        </w:rPr>
        <w:t>p=0.100</w:t>
      </w:r>
      <w:r>
        <w:rPr>
          <w:color w:val="000000"/>
        </w:rPr>
        <w:t>）；中部下调的</w:t>
      </w:r>
      <w:r>
        <w:rPr>
          <w:color w:val="000000"/>
        </w:rPr>
        <w:t xml:space="preserve"> +0.62</w:t>
      </w:r>
      <w:r>
        <w:rPr>
          <w:color w:val="000000"/>
        </w:rPr>
        <w:t>（</w:t>
      </w:r>
      <w:r>
        <w:rPr>
          <w:color w:val="000000"/>
        </w:rPr>
        <w:t>p=0.007</w:t>
      </w:r>
      <w:r>
        <w:rPr>
          <w:color w:val="000000"/>
        </w:rPr>
        <w:t>）变为</w:t>
      </w:r>
      <w:r>
        <w:rPr>
          <w:color w:val="000000"/>
        </w:rPr>
        <w:t xml:space="preserve"> +0.32</w:t>
      </w:r>
      <w:r>
        <w:rPr>
          <w:color w:val="000000"/>
        </w:rPr>
        <w:t>（</w:t>
      </w:r>
      <w:r>
        <w:rPr>
          <w:color w:val="000000"/>
        </w:rPr>
        <w:t>p=0.131</w:t>
      </w:r>
      <w:r>
        <w:rPr>
          <w:color w:val="000000"/>
        </w:rPr>
        <w:t>）。所以层级结果只能作为提示，不能作为稳定结论。</w:t>
      </w:r>
    </w:p>
    <w:p w14:paraId="77B5E2E3" w14:textId="77777777" w:rsidR="003F6CEF" w:rsidRDefault="00460A8C">
      <w:pPr>
        <w:pStyle w:val="1"/>
        <w:spacing w:before="280" w:after="120"/>
      </w:pPr>
      <w:bookmarkStart w:id="17" w:name="_Toc243235746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17CE16A7" w14:textId="77777777" w:rsidR="003F6CEF" w:rsidRDefault="00460A8C">
      <w:r>
        <w:rPr>
          <w:color w:val="000000"/>
        </w:rPr>
        <w:t>这一节是这份备忘最有价值的部分，都是实测踩过、已经处理或如实写进局限的。</w:t>
      </w:r>
    </w:p>
    <w:p w14:paraId="5847C5A1" w14:textId="77777777" w:rsidR="003F6CEF" w:rsidRDefault="00460A8C">
      <w:pPr>
        <w:pStyle w:val="21"/>
        <w:spacing w:after="120"/>
      </w:pPr>
      <w:bookmarkStart w:id="18" w:name="_Toc243235747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54759DD5" w14:textId="77777777" w:rsidR="003F6CEF" w:rsidRDefault="00460A8C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3F34E73F" w14:textId="77777777" w:rsidR="003F6CEF" w:rsidRDefault="00460A8C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6B9820D2" w14:textId="77777777" w:rsidR="003F6CEF" w:rsidRDefault="00460A8C">
      <w:pPr>
        <w:pStyle w:val="21"/>
        <w:spacing w:after="120"/>
      </w:pPr>
      <w:bookmarkStart w:id="19" w:name="_Toc243235748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462FF653" w14:textId="77777777" w:rsidR="003F6CEF" w:rsidRDefault="00460A8C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3909A67E" w14:textId="77777777" w:rsidR="003F6CEF" w:rsidRDefault="00460A8C">
      <w:pPr>
        <w:pStyle w:val="21"/>
        <w:spacing w:after="120"/>
      </w:pPr>
      <w:bookmarkStart w:id="20" w:name="_Toc243235749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42450F88" w14:textId="77777777" w:rsidR="003F6CEF" w:rsidRDefault="00460A8C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6E71B37D" w14:textId="77777777" w:rsidR="003F6CEF" w:rsidRDefault="00460A8C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条明星研报被误判成非明星。归并中信建投后，券商层级从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）换了层级。此后又按年份并入安信</w:t>
      </w:r>
      <w:r>
        <w:rPr>
          <w:color w:val="000000"/>
        </w:rPr>
        <w:t>/</w:t>
      </w:r>
      <w:r>
        <w:rPr>
          <w:color w:val="000000"/>
        </w:rPr>
        <w:t>国投、国联</w:t>
      </w:r>
      <w:r>
        <w:rPr>
          <w:color w:val="000000"/>
        </w:rPr>
        <w:t>/</w:t>
      </w:r>
      <w:r>
        <w:rPr>
          <w:color w:val="000000"/>
        </w:rPr>
        <w:t>国联民生、华菁</w:t>
      </w:r>
      <w:r>
        <w:rPr>
          <w:color w:val="000000"/>
        </w:rPr>
        <w:t>/</w:t>
      </w:r>
      <w:r>
        <w:rPr>
          <w:color w:val="000000"/>
        </w:rPr>
        <w:t>华兴、新时代</w:t>
      </w:r>
      <w:r>
        <w:rPr>
          <w:color w:val="000000"/>
        </w:rPr>
        <w:t>/</w:t>
      </w:r>
      <w:r>
        <w:rPr>
          <w:color w:val="000000"/>
        </w:rPr>
        <w:t>诚通等改名对，当前为</w:t>
      </w:r>
      <w:r>
        <w:rPr>
          <w:color w:val="000000"/>
        </w:rPr>
        <w:t xml:space="preserve"> 13 / 26 / 85</w:t>
      </w:r>
      <w:r>
        <w:rPr>
          <w:color w:val="000000"/>
        </w:rPr>
        <w:t>（</w:t>
      </w:r>
      <w:r>
        <w:rPr>
          <w:color w:val="000000"/>
        </w:rPr>
        <w:t xml:space="preserve">124 </w:t>
      </w:r>
      <w:r>
        <w:rPr>
          <w:color w:val="000000"/>
        </w:rPr>
        <w:t>家）。事件表保留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原始机构名；规范化只用于匹配与层级，展示用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返回当年在用的名称。</w:t>
      </w:r>
    </w:p>
    <w:p w14:paraId="1AFFAF82" w14:textId="77777777" w:rsidR="003F6CEF" w:rsidRDefault="00460A8C">
      <w:r>
        <w:rPr>
          <w:color w:val="000000"/>
        </w:rPr>
        <w:t>按年份处理的改名与合并：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F6CEF" w14:paraId="34E7C736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5DFCD3AF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旧名</w:t>
            </w:r>
          </w:p>
        </w:tc>
        <w:tc>
          <w:tcPr>
            <w:tcW w:w="2353" w:type="dxa"/>
            <w:shd w:val="clear" w:color="auto" w:fill="F2F2F2"/>
          </w:tcPr>
          <w:p w14:paraId="4751C906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</w:t>
            </w:r>
          </w:p>
        </w:tc>
        <w:tc>
          <w:tcPr>
            <w:tcW w:w="2353" w:type="dxa"/>
            <w:shd w:val="clear" w:color="auto" w:fill="F2F2F2"/>
          </w:tcPr>
          <w:p w14:paraId="2799CCF7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新名生效年</w:t>
            </w:r>
          </w:p>
        </w:tc>
        <w:tc>
          <w:tcPr>
            <w:tcW w:w="2353" w:type="dxa"/>
            <w:shd w:val="clear" w:color="auto" w:fill="F2F2F2"/>
          </w:tcPr>
          <w:p w14:paraId="5258D4C7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证据</w:t>
            </w:r>
          </w:p>
        </w:tc>
      </w:tr>
      <w:tr w:rsidR="003F6CEF" w14:paraId="71577BAA" w14:textId="77777777">
        <w:trPr>
          <w:cantSplit/>
          <w:jc w:val="center"/>
        </w:trPr>
        <w:tc>
          <w:tcPr>
            <w:tcW w:w="2353" w:type="dxa"/>
          </w:tcPr>
          <w:p w14:paraId="3AD2323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联讯证券</w:t>
            </w:r>
          </w:p>
        </w:tc>
        <w:tc>
          <w:tcPr>
            <w:tcW w:w="2353" w:type="dxa"/>
          </w:tcPr>
          <w:p w14:paraId="2CDC57E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粤开证券</w:t>
            </w:r>
          </w:p>
        </w:tc>
        <w:tc>
          <w:tcPr>
            <w:tcW w:w="2353" w:type="dxa"/>
          </w:tcPr>
          <w:p w14:paraId="1C24BAB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481BE61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同一机构，旧名留在历史记录</w:t>
            </w:r>
          </w:p>
        </w:tc>
      </w:tr>
      <w:tr w:rsidR="003F6CEF" w14:paraId="0B1E4BE2" w14:textId="77777777">
        <w:trPr>
          <w:cantSplit/>
          <w:jc w:val="center"/>
        </w:trPr>
        <w:tc>
          <w:tcPr>
            <w:tcW w:w="2353" w:type="dxa"/>
          </w:tcPr>
          <w:p w14:paraId="44300B2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财富证券</w:t>
            </w:r>
          </w:p>
        </w:tc>
        <w:tc>
          <w:tcPr>
            <w:tcW w:w="2353" w:type="dxa"/>
          </w:tcPr>
          <w:p w14:paraId="02282A9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财信证券</w:t>
            </w:r>
          </w:p>
        </w:tc>
        <w:tc>
          <w:tcPr>
            <w:tcW w:w="2353" w:type="dxa"/>
          </w:tcPr>
          <w:p w14:paraId="59F6936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6381F19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3F6CEF" w14:paraId="7E536178" w14:textId="77777777">
        <w:trPr>
          <w:cantSplit/>
          <w:jc w:val="center"/>
        </w:trPr>
        <w:tc>
          <w:tcPr>
            <w:tcW w:w="2353" w:type="dxa"/>
          </w:tcPr>
          <w:p w14:paraId="2451D3A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华菁证券</w:t>
            </w:r>
          </w:p>
        </w:tc>
        <w:tc>
          <w:tcPr>
            <w:tcW w:w="2353" w:type="dxa"/>
          </w:tcPr>
          <w:p w14:paraId="72316A2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华兴证券</w:t>
            </w:r>
          </w:p>
        </w:tc>
        <w:tc>
          <w:tcPr>
            <w:tcW w:w="2353" w:type="dxa"/>
          </w:tcPr>
          <w:p w14:paraId="6CC18A9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2021</w:t>
            </w:r>
          </w:p>
        </w:tc>
        <w:tc>
          <w:tcPr>
            <w:tcW w:w="2353" w:type="dxa"/>
          </w:tcPr>
          <w:p w14:paraId="57EEC6F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3/4</w:t>
            </w:r>
          </w:p>
        </w:tc>
      </w:tr>
      <w:tr w:rsidR="003F6CEF" w14:paraId="5AA1300E" w14:textId="77777777">
        <w:trPr>
          <w:cantSplit/>
          <w:jc w:val="center"/>
        </w:trPr>
        <w:tc>
          <w:tcPr>
            <w:tcW w:w="2353" w:type="dxa"/>
          </w:tcPr>
          <w:p w14:paraId="5FCF28D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新时代证券</w:t>
            </w:r>
          </w:p>
        </w:tc>
        <w:tc>
          <w:tcPr>
            <w:tcW w:w="2353" w:type="dxa"/>
          </w:tcPr>
          <w:p w14:paraId="295E777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诚通证券</w:t>
            </w:r>
          </w:p>
        </w:tc>
        <w:tc>
          <w:tcPr>
            <w:tcW w:w="2353" w:type="dxa"/>
          </w:tcPr>
          <w:p w14:paraId="281A661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2022</w:t>
            </w:r>
          </w:p>
        </w:tc>
        <w:tc>
          <w:tcPr>
            <w:tcW w:w="2353" w:type="dxa"/>
          </w:tcPr>
          <w:p w14:paraId="17CAD02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更名，样本内记录很少</w:t>
            </w:r>
          </w:p>
        </w:tc>
      </w:tr>
      <w:tr w:rsidR="003F6CEF" w14:paraId="2D2FAE67" w14:textId="77777777">
        <w:trPr>
          <w:cantSplit/>
          <w:jc w:val="center"/>
        </w:trPr>
        <w:tc>
          <w:tcPr>
            <w:tcW w:w="2353" w:type="dxa"/>
          </w:tcPr>
          <w:p w14:paraId="74BD5D8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安信证券</w:t>
            </w:r>
          </w:p>
        </w:tc>
        <w:tc>
          <w:tcPr>
            <w:tcW w:w="2353" w:type="dxa"/>
          </w:tcPr>
          <w:p w14:paraId="1FB9F91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国投证券</w:t>
            </w:r>
          </w:p>
        </w:tc>
        <w:tc>
          <w:tcPr>
            <w:tcW w:w="2353" w:type="dxa"/>
          </w:tcPr>
          <w:p w14:paraId="3C9569F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2024</w:t>
            </w:r>
          </w:p>
        </w:tc>
        <w:tc>
          <w:tcPr>
            <w:tcW w:w="2353" w:type="dxa"/>
          </w:tcPr>
          <w:p w14:paraId="4B0F835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26/32</w:t>
            </w:r>
          </w:p>
        </w:tc>
      </w:tr>
      <w:tr w:rsidR="003F6CEF" w14:paraId="58913204" w14:textId="77777777">
        <w:trPr>
          <w:cantSplit/>
          <w:jc w:val="center"/>
        </w:trPr>
        <w:tc>
          <w:tcPr>
            <w:tcW w:w="2353" w:type="dxa"/>
          </w:tcPr>
          <w:p w14:paraId="1942658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国联证券</w:t>
            </w:r>
          </w:p>
        </w:tc>
        <w:tc>
          <w:tcPr>
            <w:tcW w:w="2353" w:type="dxa"/>
          </w:tcPr>
          <w:p w14:paraId="233EE50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国联民生</w:t>
            </w:r>
          </w:p>
        </w:tc>
        <w:tc>
          <w:tcPr>
            <w:tcW w:w="2353" w:type="dxa"/>
          </w:tcPr>
          <w:p w14:paraId="3EE4513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580BD25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合并；</w:t>
            </w: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2022-2024 </w:t>
            </w:r>
            <w:r>
              <w:rPr>
                <w:color w:val="000000"/>
                <w:sz w:val="21"/>
              </w:rPr>
              <w:t>提前用了新名</w:t>
            </w:r>
          </w:p>
        </w:tc>
      </w:tr>
      <w:tr w:rsidR="003F6CEF" w14:paraId="0EFF90B6" w14:textId="77777777">
        <w:trPr>
          <w:cantSplit/>
          <w:jc w:val="center"/>
        </w:trPr>
        <w:tc>
          <w:tcPr>
            <w:tcW w:w="2353" w:type="dxa"/>
          </w:tcPr>
          <w:p w14:paraId="5538983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国泰君安</w:t>
            </w:r>
          </w:p>
        </w:tc>
        <w:tc>
          <w:tcPr>
            <w:tcW w:w="2353" w:type="dxa"/>
          </w:tcPr>
          <w:p w14:paraId="7733A0B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国泰海通</w:t>
            </w:r>
          </w:p>
        </w:tc>
        <w:tc>
          <w:tcPr>
            <w:tcW w:w="2353" w:type="dxa"/>
          </w:tcPr>
          <w:p w14:paraId="12A94B3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03B6985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2020-2024 </w:t>
            </w:r>
            <w:r>
              <w:rPr>
                <w:color w:val="000000"/>
                <w:sz w:val="21"/>
              </w:rPr>
              <w:t>提前用了新名；</w:t>
            </w:r>
            <w:r>
              <w:rPr>
                <w:color w:val="000000"/>
                <w:sz w:val="21"/>
              </w:rPr>
              <w:t xml:space="preserve">274 </w:t>
            </w:r>
            <w:r>
              <w:rPr>
                <w:color w:val="000000"/>
                <w:sz w:val="21"/>
              </w:rPr>
              <w:t>行分析师全与国泰君安重合、与海通零重合</w:t>
            </w:r>
          </w:p>
        </w:tc>
      </w:tr>
    </w:tbl>
    <w:p w14:paraId="7D5F4BB0" w14:textId="77777777" w:rsidR="003F6CEF" w:rsidRDefault="003F6CEF">
      <w:pPr>
        <w:spacing w:after="0"/>
      </w:pPr>
    </w:p>
    <w:p w14:paraId="4BE79A45" w14:textId="77777777" w:rsidR="003F6CEF" w:rsidRDefault="00460A8C">
      <w:r>
        <w:rPr>
          <w:color w:val="000000"/>
        </w:rPr>
        <w:t>稳定身份用旧名（样本期内最先在用的名称），由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canonical_broker</w:t>
      </w:r>
      <w:r>
        <w:rPr>
          <w:color w:val="000000"/>
        </w:rPr>
        <w:t xml:space="preserve"> </w:t>
      </w:r>
      <w:r>
        <w:rPr>
          <w:color w:val="000000"/>
        </w:rPr>
        <w:t>跨年汇总；新名只用于生效年之后的展示，由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返回。</w:t>
      </w:r>
    </w:p>
    <w:p w14:paraId="0F16224F" w14:textId="77777777" w:rsidR="003F6CEF" w:rsidRDefault="00460A8C">
      <w:r>
        <w:rPr>
          <w:color w:val="000000"/>
        </w:rPr>
        <w:t>还有三类名字坑：</w:t>
      </w:r>
    </w:p>
    <w:p w14:paraId="5F2EF0FC" w14:textId="77777777" w:rsidR="003F6CEF" w:rsidRDefault="00460A8C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26DFEDE8" w14:textId="77777777" w:rsidR="003F6CEF" w:rsidRDefault="00460A8C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77B6A882" w14:textId="77777777" w:rsidR="003F6CEF" w:rsidRDefault="00460A8C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356B6B27" w14:textId="77777777" w:rsidR="003F6CEF" w:rsidRDefault="00460A8C">
      <w:pPr>
        <w:pStyle w:val="21"/>
        <w:spacing w:after="120"/>
      </w:pPr>
      <w:bookmarkStart w:id="21" w:name="_Toc243235750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74FA8E9B" w14:textId="77777777" w:rsidR="003F6CEF" w:rsidRDefault="00460A8C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4B3DCF89" w14:textId="77777777" w:rsidR="003F6CEF" w:rsidRDefault="00460A8C">
      <w:pPr>
        <w:pStyle w:val="21"/>
        <w:spacing w:after="120"/>
      </w:pPr>
      <w:bookmarkStart w:id="22" w:name="_Toc243235751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1D4FA518" w14:textId="77777777" w:rsidR="003F6CEF" w:rsidRDefault="00460A8C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137D59E5" w14:textId="77777777" w:rsidR="003F6CEF" w:rsidRDefault="00460A8C">
      <w:pPr>
        <w:pStyle w:val="21"/>
        <w:spacing w:after="120"/>
      </w:pPr>
      <w:bookmarkStart w:id="23" w:name="_Toc243235752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4AEE674E" w14:textId="77777777" w:rsidR="003F6CEF" w:rsidRDefault="00460A8C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36FDEF42" w14:textId="77777777" w:rsidR="003F6CEF" w:rsidRDefault="00460A8C">
      <w:pPr>
        <w:pStyle w:val="21"/>
        <w:spacing w:after="120"/>
      </w:pPr>
      <w:bookmarkStart w:id="24" w:name="_Toc243235753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46D07B3C" w14:textId="77777777" w:rsidR="003F6CEF" w:rsidRDefault="00460A8C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471498D8" w14:textId="77777777" w:rsidR="003F6CEF" w:rsidRDefault="00460A8C">
      <w:pPr>
        <w:pStyle w:val="21"/>
        <w:spacing w:after="120"/>
      </w:pPr>
      <w:bookmarkStart w:id="25" w:name="_Toc243235754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7C386D75" w14:textId="77777777" w:rsidR="003F6CEF" w:rsidRDefault="00460A8C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1BCC1D4A" w14:textId="77777777" w:rsidR="003F6CEF" w:rsidRDefault="00460A8C">
      <w:pPr>
        <w:pStyle w:val="21"/>
        <w:spacing w:after="120"/>
      </w:pPr>
      <w:bookmarkStart w:id="26" w:name="_Toc243235755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008C560F" w14:textId="77777777" w:rsidR="003F6CEF" w:rsidRDefault="00460A8C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22CE3D71" w14:textId="77777777" w:rsidR="003F6CEF" w:rsidRDefault="00460A8C">
      <w:pPr>
        <w:pStyle w:val="21"/>
        <w:spacing w:after="120"/>
      </w:pPr>
      <w:bookmarkStart w:id="27" w:name="_Toc243235756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5D17D02C" w14:textId="77777777" w:rsidR="003F6CEF" w:rsidRDefault="00460A8C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759A0F32" w14:textId="77777777" w:rsidR="003F6CEF" w:rsidRDefault="00460A8C">
      <w:pPr>
        <w:pStyle w:val="21"/>
        <w:spacing w:after="120"/>
      </w:pPr>
      <w:bookmarkStart w:id="28" w:name="_Toc243235757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3245E634" w14:textId="77777777" w:rsidR="003F6CEF" w:rsidRDefault="00460A8C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3E9D283D" w14:textId="77777777" w:rsidR="003F6CEF" w:rsidRDefault="00460A8C">
      <w:pPr>
        <w:pStyle w:val="21"/>
        <w:spacing w:after="120"/>
      </w:pPr>
      <w:bookmarkStart w:id="29" w:name="_Toc243235758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2E1D93B6" w14:textId="77777777" w:rsidR="003F6CEF" w:rsidRDefault="00460A8C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3FB88801" w14:textId="77777777" w:rsidR="003F6CEF" w:rsidRDefault="00460A8C">
      <w:pPr>
        <w:pStyle w:val="21"/>
        <w:spacing w:after="120"/>
      </w:pPr>
      <w:bookmarkStart w:id="30" w:name="_Toc243235759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254674DE" w14:textId="77777777" w:rsidR="003F6CEF" w:rsidRDefault="00460A8C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1AFE2EB5" w14:textId="77777777" w:rsidR="003F6CEF" w:rsidRDefault="00460A8C">
      <w:pPr>
        <w:pStyle w:val="1"/>
        <w:spacing w:before="280" w:after="120"/>
      </w:pPr>
      <w:bookmarkStart w:id="31" w:name="_Toc243235760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2452A93A" w14:textId="77777777" w:rsidR="003F6CEF" w:rsidRDefault="00460A8C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1232D6E3" w14:textId="77777777" w:rsidR="003F6CEF" w:rsidRDefault="00460A8C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3F6CEF" w14:paraId="58144F6D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436A7A83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66EAC855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3F6CEF" w14:paraId="10B4126A" w14:textId="77777777">
        <w:trPr>
          <w:cantSplit/>
          <w:jc w:val="center"/>
        </w:trPr>
        <w:tc>
          <w:tcPr>
            <w:tcW w:w="4706" w:type="dxa"/>
          </w:tcPr>
          <w:p w14:paraId="1E37EDA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62A5E0F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3F6CEF" w14:paraId="256E0AA9" w14:textId="77777777">
        <w:trPr>
          <w:cantSplit/>
          <w:jc w:val="center"/>
        </w:trPr>
        <w:tc>
          <w:tcPr>
            <w:tcW w:w="4706" w:type="dxa"/>
          </w:tcPr>
          <w:p w14:paraId="6733263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304D6D7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3F6CEF" w14:paraId="259D528A" w14:textId="77777777">
        <w:trPr>
          <w:cantSplit/>
          <w:jc w:val="center"/>
        </w:trPr>
        <w:tc>
          <w:tcPr>
            <w:tcW w:w="4706" w:type="dxa"/>
          </w:tcPr>
          <w:p w14:paraId="099BBC5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3695A30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3F6CEF" w14:paraId="00E90322" w14:textId="77777777">
        <w:trPr>
          <w:cantSplit/>
          <w:jc w:val="center"/>
        </w:trPr>
        <w:tc>
          <w:tcPr>
            <w:tcW w:w="4706" w:type="dxa"/>
          </w:tcPr>
          <w:p w14:paraId="1F7434A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4815A1B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3F6CEF" w14:paraId="444C8F9A" w14:textId="77777777">
        <w:trPr>
          <w:cantSplit/>
          <w:jc w:val="center"/>
        </w:trPr>
        <w:tc>
          <w:tcPr>
            <w:tcW w:w="4706" w:type="dxa"/>
          </w:tcPr>
          <w:p w14:paraId="0629DE3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0F3D78B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482DEB55" w14:textId="77777777" w:rsidR="003F6CEF" w:rsidRDefault="003F6CEF">
      <w:pPr>
        <w:spacing w:after="0"/>
      </w:pPr>
    </w:p>
    <w:p w14:paraId="24A9E682" w14:textId="77777777" w:rsidR="003F6CEF" w:rsidRDefault="00460A8C">
      <w:r>
        <w:rPr>
          <w:color w:val="000000"/>
        </w:rPr>
        <w:t>口径细节：</w:t>
      </w:r>
    </w:p>
    <w:p w14:paraId="24FCDFC5" w14:textId="77777777" w:rsidR="003F6CEF" w:rsidRDefault="00460A8C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14215A8A" w14:textId="77777777" w:rsidR="003F6CEF" w:rsidRDefault="00460A8C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5E9B2F08" w14:textId="77777777" w:rsidR="003F6CEF" w:rsidRDefault="00460A8C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02682A04" w14:textId="77777777" w:rsidR="003F6CEF" w:rsidRDefault="00460A8C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71208257" w14:textId="77777777" w:rsidR="003F6CEF" w:rsidRDefault="00460A8C">
      <w:r>
        <w:rPr>
          <w:color w:val="000000"/>
        </w:rPr>
        <w:t>停牌日怎么处理：不删行，记为空。</w:t>
      </w:r>
    </w:p>
    <w:p w14:paraId="073527DE" w14:textId="77777777" w:rsidR="003F6CEF" w:rsidRDefault="00460A8C">
      <w:r>
        <w:rPr>
          <w:color w:val="000000"/>
        </w:rPr>
        <w:t>事件窗口按交易日历排，停牌日仍占一个交易日位置，但当天收益记为空，不当成</w:t>
      </w:r>
      <w:r>
        <w:rPr>
          <w:color w:val="000000"/>
        </w:rPr>
        <w:t xml:space="preserve"> 0</w:t>
      </w:r>
      <w:r>
        <w:rPr>
          <w:color w:val="000000"/>
        </w:rPr>
        <w:t>。一条事件要报</w:t>
      </w:r>
      <w:r>
        <w:rPr>
          <w:color w:val="000000"/>
        </w:rPr>
        <w:t xml:space="preserve"> CAR</w:t>
      </w:r>
      <w:r>
        <w:rPr>
          <w:color w:val="000000"/>
        </w:rPr>
        <w:t>，必须同时满足两件事：事件日当天有有效收益；窗口内至少</w:t>
      </w:r>
      <w:r>
        <w:rPr>
          <w:color w:val="000000"/>
        </w:rPr>
        <w:t xml:space="preserve"> 80% </w:t>
      </w:r>
      <w:r>
        <w:rPr>
          <w:color w:val="000000"/>
        </w:rPr>
        <w:t>的交易日有有效收益。达不到，就把这条事件的</w:t>
      </w:r>
      <w:r>
        <w:rPr>
          <w:color w:val="000000"/>
        </w:rPr>
        <w:t xml:space="preserve"> CAR </w:t>
      </w:r>
      <w:r>
        <w:rPr>
          <w:color w:val="000000"/>
        </w:rPr>
        <w:t>记为缺失，并写明原因，例如「有效观测不足</w:t>
      </w:r>
      <w:r>
        <w:rPr>
          <w:color w:val="000000"/>
        </w:rPr>
        <w:t xml:space="preserve"> 7/11</w:t>
      </w:r>
      <w:r>
        <w:rPr>
          <w:color w:val="000000"/>
        </w:rPr>
        <w:t>」。</w:t>
      </w:r>
    </w:p>
    <w:p w14:paraId="1D471531" w14:textId="77777777" w:rsidR="003F6CEF" w:rsidRDefault="00460A8C">
      <w:r>
        <w:rPr>
          <w:color w:val="000000"/>
        </w:rPr>
        <w:t>举例：窗口</w:t>
      </w:r>
      <w:r>
        <w:rPr>
          <w:color w:val="000000"/>
        </w:rPr>
        <w:t xml:space="preserve"> [-1,+1] </w:t>
      </w:r>
      <w:r>
        <w:rPr>
          <w:color w:val="000000"/>
        </w:rPr>
        <w:t>有</w:t>
      </w:r>
      <w:r>
        <w:rPr>
          <w:color w:val="000000"/>
        </w:rPr>
        <w:t xml:space="preserve"> 3 </w:t>
      </w:r>
      <w:r>
        <w:rPr>
          <w:color w:val="000000"/>
        </w:rPr>
        <w:t>个交易日，其中</w:t>
      </w:r>
      <w:r>
        <w:rPr>
          <w:color w:val="000000"/>
        </w:rPr>
        <w:t xml:space="preserve"> +1 </w:t>
      </w:r>
      <w:r>
        <w:rPr>
          <w:color w:val="000000"/>
        </w:rPr>
        <w:t>停牌，有效</w:t>
      </w:r>
      <w:r>
        <w:rPr>
          <w:color w:val="000000"/>
        </w:rPr>
        <w:t xml:space="preserve"> 2/3=67%</w:t>
      </w:r>
      <w:r>
        <w:rPr>
          <w:color w:val="000000"/>
        </w:rPr>
        <w:t>，低于</w:t>
      </w:r>
      <w:r>
        <w:rPr>
          <w:color w:val="000000"/>
        </w:rPr>
        <w:t xml:space="preserve"> 80%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记缺失；窗口</w:t>
      </w:r>
      <w:r>
        <w:rPr>
          <w:color w:val="000000"/>
        </w:rPr>
        <w:t xml:space="preserve"> [-5,+5] </w:t>
      </w:r>
      <w:r>
        <w:rPr>
          <w:color w:val="000000"/>
        </w:rPr>
        <w:t>有</w:t>
      </w:r>
      <w:r>
        <w:rPr>
          <w:color w:val="000000"/>
        </w:rPr>
        <w:t xml:space="preserve"> 11 </w:t>
      </w:r>
      <w:r>
        <w:rPr>
          <w:color w:val="000000"/>
        </w:rPr>
        <w:t>个交易日，停牌</w:t>
      </w:r>
      <w:r>
        <w:rPr>
          <w:color w:val="000000"/>
        </w:rPr>
        <w:t xml:space="preserve"> 2 </w:t>
      </w:r>
      <w:r>
        <w:rPr>
          <w:color w:val="000000"/>
        </w:rPr>
        <w:t>天，有效</w:t>
      </w:r>
      <w:r>
        <w:rPr>
          <w:color w:val="000000"/>
        </w:rPr>
        <w:t xml:space="preserve"> 9/11=82%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用</w:t>
      </w:r>
      <w:r>
        <w:rPr>
          <w:color w:val="000000"/>
        </w:rPr>
        <w:t xml:space="preserve"> 9 </w:t>
      </w:r>
      <w:r>
        <w:rPr>
          <w:color w:val="000000"/>
        </w:rPr>
        <w:t>天算，同时记录有效数。</w:t>
      </w:r>
    </w:p>
    <w:p w14:paraId="4B04AC5A" w14:textId="77777777" w:rsidR="003F6CEF" w:rsidRDefault="00460A8C">
      <w:r>
        <w:rPr>
          <w:color w:val="000000"/>
        </w:rPr>
        <w:t>为什么不把停牌事件整条删掉：停牌往往和重组、并购、退市风险同时发生，正是反应最极端的样本；整体删掉等于只留温和股票，会引入选择偏差。主口径保留，另做一版「窗口内出现停牌就整条剔除」的稳健性对比，用行情里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识别停牌（两列各有</w:t>
      </w:r>
      <w:r>
        <w:rPr>
          <w:color w:val="000000"/>
        </w:rPr>
        <w:t xml:space="preserve"> 43,830 </w:t>
      </w:r>
      <w:r>
        <w:rPr>
          <w:color w:val="000000"/>
        </w:rPr>
        <w:t>行为</w:t>
      </w:r>
      <w:r>
        <w:rPr>
          <w:color w:val="000000"/>
        </w:rPr>
        <w:t xml:space="preserve"> 1</w:t>
      </w:r>
      <w:r>
        <w:rPr>
          <w:color w:val="000000"/>
        </w:rPr>
        <w:t>，成交量和涨跌幅为空），看结论是否变化。</w:t>
      </w:r>
    </w:p>
    <w:p w14:paraId="0D54D157" w14:textId="77777777" w:rsidR="003F6CEF" w:rsidRDefault="00460A8C">
      <w:r>
        <w:rPr>
          <w:color w:val="000000"/>
        </w:rPr>
        <w:t>成交量同理：事件日当天的异常成交量，基准窗口</w:t>
      </w:r>
      <w:r>
        <w:rPr>
          <w:color w:val="000000"/>
        </w:rPr>
        <w:t xml:space="preserve"> [-120,-11] </w:t>
      </w:r>
      <w:r>
        <w:rPr>
          <w:color w:val="000000"/>
        </w:rPr>
        <w:t>至少要有</w:t>
      </w:r>
      <w:r>
        <w:rPr>
          <w:color w:val="000000"/>
        </w:rPr>
        <w:t xml:space="preserve"> 60 </w:t>
      </w:r>
      <w:r>
        <w:rPr>
          <w:color w:val="000000"/>
        </w:rPr>
        <w:t>个有效位置，不足则</w:t>
      </w:r>
      <w:r>
        <w:rPr>
          <w:color w:val="000000"/>
        </w:rPr>
        <w:t xml:space="preserve"> AV </w:t>
      </w:r>
      <w:r>
        <w:rPr>
          <w:color w:val="000000"/>
        </w:rPr>
        <w:t>记缺失。</w:t>
      </w:r>
    </w:p>
    <w:p w14:paraId="09EFA584" w14:textId="77777777" w:rsidR="003F6CEF" w:rsidRDefault="00460A8C">
      <w:pPr>
        <w:pStyle w:val="21"/>
        <w:spacing w:after="120"/>
      </w:pPr>
      <w:bookmarkStart w:id="32" w:name="_Toc243235761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49AD6130" w14:textId="77777777" w:rsidR="003F6CEF" w:rsidRDefault="00460A8C">
      <w:r>
        <w:rPr>
          <w:color w:val="000000"/>
        </w:rPr>
        <w:t>清洗后收益文件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 xml:space="preserve"> 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为小数口径；市场为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 xml:space="preserve"> 2,367 </w:t>
      </w:r>
      <w:r>
        <w:rPr>
          <w:color w:val="000000"/>
        </w:rPr>
        <w:t>个交易日的</w:t>
      </w:r>
      <w:r>
        <w:rPr>
          <w:color w:val="000000"/>
        </w:rPr>
        <w:t xml:space="preserve"> H00300</w:t>
      </w:r>
      <w:r>
        <w:rPr>
          <w:color w:val="000000"/>
        </w:rPr>
        <w:t>。与事件表完全匹配：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3F6CEF" w14:paraId="24D967D2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1B765D09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26DBD9A5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5B394B55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400BE527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2362EAE0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3F6CEF" w14:paraId="6188577E" w14:textId="77777777">
        <w:trPr>
          <w:cantSplit/>
          <w:jc w:val="center"/>
        </w:trPr>
        <w:tc>
          <w:tcPr>
            <w:tcW w:w="1882" w:type="dxa"/>
          </w:tcPr>
          <w:p w14:paraId="4370B1F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55681FE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+0.37pp</w:t>
            </w:r>
          </w:p>
        </w:tc>
        <w:tc>
          <w:tcPr>
            <w:tcW w:w="1882" w:type="dxa"/>
          </w:tcPr>
          <w:p w14:paraId="169DC71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2.17</w:t>
            </w:r>
          </w:p>
        </w:tc>
        <w:tc>
          <w:tcPr>
            <w:tcW w:w="1882" w:type="dxa"/>
          </w:tcPr>
          <w:p w14:paraId="3DEB070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7C79A3A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0.35</w:t>
            </w:r>
          </w:p>
        </w:tc>
      </w:tr>
      <w:tr w:rsidR="003F6CEF" w14:paraId="7365FA7F" w14:textId="77777777">
        <w:trPr>
          <w:cantSplit/>
          <w:jc w:val="center"/>
        </w:trPr>
        <w:tc>
          <w:tcPr>
            <w:tcW w:w="1882" w:type="dxa"/>
          </w:tcPr>
          <w:p w14:paraId="4691798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55F01A7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+0.54pp</w:t>
            </w:r>
          </w:p>
        </w:tc>
        <w:tc>
          <w:tcPr>
            <w:tcW w:w="1882" w:type="dxa"/>
          </w:tcPr>
          <w:p w14:paraId="7733383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2.30</w:t>
            </w:r>
          </w:p>
        </w:tc>
        <w:tc>
          <w:tcPr>
            <w:tcW w:w="1882" w:type="dxa"/>
          </w:tcPr>
          <w:p w14:paraId="02FF932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0.19pp</w:t>
            </w:r>
          </w:p>
        </w:tc>
        <w:tc>
          <w:tcPr>
            <w:tcW w:w="1882" w:type="dxa"/>
          </w:tcPr>
          <w:p w14:paraId="21BD39F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3F6CEF" w14:paraId="21BE4B04" w14:textId="77777777">
        <w:trPr>
          <w:cantSplit/>
          <w:jc w:val="center"/>
        </w:trPr>
        <w:tc>
          <w:tcPr>
            <w:tcW w:w="1882" w:type="dxa"/>
          </w:tcPr>
          <w:p w14:paraId="2A47C05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1DAA9A2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+0.99pp</w:t>
            </w:r>
          </w:p>
        </w:tc>
        <w:tc>
          <w:tcPr>
            <w:tcW w:w="1882" w:type="dxa"/>
          </w:tcPr>
          <w:p w14:paraId="34E8AE2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3.55</w:t>
            </w:r>
          </w:p>
        </w:tc>
        <w:tc>
          <w:tcPr>
            <w:tcW w:w="1882" w:type="dxa"/>
          </w:tcPr>
          <w:p w14:paraId="5D6CC0F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3032A3A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3F6CEF" w14:paraId="0D966DD6" w14:textId="77777777">
        <w:trPr>
          <w:cantSplit/>
          <w:jc w:val="center"/>
        </w:trPr>
        <w:tc>
          <w:tcPr>
            <w:tcW w:w="1882" w:type="dxa"/>
          </w:tcPr>
          <w:p w14:paraId="1C50952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5A768B3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+1.37pp</w:t>
            </w:r>
          </w:p>
        </w:tc>
        <w:tc>
          <w:tcPr>
            <w:tcW w:w="1882" w:type="dxa"/>
          </w:tcPr>
          <w:p w14:paraId="10C8014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1.87</w:t>
            </w:r>
          </w:p>
        </w:tc>
        <w:tc>
          <w:tcPr>
            <w:tcW w:w="1882" w:type="dxa"/>
          </w:tcPr>
          <w:p w14:paraId="63E6703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0.79pp</w:t>
            </w:r>
          </w:p>
        </w:tc>
        <w:tc>
          <w:tcPr>
            <w:tcW w:w="1882" w:type="dxa"/>
          </w:tcPr>
          <w:p w14:paraId="1A6AC86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1.00</w:t>
            </w:r>
          </w:p>
        </w:tc>
      </w:tr>
      <w:tr w:rsidR="003F6CEF" w14:paraId="46B3A8C7" w14:textId="77777777">
        <w:trPr>
          <w:cantSplit/>
          <w:jc w:val="center"/>
        </w:trPr>
        <w:tc>
          <w:tcPr>
            <w:tcW w:w="1882" w:type="dxa"/>
          </w:tcPr>
          <w:p w14:paraId="5F00657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2D422F7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5F23FE3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0.84</w:t>
            </w:r>
          </w:p>
        </w:tc>
        <w:tc>
          <w:tcPr>
            <w:tcW w:w="1882" w:type="dxa"/>
          </w:tcPr>
          <w:p w14:paraId="02DD365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+1.39pp</w:t>
            </w:r>
          </w:p>
        </w:tc>
        <w:tc>
          <w:tcPr>
            <w:tcW w:w="1882" w:type="dxa"/>
          </w:tcPr>
          <w:p w14:paraId="7B7B5D3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1.20</w:t>
            </w:r>
          </w:p>
        </w:tc>
      </w:tr>
      <w:tr w:rsidR="003F6CEF" w14:paraId="112F253E" w14:textId="77777777">
        <w:trPr>
          <w:cantSplit/>
          <w:jc w:val="center"/>
        </w:trPr>
        <w:tc>
          <w:tcPr>
            <w:tcW w:w="1882" w:type="dxa"/>
          </w:tcPr>
          <w:p w14:paraId="755EA1B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4A6E2DD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7FE1547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02723E6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73D017D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58B4846D" w14:textId="77777777" w:rsidR="003F6CEF" w:rsidRDefault="003F6CEF">
      <w:pPr>
        <w:spacing w:after="0"/>
      </w:pPr>
    </w:p>
    <w:p w14:paraId="20493FB0" w14:textId="77777777" w:rsidR="003F6CEF" w:rsidRDefault="00460A8C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+0.43</w:t>
      </w:r>
      <w:r>
        <w:rPr>
          <w:color w:val="000000"/>
        </w:rPr>
        <w:t>（</w:t>
      </w:r>
      <w:r>
        <w:rPr>
          <w:color w:val="000000"/>
        </w:rPr>
        <w:t>t=2.51</w:t>
      </w:r>
      <w:r>
        <w:rPr>
          <w:color w:val="000000"/>
        </w:rPr>
        <w:t>）、</w:t>
      </w:r>
      <w:r>
        <w:rPr>
          <w:color w:val="000000"/>
        </w:rPr>
        <w:t>[-1,+5] +0.61</w:t>
      </w:r>
      <w:r>
        <w:rPr>
          <w:color w:val="000000"/>
        </w:rPr>
        <w:t>（</w:t>
      </w:r>
      <w:r>
        <w:rPr>
          <w:color w:val="000000"/>
        </w:rPr>
        <w:t>t=2.58</w:t>
      </w:r>
      <w:r>
        <w:rPr>
          <w:color w:val="000000"/>
        </w:rPr>
        <w:t>）、</w:t>
      </w:r>
      <w:r>
        <w:rPr>
          <w:color w:val="000000"/>
        </w:rPr>
        <w:t>[-5,+5] +1.06</w:t>
      </w:r>
      <w:r>
        <w:rPr>
          <w:color w:val="000000"/>
        </w:rPr>
        <w:t>（</w:t>
      </w:r>
      <w:r>
        <w:rPr>
          <w:color w:val="000000"/>
        </w:rPr>
        <w:t>t=3.81</w:t>
      </w:r>
      <w:r>
        <w:rPr>
          <w:color w:val="000000"/>
        </w:rPr>
        <w:t>）、</w:t>
      </w:r>
      <w:r>
        <w:rPr>
          <w:color w:val="000000"/>
        </w:rPr>
        <w:t xml:space="preserve">+2 </w:t>
      </w:r>
      <w:r>
        <w:rPr>
          <w:color w:val="000000"/>
        </w:rPr>
        <w:t>到</w:t>
      </w:r>
      <w:r>
        <w:rPr>
          <w:color w:val="000000"/>
        </w:rPr>
        <w:t xml:space="preserve"> +120 +0.98</w:t>
      </w:r>
      <w:r>
        <w:rPr>
          <w:color w:val="000000"/>
        </w:rPr>
        <w:t>（</w:t>
      </w:r>
      <w:r>
        <w:rPr>
          <w:color w:val="000000"/>
        </w:rPr>
        <w:t>t=1.38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351D009B" w14:textId="77777777" w:rsidR="003F6CEF" w:rsidRDefault="00460A8C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34AD0098" w14:textId="77777777" w:rsidR="003F6CEF" w:rsidRDefault="00460A8C">
      <w:r>
        <w:rPr>
          <w:color w:val="000000"/>
        </w:rPr>
        <w:t>涨跌停稳健性：剔除窗口内出现涨跌停的事件后，上调</w:t>
      </w:r>
      <w:r>
        <w:rPr>
          <w:color w:val="000000"/>
        </w:rPr>
        <w:t xml:space="preserve"> CAR[-1,+1] </w:t>
      </w:r>
      <w:r>
        <w:rPr>
          <w:color w:val="000000"/>
        </w:rPr>
        <w:t>从</w:t>
      </w:r>
      <w:r>
        <w:rPr>
          <w:color w:val="000000"/>
        </w:rPr>
        <w:t xml:space="preserve"> +0.37</w:t>
      </w:r>
      <w:r>
        <w:rPr>
          <w:color w:val="000000"/>
        </w:rPr>
        <w:t>（</w:t>
      </w:r>
      <w:r>
        <w:rPr>
          <w:color w:val="000000"/>
        </w:rPr>
        <w:t>p=0.030</w:t>
      </w:r>
      <w:r>
        <w:rPr>
          <w:color w:val="000000"/>
        </w:rPr>
        <w:t>）降到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p=0.134</w:t>
      </w:r>
      <w:r>
        <w:rPr>
          <w:color w:val="000000"/>
        </w:rPr>
        <w:t>），</w:t>
      </w:r>
      <w:r>
        <w:rPr>
          <w:color w:val="000000"/>
        </w:rPr>
        <w:t xml:space="preserve">[-1,+5] </w:t>
      </w:r>
      <w:r>
        <w:rPr>
          <w:color w:val="000000"/>
        </w:rPr>
        <w:t>从</w:t>
      </w:r>
      <w:r>
        <w:rPr>
          <w:color w:val="000000"/>
        </w:rPr>
        <w:t xml:space="preserve"> +0.54</w:t>
      </w:r>
      <w:r>
        <w:rPr>
          <w:color w:val="000000"/>
        </w:rPr>
        <w:t>（</w:t>
      </w:r>
      <w:r>
        <w:rPr>
          <w:color w:val="000000"/>
        </w:rPr>
        <w:t>p=0.021</w:t>
      </w:r>
      <w:r>
        <w:rPr>
          <w:color w:val="000000"/>
        </w:rPr>
        <w:t>）降到</w:t>
      </w:r>
      <w:r>
        <w:rPr>
          <w:color w:val="000000"/>
        </w:rPr>
        <w:t xml:space="preserve"> +0.20</w:t>
      </w:r>
      <w:r>
        <w:rPr>
          <w:color w:val="000000"/>
        </w:rPr>
        <w:t>（</w:t>
      </w:r>
      <w:r>
        <w:rPr>
          <w:color w:val="000000"/>
        </w:rPr>
        <w:t>p=0.310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从</w:t>
      </w:r>
      <w:r>
        <w:rPr>
          <w:color w:val="000000"/>
        </w:rPr>
        <w:t xml:space="preserve"> +0.99</w:t>
      </w:r>
      <w:r>
        <w:rPr>
          <w:color w:val="000000"/>
        </w:rPr>
        <w:t>（</w:t>
      </w:r>
      <w:r>
        <w:rPr>
          <w:color w:val="000000"/>
        </w:rPr>
        <w:t>p=0.0004</w:t>
      </w:r>
      <w:r>
        <w:rPr>
          <w:color w:val="000000"/>
        </w:rPr>
        <w:t>）降到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）；下调仍不显著。溢价集中在涨跌停事件，短窗口显著性来自这部分样本，不能写「对涨跌停稳健」。详见</w:t>
      </w:r>
      <w:r>
        <w:rPr>
          <w:color w:val="000000"/>
        </w:rPr>
        <w:t xml:space="preserve"> 8.8</w:t>
      </w:r>
      <w:r>
        <w:rPr>
          <w:color w:val="000000"/>
        </w:rPr>
        <w:t>。</w:t>
      </w:r>
    </w:p>
    <w:p w14:paraId="6BFC893A" w14:textId="77777777" w:rsidR="003F6CEF" w:rsidRDefault="00460A8C">
      <w:pPr>
        <w:pStyle w:val="21"/>
        <w:spacing w:after="120"/>
      </w:pPr>
      <w:bookmarkStart w:id="33" w:name="_Toc243235762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5229773F" w14:textId="77777777" w:rsidR="003F6CEF" w:rsidRDefault="00460A8C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F6CEF" w14:paraId="34AEF7A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BD08B6C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2A81786A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43F54D9A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3F6CEF" w14:paraId="6AF6E1D1" w14:textId="77777777">
        <w:trPr>
          <w:cantSplit/>
          <w:jc w:val="center"/>
        </w:trPr>
        <w:tc>
          <w:tcPr>
            <w:tcW w:w="3137" w:type="dxa"/>
          </w:tcPr>
          <w:p w14:paraId="375F419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5C64371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0BA24327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3F6CEF" w14:paraId="0D90E33D" w14:textId="77777777">
        <w:trPr>
          <w:cantSplit/>
          <w:jc w:val="center"/>
        </w:trPr>
        <w:tc>
          <w:tcPr>
            <w:tcW w:w="3137" w:type="dxa"/>
          </w:tcPr>
          <w:p w14:paraId="1C42070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2C14C4B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33CAFE7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3F6CEF" w14:paraId="37FE6693" w14:textId="77777777">
        <w:trPr>
          <w:cantSplit/>
          <w:jc w:val="center"/>
        </w:trPr>
        <w:tc>
          <w:tcPr>
            <w:tcW w:w="3137" w:type="dxa"/>
          </w:tcPr>
          <w:p w14:paraId="0A6A63F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2E8AD00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+0.45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1E5B84B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5B1DAF0" w14:textId="77777777" w:rsidR="003F6CEF" w:rsidRDefault="003F6CEF">
      <w:pPr>
        <w:spacing w:after="0"/>
      </w:pPr>
    </w:p>
    <w:p w14:paraId="0328F23F" w14:textId="77777777" w:rsidR="003F6CEF" w:rsidRDefault="00460A8C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54E2122F" w14:textId="77777777" w:rsidR="003F6CEF" w:rsidRDefault="00460A8C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3F6CEF" w14:paraId="110C5F56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7FE070DC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6056AC52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781D9E20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234837C0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248F799F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2F399D6F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5059688A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3F6CEF" w14:paraId="01382C95" w14:textId="77777777">
        <w:trPr>
          <w:cantSplit/>
          <w:jc w:val="center"/>
        </w:trPr>
        <w:tc>
          <w:tcPr>
            <w:tcW w:w="1345" w:type="dxa"/>
          </w:tcPr>
          <w:p w14:paraId="22B21A9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25B3F7F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+2.82</w:t>
            </w:r>
          </w:p>
        </w:tc>
        <w:tc>
          <w:tcPr>
            <w:tcW w:w="1345" w:type="dxa"/>
          </w:tcPr>
          <w:p w14:paraId="043C8D0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+2.41</w:t>
            </w:r>
          </w:p>
        </w:tc>
        <w:tc>
          <w:tcPr>
            <w:tcW w:w="1345" w:type="dxa"/>
          </w:tcPr>
          <w:p w14:paraId="21FB3EA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+0.41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E9E6E5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+1.41</w:t>
            </w:r>
          </w:p>
        </w:tc>
        <w:tc>
          <w:tcPr>
            <w:tcW w:w="1345" w:type="dxa"/>
          </w:tcPr>
          <w:p w14:paraId="5EFC073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0.38</w:t>
            </w:r>
          </w:p>
        </w:tc>
        <w:tc>
          <w:tcPr>
            <w:tcW w:w="1345" w:type="dxa"/>
          </w:tcPr>
          <w:p w14:paraId="05AE0D12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3F6CEF" w14:paraId="4FB21C08" w14:textId="77777777">
        <w:trPr>
          <w:cantSplit/>
          <w:jc w:val="center"/>
        </w:trPr>
        <w:tc>
          <w:tcPr>
            <w:tcW w:w="1345" w:type="dxa"/>
          </w:tcPr>
          <w:p w14:paraId="6312F6B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698FB93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+5.20</w:t>
            </w:r>
          </w:p>
        </w:tc>
        <w:tc>
          <w:tcPr>
            <w:tcW w:w="1345" w:type="dxa"/>
          </w:tcPr>
          <w:p w14:paraId="49C1B6D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+3.69</w:t>
            </w:r>
          </w:p>
        </w:tc>
        <w:tc>
          <w:tcPr>
            <w:tcW w:w="1345" w:type="dxa"/>
          </w:tcPr>
          <w:p w14:paraId="27904EF7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+1.51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p=0.048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6632330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0.43</w:t>
            </w:r>
          </w:p>
        </w:tc>
        <w:tc>
          <w:tcPr>
            <w:tcW w:w="1345" w:type="dxa"/>
          </w:tcPr>
          <w:p w14:paraId="2EDD1A9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1.48</w:t>
            </w:r>
          </w:p>
        </w:tc>
        <w:tc>
          <w:tcPr>
            <w:tcW w:w="1345" w:type="dxa"/>
          </w:tcPr>
          <w:p w14:paraId="7352EF4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+1.04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3F6CEF" w14:paraId="2A7C8886" w14:textId="77777777">
        <w:trPr>
          <w:cantSplit/>
          <w:jc w:val="center"/>
        </w:trPr>
        <w:tc>
          <w:tcPr>
            <w:tcW w:w="1345" w:type="dxa"/>
          </w:tcPr>
          <w:p w14:paraId="7EEA436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7C27F6B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+7.15</w:t>
            </w:r>
          </w:p>
        </w:tc>
        <w:tc>
          <w:tcPr>
            <w:tcW w:w="1345" w:type="dxa"/>
          </w:tcPr>
          <w:p w14:paraId="242FDA5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+5.96</w:t>
            </w:r>
          </w:p>
        </w:tc>
        <w:tc>
          <w:tcPr>
            <w:tcW w:w="1345" w:type="dxa"/>
          </w:tcPr>
          <w:p w14:paraId="5AD70C3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+1.20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06FBD1E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4.87</w:t>
            </w:r>
          </w:p>
        </w:tc>
        <w:tc>
          <w:tcPr>
            <w:tcW w:w="1345" w:type="dxa"/>
          </w:tcPr>
          <w:p w14:paraId="05B0487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3.47</w:t>
            </w:r>
          </w:p>
        </w:tc>
        <w:tc>
          <w:tcPr>
            <w:tcW w:w="1345" w:type="dxa"/>
          </w:tcPr>
          <w:p w14:paraId="56D7A90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p=0.23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068E56BF" w14:textId="77777777" w:rsidR="003F6CEF" w:rsidRDefault="003F6CEF">
      <w:pPr>
        <w:spacing w:after="0"/>
      </w:pPr>
    </w:p>
    <w:p w14:paraId="1DA29D9A" w14:textId="77777777" w:rsidR="003F6CEF" w:rsidRDefault="00460A8C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54.1% </w:t>
      </w:r>
      <w:r>
        <w:rPr>
          <w:color w:val="000000"/>
        </w:rPr>
        <w:t>对</w:t>
      </w:r>
      <w:r>
        <w:rPr>
          <w:color w:val="000000"/>
        </w:rPr>
        <w:t xml:space="preserve"> 50.9%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56.3% </w:t>
      </w:r>
      <w:r>
        <w:rPr>
          <w:color w:val="000000"/>
        </w:rPr>
        <w:t>对</w:t>
      </w:r>
      <w:r>
        <w:rPr>
          <w:color w:val="000000"/>
        </w:rPr>
        <w:t xml:space="preserve"> 53.1%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0284E9FA" w14:textId="77777777" w:rsidR="003F6CEF" w:rsidRDefault="00460A8C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检验把重叠事件当独立观测；按股票聚类的版本见</w:t>
      </w:r>
      <w:r>
        <w:rPr>
          <w:color w:val="000000"/>
        </w:rPr>
        <w:t xml:space="preserve"> 8.6</w:t>
      </w:r>
      <w:r>
        <w:rPr>
          <w:color w:val="000000"/>
        </w:rPr>
        <w:t>，结论不变。</w:t>
      </w:r>
    </w:p>
    <w:p w14:paraId="4010C4CE" w14:textId="77777777" w:rsidR="003F6CEF" w:rsidRDefault="00460A8C">
      <w:pPr>
        <w:pStyle w:val="21"/>
        <w:spacing w:after="120"/>
      </w:pPr>
      <w:bookmarkStart w:id="34" w:name="_Toc243235763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5E5AFA63" w14:textId="77777777" w:rsidR="003F6CEF" w:rsidRDefault="00460A8C">
      <w:r>
        <w:rPr>
          <w:color w:val="000000"/>
        </w:rPr>
        <w:t>匹配</w:t>
      </w:r>
      <w:r>
        <w:rPr>
          <w:color w:val="000000"/>
        </w:rPr>
        <w:t xml:space="preserve"> 20,248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20,067 </w:t>
      </w:r>
      <w:r>
        <w:rPr>
          <w:color w:val="000000"/>
        </w:rPr>
        <w:t>条，次年</w:t>
      </w:r>
      <w:r>
        <w:rPr>
          <w:color w:val="000000"/>
        </w:rPr>
        <w:t xml:space="preserve"> 19,626 </w:t>
      </w:r>
      <w:r>
        <w:rPr>
          <w:color w:val="000000"/>
        </w:rPr>
        <w:t>条（已并入</w:t>
      </w:r>
      <w:r>
        <w:rPr>
          <w:color w:val="000000"/>
        </w:rPr>
        <w:t xml:space="preserve"> 2025 </w:t>
      </w:r>
      <w:r>
        <w:rPr>
          <w:color w:val="000000"/>
        </w:rPr>
        <w:t>年实际</w:t>
      </w:r>
      <w:r>
        <w:rPr>
          <w:color w:val="000000"/>
        </w:rPr>
        <w:t xml:space="preserve"> EPS</w:t>
      </w:r>
      <w:r>
        <w:rPr>
          <w:color w:val="000000"/>
        </w:rPr>
        <w:t>，覆盖</w:t>
      </w:r>
      <w:r>
        <w:rPr>
          <w:color w:val="000000"/>
        </w:rPr>
        <w:t xml:space="preserve"> 2024 </w:t>
      </w:r>
      <w:r>
        <w:rPr>
          <w:color w:val="000000"/>
        </w:rPr>
        <w:t>年事件的</w:t>
      </w:r>
      <w:r>
        <w:rPr>
          <w:color w:val="000000"/>
        </w:rPr>
        <w:t xml:space="preserve"> 98.3%</w:t>
      </w:r>
      <w:r>
        <w:rPr>
          <w:color w:val="000000"/>
        </w:rPr>
        <w:t>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3F6CEF" w14:paraId="299189D3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634499DB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59CF43FE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7F705484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136745B7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7BEA3766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635C2D8D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624C70D5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3F6CEF" w14:paraId="01AF970D" w14:textId="77777777">
        <w:trPr>
          <w:cantSplit/>
          <w:jc w:val="center"/>
        </w:trPr>
        <w:tc>
          <w:tcPr>
            <w:tcW w:w="1345" w:type="dxa"/>
          </w:tcPr>
          <w:p w14:paraId="4F61337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5EFFADC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11BA6D7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3805E3E4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504791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27A7653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5BE1D4DA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3F6CEF" w14:paraId="72AEA38E" w14:textId="77777777">
        <w:trPr>
          <w:cantSplit/>
          <w:jc w:val="center"/>
        </w:trPr>
        <w:tc>
          <w:tcPr>
            <w:tcW w:w="1345" w:type="dxa"/>
          </w:tcPr>
          <w:p w14:paraId="484277C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38F9237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4.49</w:t>
            </w:r>
          </w:p>
        </w:tc>
        <w:tc>
          <w:tcPr>
            <w:tcW w:w="1345" w:type="dxa"/>
          </w:tcPr>
          <w:p w14:paraId="48D39DB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4.09</w:t>
            </w:r>
          </w:p>
        </w:tc>
        <w:tc>
          <w:tcPr>
            <w:tcW w:w="1345" w:type="dxa"/>
          </w:tcPr>
          <w:p w14:paraId="79559857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p=0.009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63C24A4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5.72</w:t>
            </w:r>
          </w:p>
        </w:tc>
        <w:tc>
          <w:tcPr>
            <w:tcW w:w="1345" w:type="dxa"/>
          </w:tcPr>
          <w:p w14:paraId="2FA8454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4.78</w:t>
            </w:r>
          </w:p>
        </w:tc>
        <w:tc>
          <w:tcPr>
            <w:tcW w:w="1345" w:type="dxa"/>
          </w:tcPr>
          <w:p w14:paraId="6575C90B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+0.94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3F6CEF" w14:paraId="6B0EE81E" w14:textId="77777777">
        <w:trPr>
          <w:cantSplit/>
          <w:jc w:val="center"/>
        </w:trPr>
        <w:tc>
          <w:tcPr>
            <w:tcW w:w="1345" w:type="dxa"/>
          </w:tcPr>
          <w:p w14:paraId="30C5626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1F5C6E1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37F776E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2B99C8B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5B53EC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5535A07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055A0F7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5EBBC16" w14:textId="77777777" w:rsidR="003F6CEF" w:rsidRDefault="003F6CEF">
      <w:pPr>
        <w:spacing w:after="0"/>
      </w:pPr>
    </w:p>
    <w:p w14:paraId="2F9B7521" w14:textId="77777777" w:rsidR="003F6CEF" w:rsidRDefault="00460A8C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79E9445B" w14:textId="77777777" w:rsidR="003F6CEF" w:rsidRDefault="00460A8C">
      <w:pPr>
        <w:pStyle w:val="21"/>
        <w:spacing w:after="120"/>
      </w:pPr>
      <w:bookmarkStart w:id="35" w:name="_Toc243235764"/>
      <w:r>
        <w:rPr>
          <w:rFonts w:ascii="Times New Roman" w:eastAsia="黑体" w:hAnsi="Times New Roman"/>
          <w:color w:val="000000"/>
        </w:rPr>
        <w:t xml:space="preserve">8.4 </w:t>
      </w:r>
      <w:r>
        <w:rPr>
          <w:rFonts w:ascii="Times New Roman" w:eastAsia="黑体" w:hAnsi="Times New Roman"/>
          <w:color w:val="000000"/>
        </w:rPr>
        <w:t>第</w:t>
      </w:r>
      <w:r>
        <w:rPr>
          <w:rFonts w:ascii="Times New Roman" w:eastAsia="黑体" w:hAnsi="Times New Roman"/>
          <w:color w:val="000000"/>
        </w:rPr>
        <w:t xml:space="preserve"> 4 </w:t>
      </w:r>
      <w:r>
        <w:rPr>
          <w:rFonts w:ascii="Times New Roman" w:eastAsia="黑体" w:hAnsi="Times New Roman"/>
          <w:color w:val="000000"/>
        </w:rPr>
        <w:t>问：方向与层级的正式检验（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5"/>
    </w:p>
    <w:p w14:paraId="04F0614E" w14:textId="77777777" w:rsidR="003F6CEF" w:rsidRDefault="00460A8C">
      <w:r>
        <w:rPr>
          <w:color w:val="000000"/>
        </w:rPr>
        <w:t>回归：因变量为缩尾后的</w:t>
      </w:r>
      <w:r>
        <w:rPr>
          <w:color w:val="000000"/>
        </w:rPr>
        <w:t xml:space="preserve"> CAR </w:t>
      </w:r>
      <w:r>
        <w:rPr>
          <w:color w:val="000000"/>
        </w:rPr>
        <w:t>与</w:t>
      </w:r>
      <w:r>
        <w:rPr>
          <w:color w:val="000000"/>
        </w:rPr>
        <w:t xml:space="preserve"> AV</w:t>
      </w:r>
      <w:r>
        <w:rPr>
          <w:color w:val="000000"/>
        </w:rPr>
        <w:t>，自变量含</w:t>
      </w:r>
      <w:r>
        <w:rPr>
          <w:color w:val="000000"/>
        </w:rPr>
        <w:t xml:space="preserve"> star</w:t>
      </w:r>
      <w:r>
        <w:rPr>
          <w:color w:val="000000"/>
        </w:rPr>
        <w:t>、方向、</w:t>
      </w:r>
      <w:r>
        <w:rPr>
          <w:color w:val="000000"/>
        </w:rPr>
        <w:t>star×</w:t>
      </w:r>
      <w:r>
        <w:rPr>
          <w:color w:val="000000"/>
        </w:rPr>
        <w:t>方向、资历、上市天数对数、年份固定效应，按股票聚类。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F6CEF" w14:paraId="2EA3CF04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14D1A5C3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2353" w:type="dxa"/>
            <w:shd w:val="clear" w:color="auto" w:fill="F2F2F2"/>
          </w:tcPr>
          <w:p w14:paraId="49D0D4B3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2353" w:type="dxa"/>
            <w:shd w:val="clear" w:color="auto" w:fill="F2F2F2"/>
          </w:tcPr>
          <w:p w14:paraId="6B7CACF8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下调的交互项</w:t>
            </w:r>
          </w:p>
        </w:tc>
        <w:tc>
          <w:tcPr>
            <w:tcW w:w="2353" w:type="dxa"/>
            <w:shd w:val="clear" w:color="auto" w:fill="F2F2F2"/>
          </w:tcPr>
          <w:p w14:paraId="29048D0C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总效应</w:t>
            </w:r>
          </w:p>
        </w:tc>
      </w:tr>
      <w:tr w:rsidR="003F6CEF" w14:paraId="745C976D" w14:textId="77777777">
        <w:trPr>
          <w:cantSplit/>
          <w:jc w:val="center"/>
        </w:trPr>
        <w:tc>
          <w:tcPr>
            <w:tcW w:w="2353" w:type="dxa"/>
          </w:tcPr>
          <w:p w14:paraId="5D49952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2353" w:type="dxa"/>
          </w:tcPr>
          <w:p w14:paraId="6AEB1A8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5865C3C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531554A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+0.10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p=0.527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3F6CEF" w14:paraId="75F876A1" w14:textId="77777777">
        <w:trPr>
          <w:cantSplit/>
          <w:jc w:val="center"/>
        </w:trPr>
        <w:tc>
          <w:tcPr>
            <w:tcW w:w="2353" w:type="dxa"/>
          </w:tcPr>
          <w:p w14:paraId="1F2A22D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2353" w:type="dxa"/>
          </w:tcPr>
          <w:p w14:paraId="2E88524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+0.58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EC9270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5EB7BC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p=0.588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3F6CEF" w14:paraId="58378659" w14:textId="77777777">
        <w:trPr>
          <w:cantSplit/>
          <w:jc w:val="center"/>
        </w:trPr>
        <w:tc>
          <w:tcPr>
            <w:tcW w:w="2353" w:type="dxa"/>
          </w:tcPr>
          <w:p w14:paraId="57EBE98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2353" w:type="dxa"/>
          </w:tcPr>
          <w:p w14:paraId="106C028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+0.049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1AA96D8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0DC8DC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3F6CEF" w14:paraId="406D1F92" w14:textId="77777777">
        <w:trPr>
          <w:cantSplit/>
          <w:jc w:val="center"/>
        </w:trPr>
        <w:tc>
          <w:tcPr>
            <w:tcW w:w="2353" w:type="dxa"/>
          </w:tcPr>
          <w:p w14:paraId="6529DEC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CAR[+2,+120]</w:t>
            </w:r>
          </w:p>
        </w:tc>
        <w:tc>
          <w:tcPr>
            <w:tcW w:w="2353" w:type="dxa"/>
          </w:tcPr>
          <w:p w14:paraId="12540EA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3DC1C88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E37741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5610AFE" w14:textId="77777777" w:rsidR="003F6CEF" w:rsidRDefault="003F6CEF">
      <w:pPr>
        <w:spacing w:after="0"/>
      </w:pPr>
    </w:p>
    <w:p w14:paraId="66EF7BC7" w14:textId="77777777" w:rsidR="003F6CEF" w:rsidRDefault="00460A8C">
      <w:r>
        <w:rPr>
          <w:color w:val="000000"/>
        </w:rPr>
        <w:t>上调与下调的差异在</w:t>
      </w:r>
      <w:r>
        <w:rPr>
          <w:color w:val="000000"/>
        </w:rPr>
        <w:t xml:space="preserve"> CAR[-1,+5] </w:t>
      </w:r>
      <w:r>
        <w:rPr>
          <w:color w:val="000000"/>
        </w:rPr>
        <w:t>与异常成交量上显著，公告日短窗口和漂移窗口只是边际显著。层级检验只比较头部与中部，因为中小层级只有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3F6CEF" w14:paraId="7274A567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0C6C6267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882" w:type="dxa"/>
            <w:shd w:val="clear" w:color="auto" w:fill="F2F2F2"/>
          </w:tcPr>
          <w:p w14:paraId="3507CC7B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1882" w:type="dxa"/>
            <w:shd w:val="clear" w:color="auto" w:fill="F2F2F2"/>
          </w:tcPr>
          <w:p w14:paraId="073C53F8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1882" w:type="dxa"/>
            <w:shd w:val="clear" w:color="auto" w:fill="F2F2F2"/>
          </w:tcPr>
          <w:p w14:paraId="306DF6EF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头部与中部的差</w:t>
            </w:r>
          </w:p>
        </w:tc>
        <w:tc>
          <w:tcPr>
            <w:tcW w:w="1882" w:type="dxa"/>
            <w:shd w:val="clear" w:color="auto" w:fill="F2F2F2"/>
          </w:tcPr>
          <w:p w14:paraId="05A6FE41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中部总效应</w:t>
            </w:r>
          </w:p>
        </w:tc>
      </w:tr>
      <w:tr w:rsidR="003F6CEF" w14:paraId="3A5B73FB" w14:textId="77777777">
        <w:trPr>
          <w:cantSplit/>
          <w:jc w:val="center"/>
        </w:trPr>
        <w:tc>
          <w:tcPr>
            <w:tcW w:w="1882" w:type="dxa"/>
          </w:tcPr>
          <w:p w14:paraId="7FFA5D8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42E3AAE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331F970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DF1320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p=0.072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0919B5A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p=0.761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3F6CEF" w14:paraId="0920DFD1" w14:textId="77777777">
        <w:trPr>
          <w:cantSplit/>
          <w:jc w:val="center"/>
        </w:trPr>
        <w:tc>
          <w:tcPr>
            <w:tcW w:w="1882" w:type="dxa"/>
          </w:tcPr>
          <w:p w14:paraId="617D3E9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1CD83CD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2EA1FCB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+0.064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768A35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0.043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244F168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+0.021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p=0.462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3F6CEF" w14:paraId="796D267F" w14:textId="77777777">
        <w:trPr>
          <w:cantSplit/>
          <w:jc w:val="center"/>
        </w:trPr>
        <w:tc>
          <w:tcPr>
            <w:tcW w:w="1882" w:type="dxa"/>
          </w:tcPr>
          <w:p w14:paraId="4D36F81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下调</w:t>
            </w:r>
          </w:p>
        </w:tc>
        <w:tc>
          <w:tcPr>
            <w:tcW w:w="1882" w:type="dxa"/>
          </w:tcPr>
          <w:p w14:paraId="50D7854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7721049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p=0.536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48B9916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+0.77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20C358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+0.62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6B6ABC69" w14:textId="77777777" w:rsidR="003F6CEF" w:rsidRDefault="003F6CEF">
      <w:pPr>
        <w:spacing w:after="0"/>
      </w:pPr>
    </w:p>
    <w:p w14:paraId="78CB0619" w14:textId="77777777" w:rsidR="003F6CEF" w:rsidRDefault="00460A8C">
      <w:r>
        <w:rPr>
          <w:color w:val="000000"/>
        </w:rPr>
        <w:t>读法：上调的明星溢价集中在头部券商，头部与中部的差异边际显著（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），中部总效应为负且不显著。下调侧，中部券商的明星事件相对回报更高（</w:t>
      </w:r>
      <w:r>
        <w:rPr>
          <w:color w:val="000000"/>
        </w:rPr>
        <w:t>+0.62</w:t>
      </w:r>
      <w:r>
        <w:rPr>
          <w:color w:val="000000"/>
        </w:rPr>
        <w:t>，</w:t>
      </w:r>
      <w:r>
        <w:rPr>
          <w:color w:val="000000"/>
        </w:rPr>
        <w:t>p=0.007</w:t>
      </w:r>
      <w:r>
        <w:rPr>
          <w:color w:val="000000"/>
        </w:rPr>
        <w:t>），头部没有差异；符号与上调侧相反，解释要谨慎。</w:t>
      </w:r>
      <w:r>
        <w:rPr>
          <w:color w:val="000000"/>
        </w:rPr>
        <w:t xml:space="preserve">star </w:t>
      </w:r>
      <w:r>
        <w:rPr>
          <w:color w:val="000000"/>
        </w:rPr>
        <w:t>与层级高度共线，不能把层级当成独立因果变量。中小层级无法估计，写进局限。</w:t>
      </w:r>
    </w:p>
    <w:p w14:paraId="1FB5D3F6" w14:textId="77777777" w:rsidR="003F6CEF" w:rsidRDefault="00460A8C">
      <w:r>
        <w:rPr>
          <w:color w:val="000000"/>
        </w:rPr>
        <w:t>滚动层级稳健性：用</w:t>
      </w:r>
      <w:r>
        <w:rPr>
          <w:color w:val="000000"/>
        </w:rPr>
        <w:t xml:space="preserve"> t-3 </w:t>
      </w:r>
      <w:r>
        <w:rPr>
          <w:color w:val="000000"/>
        </w:rPr>
        <w:t>至</w:t>
      </w:r>
      <w:r>
        <w:rPr>
          <w:color w:val="000000"/>
        </w:rPr>
        <w:t xml:space="preserve"> t-1 </w:t>
      </w:r>
      <w:r>
        <w:rPr>
          <w:color w:val="000000"/>
        </w:rPr>
        <w:t>的事前记录重排层级后，不对称结论不变，但层级项的显著性不稳定，详见</w:t>
      </w:r>
      <w:r>
        <w:rPr>
          <w:color w:val="000000"/>
        </w:rPr>
        <w:t xml:space="preserve"> 6.3</w:t>
      </w:r>
      <w:r>
        <w:rPr>
          <w:color w:val="000000"/>
        </w:rPr>
        <w:t>。这一项说明层级结果对测量方式敏感，报告中应放在稳健性或讨论，而不是主结果。</w:t>
      </w:r>
    </w:p>
    <w:p w14:paraId="1D9146FB" w14:textId="77777777" w:rsidR="003F6CEF" w:rsidRDefault="00460A8C">
      <w:pPr>
        <w:pStyle w:val="21"/>
        <w:spacing w:after="120"/>
      </w:pPr>
      <w:bookmarkStart w:id="36" w:name="_Toc243235765"/>
      <w:r>
        <w:rPr>
          <w:rFonts w:ascii="Times New Roman" w:eastAsia="黑体" w:hAnsi="Times New Roman"/>
          <w:color w:val="000000"/>
        </w:rPr>
        <w:t xml:space="preserve">8.5 </w:t>
      </w:r>
      <w:r>
        <w:rPr>
          <w:rFonts w:ascii="Times New Roman" w:eastAsia="黑体" w:hAnsi="Times New Roman"/>
          <w:color w:val="000000"/>
        </w:rPr>
        <w:t>停牌稳健性（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6"/>
    </w:p>
    <w:p w14:paraId="695CD104" w14:textId="77777777" w:rsidR="003F6CEF" w:rsidRDefault="00460A8C">
      <w:r>
        <w:rPr>
          <w:color w:val="000000"/>
        </w:rPr>
        <w:t>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</w:t>
      </w:r>
      <w:r>
        <w:rPr>
          <w:color w:val="000000"/>
        </w:rPr>
        <w:t xml:space="preserve">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日期对），把「窗口内出现停牌」的事件整条剔除，再比较明星与非明星：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18"/>
        <w:gridCol w:w="1300"/>
        <w:gridCol w:w="1398"/>
        <w:gridCol w:w="1581"/>
        <w:gridCol w:w="1300"/>
        <w:gridCol w:w="1398"/>
        <w:gridCol w:w="1333"/>
      </w:tblGrid>
      <w:tr w:rsidR="003F6CEF" w14:paraId="02E6312E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28CB6B62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1345" w:type="dxa"/>
            <w:shd w:val="clear" w:color="auto" w:fill="F2F2F2"/>
          </w:tcPr>
          <w:p w14:paraId="1EE35BC8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调高：剔除比例</w:t>
            </w:r>
          </w:p>
        </w:tc>
        <w:tc>
          <w:tcPr>
            <w:tcW w:w="1345" w:type="dxa"/>
            <w:shd w:val="clear" w:color="auto" w:fill="F2F2F2"/>
          </w:tcPr>
          <w:p w14:paraId="1344BE95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调高：差（全样本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剔除后）</w:t>
            </w:r>
          </w:p>
        </w:tc>
        <w:tc>
          <w:tcPr>
            <w:tcW w:w="1345" w:type="dxa"/>
            <w:shd w:val="clear" w:color="auto" w:fill="F2F2F2"/>
          </w:tcPr>
          <w:p w14:paraId="4F501313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4DF89B8A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调低：剔除比例</w:t>
            </w:r>
          </w:p>
        </w:tc>
        <w:tc>
          <w:tcPr>
            <w:tcW w:w="1345" w:type="dxa"/>
            <w:shd w:val="clear" w:color="auto" w:fill="F2F2F2"/>
          </w:tcPr>
          <w:p w14:paraId="5573DC97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调低：差（全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58E2766E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</w:tr>
      <w:tr w:rsidR="003F6CEF" w14:paraId="4FBA21B4" w14:textId="77777777">
        <w:trPr>
          <w:cantSplit/>
          <w:jc w:val="center"/>
        </w:trPr>
        <w:tc>
          <w:tcPr>
            <w:tcW w:w="1345" w:type="dxa"/>
          </w:tcPr>
          <w:p w14:paraId="53F975A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1345" w:type="dxa"/>
          </w:tcPr>
          <w:p w14:paraId="242417A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0.6%</w:t>
            </w:r>
          </w:p>
        </w:tc>
        <w:tc>
          <w:tcPr>
            <w:tcW w:w="1345" w:type="dxa"/>
          </w:tcPr>
          <w:p w14:paraId="17AC868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+0.37→+0.37</w:t>
            </w:r>
          </w:p>
        </w:tc>
        <w:tc>
          <w:tcPr>
            <w:tcW w:w="1345" w:type="dxa"/>
          </w:tcPr>
          <w:p w14:paraId="50B11A7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0.030→0.030</w:t>
            </w:r>
          </w:p>
        </w:tc>
        <w:tc>
          <w:tcPr>
            <w:tcW w:w="1345" w:type="dxa"/>
          </w:tcPr>
          <w:p w14:paraId="35504C8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6493901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+0.06→+0.06</w:t>
            </w:r>
          </w:p>
        </w:tc>
        <w:tc>
          <w:tcPr>
            <w:tcW w:w="1345" w:type="dxa"/>
          </w:tcPr>
          <w:p w14:paraId="0C0C523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0.73→0.73</w:t>
            </w:r>
          </w:p>
        </w:tc>
      </w:tr>
      <w:tr w:rsidR="003F6CEF" w14:paraId="2EB067DD" w14:textId="77777777">
        <w:trPr>
          <w:cantSplit/>
          <w:jc w:val="center"/>
        </w:trPr>
        <w:tc>
          <w:tcPr>
            <w:tcW w:w="1345" w:type="dxa"/>
          </w:tcPr>
          <w:p w14:paraId="32ABD28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1345" w:type="dxa"/>
          </w:tcPr>
          <w:p w14:paraId="04B9551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0.7%</w:t>
            </w:r>
          </w:p>
        </w:tc>
        <w:tc>
          <w:tcPr>
            <w:tcW w:w="1345" w:type="dxa"/>
          </w:tcPr>
          <w:p w14:paraId="55026CC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+0.54→+0.59</w:t>
            </w:r>
          </w:p>
        </w:tc>
        <w:tc>
          <w:tcPr>
            <w:tcW w:w="1345" w:type="dxa"/>
          </w:tcPr>
          <w:p w14:paraId="59151B0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0.021→0.013</w:t>
            </w:r>
          </w:p>
        </w:tc>
        <w:tc>
          <w:tcPr>
            <w:tcW w:w="1345" w:type="dxa"/>
          </w:tcPr>
          <w:p w14:paraId="19BB204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3AD329B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0.19→−0.18</w:t>
            </w:r>
          </w:p>
        </w:tc>
        <w:tc>
          <w:tcPr>
            <w:tcW w:w="1345" w:type="dxa"/>
          </w:tcPr>
          <w:p w14:paraId="51F492C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0.40→0.43</w:t>
            </w:r>
          </w:p>
        </w:tc>
      </w:tr>
      <w:tr w:rsidR="003F6CEF" w14:paraId="38CC3842" w14:textId="77777777">
        <w:trPr>
          <w:cantSplit/>
          <w:jc w:val="center"/>
        </w:trPr>
        <w:tc>
          <w:tcPr>
            <w:tcW w:w="1345" w:type="dxa"/>
          </w:tcPr>
          <w:p w14:paraId="408D554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1345" w:type="dxa"/>
          </w:tcPr>
          <w:p w14:paraId="090CCC3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0.9%</w:t>
            </w:r>
          </w:p>
        </w:tc>
        <w:tc>
          <w:tcPr>
            <w:tcW w:w="1345" w:type="dxa"/>
          </w:tcPr>
          <w:p w14:paraId="4B037B3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+0.99→+0.99</w:t>
            </w:r>
          </w:p>
        </w:tc>
        <w:tc>
          <w:tcPr>
            <w:tcW w:w="1345" w:type="dxa"/>
          </w:tcPr>
          <w:p w14:paraId="5F9B35B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0.0004→0.0004</w:t>
            </w:r>
          </w:p>
        </w:tc>
        <w:tc>
          <w:tcPr>
            <w:tcW w:w="1345" w:type="dxa"/>
          </w:tcPr>
          <w:p w14:paraId="6068788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1.1%</w:t>
            </w:r>
          </w:p>
        </w:tc>
        <w:tc>
          <w:tcPr>
            <w:tcW w:w="1345" w:type="dxa"/>
          </w:tcPr>
          <w:p w14:paraId="22E5DFF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0.21→−0.25</w:t>
            </w:r>
          </w:p>
        </w:tc>
        <w:tc>
          <w:tcPr>
            <w:tcW w:w="1345" w:type="dxa"/>
          </w:tcPr>
          <w:p w14:paraId="67CCD9C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0.46→0.37</w:t>
            </w:r>
          </w:p>
        </w:tc>
      </w:tr>
      <w:tr w:rsidR="003F6CEF" w14:paraId="780194A4" w14:textId="77777777">
        <w:trPr>
          <w:cantSplit/>
          <w:jc w:val="center"/>
        </w:trPr>
        <w:tc>
          <w:tcPr>
            <w:tcW w:w="1345" w:type="dxa"/>
          </w:tcPr>
          <w:p w14:paraId="0D970AF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1345" w:type="dxa"/>
          </w:tcPr>
          <w:p w14:paraId="768BF75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3.3%</w:t>
            </w:r>
          </w:p>
        </w:tc>
        <w:tc>
          <w:tcPr>
            <w:tcW w:w="1345" w:type="dxa"/>
          </w:tcPr>
          <w:p w14:paraId="729D00D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+1.37→+1.46</w:t>
            </w:r>
          </w:p>
        </w:tc>
        <w:tc>
          <w:tcPr>
            <w:tcW w:w="1345" w:type="dxa"/>
          </w:tcPr>
          <w:p w14:paraId="0C35834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0.061→0.049</w:t>
            </w:r>
          </w:p>
        </w:tc>
        <w:tc>
          <w:tcPr>
            <w:tcW w:w="1345" w:type="dxa"/>
          </w:tcPr>
          <w:p w14:paraId="7BFA38E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4.0%</w:t>
            </w:r>
          </w:p>
        </w:tc>
        <w:tc>
          <w:tcPr>
            <w:tcW w:w="1345" w:type="dxa"/>
          </w:tcPr>
          <w:p w14:paraId="49659DE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0.79→−0.83</w:t>
            </w:r>
          </w:p>
        </w:tc>
        <w:tc>
          <w:tcPr>
            <w:tcW w:w="1345" w:type="dxa"/>
          </w:tcPr>
          <w:p w14:paraId="5A688D4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0.32→0.29</w:t>
            </w:r>
          </w:p>
        </w:tc>
      </w:tr>
      <w:tr w:rsidR="003F6CEF" w14:paraId="5B9B0E55" w14:textId="77777777">
        <w:trPr>
          <w:cantSplit/>
          <w:jc w:val="center"/>
        </w:trPr>
        <w:tc>
          <w:tcPr>
            <w:tcW w:w="1345" w:type="dxa"/>
          </w:tcPr>
          <w:p w14:paraId="6FB0575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1345" w:type="dxa"/>
          </w:tcPr>
          <w:p w14:paraId="5B13262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5.6%</w:t>
            </w:r>
          </w:p>
        </w:tc>
        <w:tc>
          <w:tcPr>
            <w:tcW w:w="1345" w:type="dxa"/>
          </w:tcPr>
          <w:p w14:paraId="08AC858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+0.90→+0.83</w:t>
            </w:r>
          </w:p>
        </w:tc>
        <w:tc>
          <w:tcPr>
            <w:tcW w:w="1345" w:type="dxa"/>
          </w:tcPr>
          <w:p w14:paraId="5D8A9B0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0.40→0.44</w:t>
            </w:r>
          </w:p>
        </w:tc>
        <w:tc>
          <w:tcPr>
            <w:tcW w:w="1345" w:type="dxa"/>
          </w:tcPr>
          <w:p w14:paraId="296B1ED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6.4%</w:t>
            </w:r>
          </w:p>
        </w:tc>
        <w:tc>
          <w:tcPr>
            <w:tcW w:w="1345" w:type="dxa"/>
          </w:tcPr>
          <w:p w14:paraId="0D8BAF4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+1.39→+1.14</w:t>
            </w:r>
          </w:p>
        </w:tc>
        <w:tc>
          <w:tcPr>
            <w:tcW w:w="1345" w:type="dxa"/>
          </w:tcPr>
          <w:p w14:paraId="42D0B42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0.23→0.33</w:t>
            </w:r>
          </w:p>
        </w:tc>
      </w:tr>
    </w:tbl>
    <w:p w14:paraId="6681C37E" w14:textId="77777777" w:rsidR="003F6CEF" w:rsidRDefault="003F6CEF">
      <w:pPr>
        <w:spacing w:after="0"/>
      </w:pPr>
    </w:p>
    <w:p w14:paraId="1B35B934" w14:textId="77777777" w:rsidR="003F6CEF" w:rsidRDefault="00460A8C">
      <w:r>
        <w:rPr>
          <w:color w:val="000000"/>
        </w:rPr>
        <w:t>长窗口的剔除比例升到</w:t>
      </w:r>
      <w:r>
        <w:rPr>
          <w:color w:val="000000"/>
        </w:rPr>
        <w:t xml:space="preserve"> 5% </w:t>
      </w:r>
      <w:r>
        <w:rPr>
          <w:color w:val="000000"/>
        </w:rPr>
        <w:t>至</w:t>
      </w:r>
      <w:r>
        <w:rPr>
          <w:color w:val="000000"/>
        </w:rPr>
        <w:t xml:space="preserve"> 6%</w:t>
      </w:r>
      <w:r>
        <w:rPr>
          <w:color w:val="000000"/>
        </w:rPr>
        <w:t>，但结论不变：上调的明星溢价在短窗口和</w:t>
      </w:r>
      <w:r>
        <w:rPr>
          <w:color w:val="000000"/>
        </w:rPr>
        <w:t xml:space="preserve"> 120 </w:t>
      </w:r>
      <w:r>
        <w:rPr>
          <w:color w:val="000000"/>
        </w:rPr>
        <w:t>日窗口仍显著，下调始终不显著；点估计的变化远小于标准误。停牌不是驱动结果的因素，主口径保留是安全的。这张表用的是未聚类</w:t>
      </w:r>
      <w:r>
        <w:rPr>
          <w:color w:val="000000"/>
        </w:rPr>
        <w:t xml:space="preserve"> t </w:t>
      </w:r>
      <w:r>
        <w:rPr>
          <w:color w:val="000000"/>
        </w:rPr>
        <w:t>检验，和主表一样，最终仍以聚类结果为准。</w:t>
      </w:r>
    </w:p>
    <w:p w14:paraId="770EC01A" w14:textId="77777777" w:rsidR="003F6CEF" w:rsidRDefault="00460A8C">
      <w:pPr>
        <w:pStyle w:val="21"/>
        <w:spacing w:after="120"/>
      </w:pPr>
      <w:bookmarkStart w:id="37" w:name="_Toc243235766"/>
      <w:r>
        <w:rPr>
          <w:rFonts w:ascii="Times New Roman" w:eastAsia="黑体" w:hAnsi="Times New Roman"/>
          <w:color w:val="000000"/>
        </w:rPr>
        <w:t xml:space="preserve">8.6 </w:t>
      </w:r>
      <w:r>
        <w:rPr>
          <w:rFonts w:ascii="Times New Roman" w:eastAsia="黑体" w:hAnsi="Times New Roman"/>
          <w:color w:val="000000"/>
        </w:rPr>
        <w:t>聚类稳健标准误（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7"/>
    </w:p>
    <w:p w14:paraId="0BEC98D7" w14:textId="77777777" w:rsidR="003F6CEF" w:rsidRDefault="00460A8C">
      <w:r>
        <w:rPr>
          <w:color w:val="000000"/>
        </w:rPr>
        <w:t>三组分析都在事件层估计</w:t>
      </w:r>
      <w:r>
        <w:rPr>
          <w:color w:val="000000"/>
        </w:rPr>
        <w:t xml:space="preserve"> y = a + b×star + e</w:t>
      </w:r>
      <w:r>
        <w:rPr>
          <w:color w:val="000000"/>
        </w:rPr>
        <w:t>，标准误按股票代码一维聚类；事件研究另做股票加事件交易日的联合聚类。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3F6CEF" w14:paraId="20FF7C2D" w14:textId="77777777">
        <w:trPr>
          <w:cantSplit/>
          <w:tblHeader/>
          <w:jc w:val="center"/>
        </w:trPr>
        <w:tc>
          <w:tcPr>
            <w:tcW w:w="1569" w:type="dxa"/>
            <w:shd w:val="clear" w:color="auto" w:fill="F2F2F2"/>
          </w:tcPr>
          <w:p w14:paraId="0EB01918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分析</w:t>
            </w:r>
          </w:p>
        </w:tc>
        <w:tc>
          <w:tcPr>
            <w:tcW w:w="1569" w:type="dxa"/>
            <w:shd w:val="clear" w:color="auto" w:fill="F2F2F2"/>
          </w:tcPr>
          <w:p w14:paraId="14BF6EE9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569" w:type="dxa"/>
            <w:shd w:val="clear" w:color="auto" w:fill="F2F2F2"/>
          </w:tcPr>
          <w:p w14:paraId="0F0E952C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569" w:type="dxa"/>
            <w:shd w:val="clear" w:color="auto" w:fill="F2F2F2"/>
          </w:tcPr>
          <w:p w14:paraId="3D7D7920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系数</w:t>
            </w:r>
          </w:p>
        </w:tc>
        <w:tc>
          <w:tcPr>
            <w:tcW w:w="1569" w:type="dxa"/>
            <w:shd w:val="clear" w:color="auto" w:fill="F2F2F2"/>
          </w:tcPr>
          <w:p w14:paraId="119C86B0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  <w:tc>
          <w:tcPr>
            <w:tcW w:w="1569" w:type="dxa"/>
            <w:shd w:val="clear" w:color="auto" w:fill="F2F2F2"/>
          </w:tcPr>
          <w:p w14:paraId="3CE7BB0B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未聚类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</w:tr>
      <w:tr w:rsidR="003F6CEF" w14:paraId="43FE8B46" w14:textId="77777777">
        <w:trPr>
          <w:cantSplit/>
          <w:jc w:val="center"/>
        </w:trPr>
        <w:tc>
          <w:tcPr>
            <w:tcW w:w="1569" w:type="dxa"/>
          </w:tcPr>
          <w:p w14:paraId="044B826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5FD6316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569" w:type="dxa"/>
          </w:tcPr>
          <w:p w14:paraId="373359E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480BA51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+0.37</w:t>
            </w:r>
          </w:p>
        </w:tc>
        <w:tc>
          <w:tcPr>
            <w:tcW w:w="1569" w:type="dxa"/>
          </w:tcPr>
          <w:p w14:paraId="01C93E7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0.035</w:t>
            </w:r>
          </w:p>
        </w:tc>
        <w:tc>
          <w:tcPr>
            <w:tcW w:w="1569" w:type="dxa"/>
          </w:tcPr>
          <w:p w14:paraId="206E56A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0.026</w:t>
            </w:r>
          </w:p>
        </w:tc>
      </w:tr>
      <w:tr w:rsidR="003F6CEF" w14:paraId="347089FF" w14:textId="77777777">
        <w:trPr>
          <w:cantSplit/>
          <w:jc w:val="center"/>
        </w:trPr>
        <w:tc>
          <w:tcPr>
            <w:tcW w:w="1569" w:type="dxa"/>
          </w:tcPr>
          <w:p w14:paraId="1731E80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709F281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569" w:type="dxa"/>
          </w:tcPr>
          <w:p w14:paraId="24D1C22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1E11932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+0.54</w:t>
            </w:r>
          </w:p>
        </w:tc>
        <w:tc>
          <w:tcPr>
            <w:tcW w:w="1569" w:type="dxa"/>
          </w:tcPr>
          <w:p w14:paraId="2347223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0.028</w:t>
            </w:r>
          </w:p>
        </w:tc>
        <w:tc>
          <w:tcPr>
            <w:tcW w:w="1569" w:type="dxa"/>
          </w:tcPr>
          <w:p w14:paraId="7AF8C37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0.019</w:t>
            </w:r>
          </w:p>
        </w:tc>
      </w:tr>
      <w:tr w:rsidR="003F6CEF" w14:paraId="1FDFF921" w14:textId="77777777">
        <w:trPr>
          <w:cantSplit/>
          <w:jc w:val="center"/>
        </w:trPr>
        <w:tc>
          <w:tcPr>
            <w:tcW w:w="1569" w:type="dxa"/>
          </w:tcPr>
          <w:p w14:paraId="5C6AD19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08F701B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569" w:type="dxa"/>
          </w:tcPr>
          <w:p w14:paraId="0709B95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1B186C7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+0.99</w:t>
            </w:r>
          </w:p>
        </w:tc>
        <w:tc>
          <w:tcPr>
            <w:tcW w:w="1569" w:type="dxa"/>
          </w:tcPr>
          <w:p w14:paraId="1304EE1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3F2F97D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</w:t>
            </w:r>
          </w:p>
        </w:tc>
      </w:tr>
      <w:tr w:rsidR="003F6CEF" w14:paraId="08E31EDA" w14:textId="77777777">
        <w:trPr>
          <w:cantSplit/>
          <w:jc w:val="center"/>
        </w:trPr>
        <w:tc>
          <w:tcPr>
            <w:tcW w:w="1569" w:type="dxa"/>
          </w:tcPr>
          <w:p w14:paraId="6E65366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3BE548A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569" w:type="dxa"/>
          </w:tcPr>
          <w:p w14:paraId="6621789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2D1C736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569" w:type="dxa"/>
          </w:tcPr>
          <w:p w14:paraId="3785016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0.006</w:t>
            </w:r>
          </w:p>
        </w:tc>
        <w:tc>
          <w:tcPr>
            <w:tcW w:w="1569" w:type="dxa"/>
          </w:tcPr>
          <w:p w14:paraId="0492A57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0.005</w:t>
            </w:r>
          </w:p>
        </w:tc>
      </w:tr>
      <w:tr w:rsidR="003F6CEF" w14:paraId="0A87C6C7" w14:textId="77777777">
        <w:trPr>
          <w:cantSplit/>
          <w:jc w:val="center"/>
        </w:trPr>
        <w:tc>
          <w:tcPr>
            <w:tcW w:w="1569" w:type="dxa"/>
          </w:tcPr>
          <w:p w14:paraId="0C23496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40C3640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126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22E0830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1A0FAFB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+1.51</w:t>
            </w:r>
          </w:p>
        </w:tc>
        <w:tc>
          <w:tcPr>
            <w:tcW w:w="1569" w:type="dxa"/>
          </w:tcPr>
          <w:p w14:paraId="66D5935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0.050</w:t>
            </w:r>
          </w:p>
        </w:tc>
        <w:tc>
          <w:tcPr>
            <w:tcW w:w="1569" w:type="dxa"/>
          </w:tcPr>
          <w:p w14:paraId="2A834F5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0.045</w:t>
            </w:r>
          </w:p>
        </w:tc>
      </w:tr>
      <w:tr w:rsidR="003F6CEF" w14:paraId="27FB6229" w14:textId="77777777">
        <w:trPr>
          <w:cantSplit/>
          <w:jc w:val="center"/>
        </w:trPr>
        <w:tc>
          <w:tcPr>
            <w:tcW w:w="1569" w:type="dxa"/>
          </w:tcPr>
          <w:p w14:paraId="15E171A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04D2A1D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63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1F984E9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310CA0C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+1.78</w:t>
            </w:r>
          </w:p>
        </w:tc>
        <w:tc>
          <w:tcPr>
            <w:tcW w:w="1569" w:type="dxa"/>
          </w:tcPr>
          <w:p w14:paraId="4C80873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  <w:tc>
          <w:tcPr>
            <w:tcW w:w="1569" w:type="dxa"/>
          </w:tcPr>
          <w:p w14:paraId="79CF7D0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</w:tr>
      <w:tr w:rsidR="003F6CEF" w14:paraId="105A1C0F" w14:textId="77777777">
        <w:trPr>
          <w:cantSplit/>
          <w:jc w:val="center"/>
        </w:trPr>
        <w:tc>
          <w:tcPr>
            <w:tcW w:w="1569" w:type="dxa"/>
          </w:tcPr>
          <w:p w14:paraId="71F18DC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5AD988D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6663E07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20A659A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+0.28</w:t>
            </w:r>
          </w:p>
        </w:tc>
        <w:tc>
          <w:tcPr>
            <w:tcW w:w="1569" w:type="dxa"/>
          </w:tcPr>
          <w:p w14:paraId="28CAD05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0.003</w:t>
            </w:r>
          </w:p>
        </w:tc>
        <w:tc>
          <w:tcPr>
            <w:tcW w:w="1569" w:type="dxa"/>
          </w:tcPr>
          <w:p w14:paraId="07A642B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3F6CEF" w14:paraId="732EAAB7" w14:textId="77777777">
        <w:trPr>
          <w:cantSplit/>
          <w:jc w:val="center"/>
        </w:trPr>
        <w:tc>
          <w:tcPr>
            <w:tcW w:w="1569" w:type="dxa"/>
          </w:tcPr>
          <w:p w14:paraId="6BF31A0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683B642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497EEB2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250F80E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</w:p>
        </w:tc>
        <w:tc>
          <w:tcPr>
            <w:tcW w:w="1569" w:type="dxa"/>
          </w:tcPr>
          <w:p w14:paraId="5ED1A41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2B90F5B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3F6CEF" w14:paraId="60D993EB" w14:textId="77777777">
        <w:trPr>
          <w:cantSplit/>
          <w:jc w:val="center"/>
        </w:trPr>
        <w:tc>
          <w:tcPr>
            <w:tcW w:w="1569" w:type="dxa"/>
          </w:tcPr>
          <w:p w14:paraId="605834C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32EC96C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3960E86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55C13D7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+0.40</w:t>
            </w:r>
          </w:p>
        </w:tc>
        <w:tc>
          <w:tcPr>
            <w:tcW w:w="1569" w:type="dxa"/>
          </w:tcPr>
          <w:p w14:paraId="715EF97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0.010</w:t>
            </w:r>
          </w:p>
        </w:tc>
        <w:tc>
          <w:tcPr>
            <w:tcW w:w="1569" w:type="dxa"/>
          </w:tcPr>
          <w:p w14:paraId="6394DC7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0.006</w:t>
            </w:r>
          </w:p>
        </w:tc>
      </w:tr>
      <w:tr w:rsidR="003F6CEF" w14:paraId="5BF393D5" w14:textId="77777777">
        <w:trPr>
          <w:cantSplit/>
          <w:jc w:val="center"/>
        </w:trPr>
        <w:tc>
          <w:tcPr>
            <w:tcW w:w="1569" w:type="dxa"/>
          </w:tcPr>
          <w:p w14:paraId="160C996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7C65E7F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6C820AD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53E68E7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+0.94</w:t>
            </w:r>
          </w:p>
        </w:tc>
        <w:tc>
          <w:tcPr>
            <w:tcW w:w="1569" w:type="dxa"/>
          </w:tcPr>
          <w:p w14:paraId="4EF4DD5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0.0001</w:t>
            </w:r>
          </w:p>
        </w:tc>
        <w:tc>
          <w:tcPr>
            <w:tcW w:w="1569" w:type="dxa"/>
          </w:tcPr>
          <w:p w14:paraId="22DB8E6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0.0000</w:t>
            </w:r>
          </w:p>
        </w:tc>
      </w:tr>
    </w:tbl>
    <w:p w14:paraId="2A7B40FA" w14:textId="77777777" w:rsidR="003F6CEF" w:rsidRDefault="003F6CEF">
      <w:pPr>
        <w:spacing w:after="0"/>
      </w:pPr>
    </w:p>
    <w:p w14:paraId="55786E31" w14:textId="77777777" w:rsidR="003F6CEF" w:rsidRDefault="00460A8C">
      <w:r>
        <w:rPr>
          <w:color w:val="000000"/>
        </w:rPr>
        <w:t>下调的事件研究各窗口仍不显著，</w:t>
      </w:r>
      <w:r>
        <w:rPr>
          <w:color w:val="000000"/>
        </w:rPr>
        <w:t xml:space="preserve">12 </w:t>
      </w:r>
      <w:r>
        <w:rPr>
          <w:color w:val="000000"/>
        </w:rPr>
        <w:t>个月持有收益仍不显著。</w:t>
      </w:r>
      <w:r>
        <w:rPr>
          <w:color w:val="000000"/>
        </w:rPr>
        <w:t xml:space="preserve">40 </w:t>
      </w:r>
      <w:r>
        <w:rPr>
          <w:color w:val="000000"/>
        </w:rPr>
        <w:t>个格子里，聚类前后没有任何一格的</w:t>
      </w:r>
      <w:r>
        <w:rPr>
          <w:color w:val="000000"/>
        </w:rPr>
        <w:t xml:space="preserve"> 5% </w:t>
      </w:r>
      <w:r>
        <w:rPr>
          <w:color w:val="000000"/>
        </w:rPr>
        <w:t>显著性判断改变；股票日聚类版本的点估计与</w:t>
      </w:r>
      <w:r>
        <w:rPr>
          <w:color w:val="000000"/>
        </w:rPr>
        <w:t xml:space="preserve"> N </w:t>
      </w:r>
      <w:r>
        <w:rPr>
          <w:color w:val="000000"/>
        </w:rPr>
        <w:t>不变，</w:t>
      </w:r>
      <w:r>
        <w:rPr>
          <w:color w:val="000000"/>
        </w:rPr>
        <w:t xml:space="preserve">p </w:t>
      </w:r>
      <w:r>
        <w:rPr>
          <w:color w:val="000000"/>
        </w:rPr>
        <w:t>值相近或更小。两个例外要注明：</w:t>
      </w:r>
      <w:r>
        <w:rPr>
          <w:color w:val="000000"/>
        </w:rPr>
        <w:t xml:space="preserve">126 </w:t>
      </w:r>
      <w:r>
        <w:rPr>
          <w:color w:val="000000"/>
        </w:rPr>
        <w:t>日调高聚类</w:t>
      </w:r>
      <w:r>
        <w:rPr>
          <w:color w:val="000000"/>
        </w:rPr>
        <w:t xml:space="preserve"> p=0.050</w:t>
      </w:r>
      <w:r>
        <w:rPr>
          <w:color w:val="000000"/>
        </w:rPr>
        <w:t>，刚好在</w:t>
      </w:r>
      <w:r>
        <w:rPr>
          <w:color w:val="000000"/>
        </w:rPr>
        <w:t xml:space="preserve"> 5% </w:t>
      </w:r>
      <w:r>
        <w:rPr>
          <w:color w:val="000000"/>
        </w:rPr>
        <w:t>边界，不能当作强结果；</w:t>
      </w:r>
      <w:r>
        <w:rPr>
          <w:color w:val="000000"/>
        </w:rPr>
        <w:t xml:space="preserve">FY1 </w:t>
      </w:r>
      <w:r>
        <w:rPr>
          <w:color w:val="000000"/>
        </w:rPr>
        <w:t>调高未缩尾时聚类</w:t>
      </w:r>
      <w:r>
        <w:rPr>
          <w:color w:val="000000"/>
        </w:rPr>
        <w:t xml:space="preserve"> p=0.053</w:t>
      </w:r>
      <w:r>
        <w:rPr>
          <w:color w:val="000000"/>
        </w:rPr>
        <w:t>，也不显著，缩尾后</w:t>
      </w:r>
      <w:r>
        <w:rPr>
          <w:color w:val="000000"/>
        </w:rPr>
        <w:t xml:space="preserve"> p=0.010</w:t>
      </w:r>
      <w:r>
        <w:rPr>
          <w:color w:val="000000"/>
        </w:rPr>
        <w:t>。正文引用时要说明。</w:t>
      </w:r>
    </w:p>
    <w:p w14:paraId="0828308F" w14:textId="77777777" w:rsidR="003F6CEF" w:rsidRDefault="00460A8C">
      <w:r>
        <w:rPr>
          <w:color w:val="000000"/>
        </w:rPr>
        <w:t>多重检验：按</w:t>
      </w:r>
      <w:r>
        <w:rPr>
          <w:color w:val="000000"/>
        </w:rPr>
        <w:t xml:space="preserve"> 30 </w:t>
      </w:r>
      <w:r>
        <w:rPr>
          <w:color w:val="000000"/>
        </w:rPr>
        <w:t>个主规格做</w:t>
      </w:r>
      <w:r>
        <w:rPr>
          <w:color w:val="000000"/>
        </w:rPr>
        <w:t xml:space="preserve"> Bonferroni</w:t>
      </w:r>
      <w:r>
        <w:rPr>
          <w:color w:val="000000"/>
        </w:rPr>
        <w:t>（阈值</w:t>
      </w:r>
      <w:r>
        <w:rPr>
          <w:color w:val="000000"/>
        </w:rPr>
        <w:t xml:space="preserve"> 0.0017</w:t>
      </w:r>
      <w:r>
        <w:rPr>
          <w:color w:val="000000"/>
        </w:rPr>
        <w:t>），仍有</w:t>
      </w:r>
      <w:r>
        <w:rPr>
          <w:color w:val="000000"/>
        </w:rPr>
        <w:t xml:space="preserve"> 5 </w:t>
      </w:r>
      <w:r>
        <w:rPr>
          <w:color w:val="000000"/>
        </w:rPr>
        <w:t>个结果显著：上调</w:t>
      </w:r>
      <w:r>
        <w:rPr>
          <w:color w:val="000000"/>
        </w:rPr>
        <w:t xml:space="preserve"> CAR[-5,+5]</w:t>
      </w:r>
      <w:r>
        <w:rPr>
          <w:color w:val="000000"/>
        </w:rPr>
        <w:t>、下调</w:t>
      </w:r>
      <w:r>
        <w:rPr>
          <w:color w:val="000000"/>
        </w:rPr>
        <w:t xml:space="preserve"> 63 </w:t>
      </w:r>
      <w:r>
        <w:rPr>
          <w:color w:val="000000"/>
        </w:rPr>
        <w:t>日持有收益（原始与市场调整）、</w:t>
      </w:r>
      <w:r>
        <w:rPr>
          <w:color w:val="000000"/>
        </w:rPr>
        <w:t xml:space="preserve">FY0 </w:t>
      </w:r>
      <w:r>
        <w:rPr>
          <w:color w:val="000000"/>
        </w:rPr>
        <w:t>下调缩尾、</w:t>
      </w:r>
      <w:r>
        <w:rPr>
          <w:color w:val="000000"/>
        </w:rPr>
        <w:t xml:space="preserve">FY1 </w:t>
      </w:r>
      <w:r>
        <w:rPr>
          <w:color w:val="000000"/>
        </w:rPr>
        <w:t>下调缩尾。边际显著的格子引用时要说明。聚类只做一维股票，未做股票与日历日的双向聚类。方法与局限见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/cluster_robustness_note.md</w:t>
      </w:r>
      <w:r>
        <w:rPr>
          <w:color w:val="000000"/>
        </w:rPr>
        <w:t>。</w:t>
      </w:r>
    </w:p>
    <w:p w14:paraId="08DBA0DD" w14:textId="77777777" w:rsidR="003F6CEF" w:rsidRDefault="00460A8C">
      <w:pPr>
        <w:pStyle w:val="21"/>
        <w:spacing w:after="120"/>
      </w:pPr>
      <w:bookmarkStart w:id="38" w:name="_Toc243235767"/>
      <w:r>
        <w:rPr>
          <w:rFonts w:ascii="Times New Roman" w:eastAsia="黑体" w:hAnsi="Times New Roman"/>
          <w:color w:val="000000"/>
        </w:rPr>
        <w:t xml:space="preserve">8.7 </w:t>
      </w:r>
      <w:r>
        <w:rPr>
          <w:rFonts w:ascii="Times New Roman" w:eastAsia="黑体" w:hAnsi="Times New Roman"/>
          <w:color w:val="000000"/>
        </w:rPr>
        <w:t>独立复跑（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8"/>
    </w:p>
    <w:p w14:paraId="6CB6F9A0" w14:textId="77777777" w:rsidR="003F6CEF" w:rsidRDefault="00460A8C">
      <w:r>
        <w:rPr>
          <w:color w:val="000000"/>
        </w:rPr>
        <w:t>用一套不复用现有函数的实现重算三项结果：</w:t>
      </w:r>
    </w:p>
    <w:p w14:paraId="429369EF" w14:textId="77777777" w:rsidR="003F6CEF" w:rsidRDefault="00460A8C">
      <w:pPr>
        <w:pStyle w:val="a0"/>
        <w:spacing w:after="60"/>
      </w:pPr>
      <w:r>
        <w:rPr>
          <w:color w:val="000000"/>
        </w:rPr>
        <w:t>事件研究：</w:t>
      </w:r>
      <w:r>
        <w:rPr>
          <w:color w:val="000000"/>
        </w:rPr>
        <w:t xml:space="preserve">CAR </w:t>
      </w:r>
      <w:r>
        <w:rPr>
          <w:color w:val="000000"/>
        </w:rPr>
        <w:t>四个窗口逐条比对，最大差</w:t>
      </w:r>
      <w:r>
        <w:rPr>
          <w:color w:val="000000"/>
        </w:rPr>
        <w:t xml:space="preserve"> 1.42e-13</w:t>
      </w:r>
      <w:r>
        <w:rPr>
          <w:color w:val="000000"/>
        </w:rPr>
        <w:t>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条；事件日对齐不一致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  <w:r>
        <w:rPr>
          <w:rFonts w:ascii="Consolas" w:hAnsi="Consolas"/>
          <w:color w:val="000000"/>
          <w:sz w:val="22"/>
        </w:rPr>
        <w:t>CAR_p2_p120</w:t>
      </w:r>
      <w:r>
        <w:rPr>
          <w:color w:val="000000"/>
        </w:rPr>
        <w:t xml:space="preserve"> </w:t>
      </w:r>
      <w:r>
        <w:rPr>
          <w:color w:val="000000"/>
        </w:rPr>
        <w:t>有</w:t>
      </w:r>
      <w:r>
        <w:rPr>
          <w:color w:val="000000"/>
        </w:rPr>
        <w:t xml:space="preserve"> 64 </w:t>
      </w:r>
      <w:r>
        <w:rPr>
          <w:color w:val="000000"/>
        </w:rPr>
        <w:t>条</w:t>
      </w:r>
      <w:r>
        <w:rPr>
          <w:color w:val="000000"/>
        </w:rPr>
        <w:t xml:space="preserve"> NaN </w:t>
      </w:r>
      <w:r>
        <w:rPr>
          <w:color w:val="000000"/>
        </w:rPr>
        <w:t>状态差异，原因是参照实现只在第</w:t>
      </w:r>
      <w:r>
        <w:rPr>
          <w:color w:val="000000"/>
        </w:rPr>
        <w:t xml:space="preserve"> 0 </w:t>
      </w:r>
      <w:r>
        <w:rPr>
          <w:color w:val="000000"/>
        </w:rPr>
        <w:t>天位于窗口内时检查事件日有效性，而任务口径要求所有窗口都检查；按参照规则重算后差异为</w:t>
      </w:r>
      <w:r>
        <w:rPr>
          <w:color w:val="000000"/>
        </w:rPr>
        <w:t xml:space="preserve"> 0</w:t>
      </w:r>
      <w:r>
        <w:rPr>
          <w:color w:val="000000"/>
        </w:rPr>
        <w:t>。</w:t>
      </w:r>
      <w:r>
        <w:rPr>
          <w:color w:val="000000"/>
        </w:rPr>
        <w:t xml:space="preserve">64 </w:t>
      </w:r>
      <w:r>
        <w:rPr>
          <w:color w:val="000000"/>
        </w:rPr>
        <w:t>条对组均值影响最大</w:t>
      </w:r>
      <w:r>
        <w:rPr>
          <w:color w:val="000000"/>
        </w:rPr>
        <w:t xml:space="preserve"> 0.0516pp</w:t>
      </w:r>
      <w:r>
        <w:rPr>
          <w:color w:val="000000"/>
        </w:rPr>
        <w:t>，调高的组间差变化</w:t>
      </w:r>
      <w:r>
        <w:rPr>
          <w:color w:val="000000"/>
        </w:rPr>
        <w:t xml:space="preserve"> +0.0433</w:t>
      </w:r>
      <w:r>
        <w:rPr>
          <w:color w:val="000000"/>
        </w:rPr>
        <w:t>、调低变化</w:t>
      </w:r>
      <w:r>
        <w:rPr>
          <w:color w:val="000000"/>
        </w:rPr>
        <w:t xml:space="preserve"> -0.0608</w:t>
      </w:r>
      <w:r>
        <w:rPr>
          <w:color w:val="000000"/>
        </w:rPr>
        <w:t>，方向不变。</w:t>
      </w:r>
    </w:p>
    <w:p w14:paraId="2C53C493" w14:textId="77777777" w:rsidR="003F6CEF" w:rsidRDefault="00460A8C">
      <w:pPr>
        <w:pStyle w:val="a0"/>
        <w:spacing w:after="60"/>
      </w:pPr>
      <w:r>
        <w:rPr>
          <w:color w:val="000000"/>
        </w:rPr>
        <w:t>持有收益：</w:t>
      </w:r>
      <w:r>
        <w:rPr>
          <w:color w:val="000000"/>
        </w:rPr>
        <w:t xml:space="preserve">12 </w:t>
      </w:r>
      <w:r>
        <w:rPr>
          <w:color w:val="000000"/>
        </w:rPr>
        <w:t>组</w:t>
      </w:r>
      <w:r>
        <w:rPr>
          <w:color w:val="000000"/>
        </w:rPr>
        <w:t xml:space="preserve"> N </w:t>
      </w:r>
      <w:r>
        <w:rPr>
          <w:color w:val="000000"/>
        </w:rPr>
        <w:t>全部一致，均值最大差</w:t>
      </w:r>
      <w:r>
        <w:rPr>
          <w:color w:val="000000"/>
        </w:rPr>
        <w:t xml:space="preserve"> 4.79e-05pp</w:t>
      </w:r>
      <w:r>
        <w:rPr>
          <w:color w:val="000000"/>
        </w:rPr>
        <w:t>，超过</w:t>
      </w:r>
      <w:r>
        <w:rPr>
          <w:color w:val="000000"/>
        </w:rPr>
        <w:t xml:space="preserve"> 0.01pp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组。</w:t>
      </w:r>
    </w:p>
    <w:p w14:paraId="24A91192" w14:textId="77777777" w:rsidR="003F6CEF" w:rsidRDefault="00460A8C">
      <w:pPr>
        <w:pStyle w:val="a0"/>
        <w:spacing w:after="60"/>
      </w:pPr>
      <w:r>
        <w:rPr>
          <w:color w:val="000000"/>
        </w:rPr>
        <w:t>预测误差：字面匹配</w:t>
      </w:r>
      <w:r>
        <w:rPr>
          <w:color w:val="000000"/>
        </w:rPr>
        <w:t xml:space="preserve"> 20,092 </w:t>
      </w:r>
      <w:r>
        <w:rPr>
          <w:color w:val="000000"/>
        </w:rPr>
        <w:t>条，参照</w:t>
      </w:r>
      <w:r>
        <w:rPr>
          <w:color w:val="000000"/>
        </w:rPr>
        <w:t xml:space="preserve"> 20,248 </w:t>
      </w:r>
      <w:r>
        <w:rPr>
          <w:color w:val="000000"/>
        </w:rPr>
        <w:t>条；差额</w:t>
      </w:r>
      <w:r>
        <w:rPr>
          <w:color w:val="000000"/>
        </w:rPr>
        <w:t xml:space="preserve"> 156 </w:t>
      </w:r>
      <w:r>
        <w:rPr>
          <w:color w:val="000000"/>
        </w:rPr>
        <w:t>条全部是券商写法</w:t>
      </w:r>
      <w:r>
        <w:rPr>
          <w:color w:val="000000"/>
        </w:rPr>
        <w:t>/</w:t>
      </w:r>
      <w:r>
        <w:rPr>
          <w:color w:val="000000"/>
        </w:rPr>
        <w:t>改名或分析师空值的键名规范化。规范化后匹配数、事件级误差和汇总</w:t>
      </w:r>
      <w:r>
        <w:rPr>
          <w:color w:val="000000"/>
        </w:rPr>
        <w:t xml:space="preserve"> N </w:t>
      </w:r>
      <w:r>
        <w:rPr>
          <w:color w:val="000000"/>
        </w:rPr>
        <w:t>全部复现，超过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</w:p>
    <w:p w14:paraId="0513E389" w14:textId="77777777" w:rsidR="003F6CEF" w:rsidRDefault="00460A8C">
      <w:r>
        <w:rPr>
          <w:color w:val="000000"/>
        </w:rPr>
        <w:t>结论：没有实质数值不一致。首轮复现代码的两处错误已记录在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/replication_note.md</w:t>
      </w:r>
      <w:r>
        <w:rPr>
          <w:color w:val="000000"/>
        </w:rPr>
        <w:t>，修正后复现通过。</w:t>
      </w:r>
    </w:p>
    <w:p w14:paraId="670CBBE9" w14:textId="77777777" w:rsidR="003F6CEF" w:rsidRDefault="00460A8C">
      <w:pPr>
        <w:pStyle w:val="21"/>
        <w:spacing w:after="120"/>
      </w:pPr>
      <w:bookmarkStart w:id="39" w:name="_Toc243235768"/>
      <w:r>
        <w:rPr>
          <w:rFonts w:ascii="Times New Roman" w:eastAsia="黑体" w:hAnsi="Times New Roman"/>
          <w:color w:val="000000"/>
        </w:rPr>
        <w:t xml:space="preserve">8.8 </w:t>
      </w:r>
      <w:r>
        <w:rPr>
          <w:rFonts w:ascii="Times New Roman" w:eastAsia="黑体" w:hAnsi="Times New Roman"/>
          <w:color w:val="000000"/>
        </w:rPr>
        <w:t>涨跌停、</w:t>
      </w:r>
      <w:r>
        <w:rPr>
          <w:rFonts w:ascii="Times New Roman" w:eastAsia="黑体" w:hAnsi="Times New Roman"/>
          <w:color w:val="000000"/>
        </w:rPr>
        <w:t xml:space="preserve">ST </w:t>
      </w:r>
      <w:r>
        <w:rPr>
          <w:rFonts w:ascii="Times New Roman" w:eastAsia="黑体" w:hAnsi="Times New Roman"/>
          <w:color w:val="000000"/>
        </w:rPr>
        <w:t>与行情数据质量（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9"/>
    </w:p>
    <w:p w14:paraId="6E91BBDF" w14:textId="77777777" w:rsidR="003F6CEF" w:rsidRDefault="00460A8C">
      <w:r>
        <w:rPr>
          <w:color w:val="000000"/>
        </w:rPr>
        <w:t>涨跌停按板块阈值标记（主板</w:t>
      </w:r>
      <w:r>
        <w:rPr>
          <w:color w:val="000000"/>
        </w:rPr>
        <w:t xml:space="preserve"> 10%</w:t>
      </w:r>
      <w:r>
        <w:rPr>
          <w:color w:val="000000"/>
        </w:rPr>
        <w:t>、创业板与科创板</w:t>
      </w:r>
      <w:r>
        <w:rPr>
          <w:color w:val="000000"/>
        </w:rPr>
        <w:t xml:space="preserve"> 20%</w:t>
      </w:r>
      <w:r>
        <w:rPr>
          <w:color w:val="000000"/>
        </w:rPr>
        <w:t>、北交所</w:t>
      </w:r>
      <w:r>
        <w:rPr>
          <w:color w:val="000000"/>
        </w:rPr>
        <w:t xml:space="preserve"> 30%</w:t>
      </w:r>
      <w:r>
        <w:rPr>
          <w:color w:val="000000"/>
        </w:rPr>
        <w:t>，首五个交易日不标记，阈值上加</w:t>
      </w:r>
      <w:r>
        <w:rPr>
          <w:color w:val="000000"/>
        </w:rPr>
        <w:t xml:space="preserve"> 1.0pp </w:t>
      </w:r>
      <w:r>
        <w:rPr>
          <w:color w:val="000000"/>
        </w:rPr>
        <w:t>封顶）。剔除窗口内出现涨跌停的事件后：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F6CEF" w14:paraId="67AC14BA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67E15F3B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2353" w:type="dxa"/>
            <w:shd w:val="clear" w:color="auto" w:fill="F2F2F2"/>
          </w:tcPr>
          <w:p w14:paraId="4C0F5923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上调差值（全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03DB737A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14E9C80B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剔除比例</w:t>
            </w:r>
          </w:p>
        </w:tc>
      </w:tr>
      <w:tr w:rsidR="003F6CEF" w14:paraId="109558FC" w14:textId="77777777">
        <w:trPr>
          <w:cantSplit/>
          <w:jc w:val="center"/>
        </w:trPr>
        <w:tc>
          <w:tcPr>
            <w:tcW w:w="2353" w:type="dxa"/>
          </w:tcPr>
          <w:p w14:paraId="4FA40F6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2353" w:type="dxa"/>
          </w:tcPr>
          <w:p w14:paraId="63EF57C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+0.37→+0.21</w:t>
            </w:r>
          </w:p>
        </w:tc>
        <w:tc>
          <w:tcPr>
            <w:tcW w:w="2353" w:type="dxa"/>
          </w:tcPr>
          <w:p w14:paraId="70074F1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0.030→0.134</w:t>
            </w:r>
          </w:p>
        </w:tc>
        <w:tc>
          <w:tcPr>
            <w:tcW w:w="2353" w:type="dxa"/>
          </w:tcPr>
          <w:p w14:paraId="6371675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8.7%</w:t>
            </w:r>
          </w:p>
        </w:tc>
      </w:tr>
      <w:tr w:rsidR="003F6CEF" w14:paraId="60FA1B0B" w14:textId="77777777">
        <w:trPr>
          <w:cantSplit/>
          <w:jc w:val="center"/>
        </w:trPr>
        <w:tc>
          <w:tcPr>
            <w:tcW w:w="2353" w:type="dxa"/>
          </w:tcPr>
          <w:p w14:paraId="4C8364C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2353" w:type="dxa"/>
          </w:tcPr>
          <w:p w14:paraId="67BD3C9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+0.54→+0.20</w:t>
            </w:r>
          </w:p>
        </w:tc>
        <w:tc>
          <w:tcPr>
            <w:tcW w:w="2353" w:type="dxa"/>
          </w:tcPr>
          <w:p w14:paraId="61C97B9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0.021→0.310</w:t>
            </w:r>
          </w:p>
        </w:tc>
        <w:tc>
          <w:tcPr>
            <w:tcW w:w="2353" w:type="dxa"/>
          </w:tcPr>
          <w:p w14:paraId="09962AF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12.4%</w:t>
            </w:r>
          </w:p>
        </w:tc>
      </w:tr>
      <w:tr w:rsidR="003F6CEF" w14:paraId="4358ADA0" w14:textId="77777777">
        <w:trPr>
          <w:cantSplit/>
          <w:jc w:val="center"/>
        </w:trPr>
        <w:tc>
          <w:tcPr>
            <w:tcW w:w="2353" w:type="dxa"/>
          </w:tcPr>
          <w:p w14:paraId="75EC576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2353" w:type="dxa"/>
          </w:tcPr>
          <w:p w14:paraId="06E0EAA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+0.99→+0.65</w:t>
            </w:r>
          </w:p>
        </w:tc>
        <w:tc>
          <w:tcPr>
            <w:tcW w:w="2353" w:type="dxa"/>
          </w:tcPr>
          <w:p w14:paraId="7D97986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0.0004→0.008</w:t>
            </w:r>
          </w:p>
        </w:tc>
        <w:tc>
          <w:tcPr>
            <w:tcW w:w="2353" w:type="dxa"/>
          </w:tcPr>
          <w:p w14:paraId="3BBFACE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16.0%</w:t>
            </w:r>
          </w:p>
        </w:tc>
      </w:tr>
      <w:tr w:rsidR="003F6CEF" w14:paraId="43AF772E" w14:textId="77777777">
        <w:trPr>
          <w:cantSplit/>
          <w:jc w:val="center"/>
        </w:trPr>
        <w:tc>
          <w:tcPr>
            <w:tcW w:w="2353" w:type="dxa"/>
          </w:tcPr>
          <w:p w14:paraId="3C09A43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2353" w:type="dxa"/>
          </w:tcPr>
          <w:p w14:paraId="58ED008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+1.37→+0.73</w:t>
            </w:r>
          </w:p>
        </w:tc>
        <w:tc>
          <w:tcPr>
            <w:tcW w:w="2353" w:type="dxa"/>
          </w:tcPr>
          <w:p w14:paraId="173A509A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0.061→0.393</w:t>
            </w:r>
          </w:p>
        </w:tc>
        <w:tc>
          <w:tcPr>
            <w:tcW w:w="2353" w:type="dxa"/>
          </w:tcPr>
          <w:p w14:paraId="3332ECB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53.8%</w:t>
            </w:r>
          </w:p>
        </w:tc>
      </w:tr>
      <w:tr w:rsidR="003F6CEF" w14:paraId="00F2FDD0" w14:textId="77777777">
        <w:trPr>
          <w:cantSplit/>
          <w:jc w:val="center"/>
        </w:trPr>
        <w:tc>
          <w:tcPr>
            <w:tcW w:w="2353" w:type="dxa"/>
          </w:tcPr>
          <w:p w14:paraId="3D7BE59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2353" w:type="dxa"/>
          </w:tcPr>
          <w:p w14:paraId="5524CA4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+0.90→+1.30</w:t>
            </w:r>
          </w:p>
        </w:tc>
        <w:tc>
          <w:tcPr>
            <w:tcW w:w="2353" w:type="dxa"/>
          </w:tcPr>
          <w:p w14:paraId="7F718EA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0.398→0.394</w:t>
            </w:r>
          </w:p>
        </w:tc>
        <w:tc>
          <w:tcPr>
            <w:tcW w:w="2353" w:type="dxa"/>
          </w:tcPr>
          <w:p w14:paraId="427AED6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70.7%</w:t>
            </w:r>
          </w:p>
        </w:tc>
      </w:tr>
    </w:tbl>
    <w:p w14:paraId="04FFC32C" w14:textId="77777777" w:rsidR="003F6CEF" w:rsidRDefault="003F6CEF">
      <w:pPr>
        <w:spacing w:after="0"/>
      </w:pPr>
    </w:p>
    <w:p w14:paraId="62EF21B6" w14:textId="77777777" w:rsidR="003F6CEF" w:rsidRDefault="00460A8C">
      <w:r>
        <w:rPr>
          <w:color w:val="000000"/>
        </w:rPr>
        <w:t>下调组在所有窗口仍不显著。溢价集中在涨跌停事件，短窗口显著性来自这部分样本；只有</w:t>
      </w:r>
      <w:r>
        <w:rPr>
          <w:color w:val="000000"/>
        </w:rPr>
        <w:t xml:space="preserve"> [-5,+5] </w:t>
      </w:r>
      <w:r>
        <w:rPr>
          <w:color w:val="000000"/>
        </w:rPr>
        <w:t>在剔除后仍显著。不能写「对涨跌停稳健」。</w:t>
      </w:r>
    </w:p>
    <w:p w14:paraId="0AED2755" w14:textId="77777777" w:rsidR="003F6CEF" w:rsidRDefault="00460A8C">
      <w:r>
        <w:rPr>
          <w:color w:val="000000"/>
        </w:rPr>
        <w:t xml:space="preserve">ST </w:t>
      </w:r>
      <w:r>
        <w:rPr>
          <w:color w:val="000000"/>
        </w:rPr>
        <w:t>代理：历史</w:t>
      </w:r>
      <w:r>
        <w:rPr>
          <w:color w:val="000000"/>
        </w:rPr>
        <w:t xml:space="preserve"> ST </w:t>
      </w:r>
      <w:r>
        <w:rPr>
          <w:color w:val="000000"/>
        </w:rPr>
        <w:t>取不到，按</w:t>
      </w:r>
      <w:r>
        <w:rPr>
          <w:color w:val="000000"/>
        </w:rPr>
        <w:t xml:space="preserve"> 5% </w:t>
      </w:r>
      <w:r>
        <w:rPr>
          <w:color w:val="000000"/>
        </w:rPr>
        <w:t>涨跌幅反推。字面规则误判多，长窗口剔除七成以上；严格代理只剔除</w:t>
      </w:r>
      <w:r>
        <w:rPr>
          <w:color w:val="000000"/>
        </w:rPr>
        <w:t xml:space="preserve"> 0.1% </w:t>
      </w:r>
      <w:r>
        <w:rPr>
          <w:color w:val="000000"/>
        </w:rPr>
        <w:t>至</w:t>
      </w:r>
      <w:r>
        <w:rPr>
          <w:color w:val="000000"/>
        </w:rPr>
        <w:t xml:space="preserve"> 1.9%</w:t>
      </w:r>
      <w:r>
        <w:rPr>
          <w:color w:val="000000"/>
        </w:rPr>
        <w:t>，短窗口结论不变，</w:t>
      </w:r>
      <w:r>
        <w:rPr>
          <w:color w:val="000000"/>
        </w:rPr>
        <w:t xml:space="preserve">120 </w:t>
      </w:r>
      <w:r>
        <w:rPr>
          <w:color w:val="000000"/>
        </w:rPr>
        <w:t>日上调</w:t>
      </w:r>
      <w:r>
        <w:rPr>
          <w:color w:val="000000"/>
        </w:rPr>
        <w:t xml:space="preserve"> p </w:t>
      </w:r>
      <w:r>
        <w:rPr>
          <w:color w:val="000000"/>
        </w:rPr>
        <w:t>从</w:t>
      </w:r>
      <w:r>
        <w:rPr>
          <w:color w:val="000000"/>
        </w:rPr>
        <w:t xml:space="preserve"> 0.061 </w:t>
      </w:r>
      <w:r>
        <w:rPr>
          <w:color w:val="000000"/>
        </w:rPr>
        <w:t>变</w:t>
      </w:r>
      <w:r>
        <w:rPr>
          <w:color w:val="000000"/>
        </w:rPr>
        <w:t xml:space="preserve"> 0.080</w:t>
      </w:r>
      <w:r>
        <w:rPr>
          <w:color w:val="000000"/>
        </w:rPr>
        <w:t>。</w:t>
      </w:r>
      <w:r>
        <w:rPr>
          <w:color w:val="000000"/>
        </w:rPr>
        <w:t xml:space="preserve">ST </w:t>
      </w:r>
      <w:r>
        <w:rPr>
          <w:color w:val="000000"/>
        </w:rPr>
        <w:t>处理不推翻短窗口结论，但</w:t>
      </w:r>
      <w:r>
        <w:rPr>
          <w:color w:val="000000"/>
        </w:rPr>
        <w:t xml:space="preserve"> 120 </w:t>
      </w:r>
      <w:r>
        <w:rPr>
          <w:color w:val="000000"/>
        </w:rPr>
        <w:t>日结果敏感。</w:t>
      </w:r>
    </w:p>
    <w:p w14:paraId="470AA4CC" w14:textId="77777777" w:rsidR="003F6CEF" w:rsidRDefault="00460A8C">
      <w:r>
        <w:rPr>
          <w:color w:val="000000"/>
        </w:rPr>
        <w:t>行情数据质量：</w:t>
      </w:r>
      <w:r>
        <w:rPr>
          <w:rFonts w:ascii="Consolas" w:hAnsi="Consolas"/>
          <w:color w:val="000000"/>
          <w:sz w:val="22"/>
        </w:rPr>
        <w:t>StateCode=1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Filling=1</w:t>
      </w:r>
      <w:r>
        <w:rPr>
          <w:color w:val="000000"/>
        </w:rPr>
        <w:t xml:space="preserve"> </w:t>
      </w:r>
      <w:r>
        <w:rPr>
          <w:color w:val="000000"/>
        </w:rPr>
        <w:t>的</w:t>
      </w:r>
      <w:r>
        <w:rPr>
          <w:color w:val="000000"/>
        </w:rPr>
        <w:t xml:space="preserve"> 43,830 </w:t>
      </w:r>
      <w:r>
        <w:rPr>
          <w:color w:val="000000"/>
        </w:rPr>
        <w:t>行落在真实交易日，无节假日与周末，</w:t>
      </w:r>
      <w:r>
        <w:rPr>
          <w:color w:val="000000"/>
        </w:rPr>
        <w:t xml:space="preserve">87.5% </w:t>
      </w:r>
      <w:r>
        <w:rPr>
          <w:color w:val="000000"/>
        </w:rPr>
        <w:t>的收盘价等于上一有效值，最长连续</w:t>
      </w:r>
      <w:r>
        <w:rPr>
          <w:color w:val="000000"/>
        </w:rPr>
        <w:t xml:space="preserve"> 332 </w:t>
      </w:r>
      <w:r>
        <w:rPr>
          <w:color w:val="000000"/>
        </w:rPr>
        <w:t>天；新文件删除恰好同样</w:t>
      </w:r>
      <w:r>
        <w:rPr>
          <w:color w:val="000000"/>
        </w:rPr>
        <w:t xml:space="preserve"> 43,830 </w:t>
      </w:r>
      <w:r>
        <w:rPr>
          <w:color w:val="000000"/>
        </w:rPr>
        <w:t>行，项目已定按停牌</w:t>
      </w:r>
      <w:r>
        <w:rPr>
          <w:color w:val="000000"/>
        </w:rPr>
        <w:t>/</w:t>
      </w:r>
      <w:r>
        <w:rPr>
          <w:color w:val="000000"/>
        </w:rPr>
        <w:t>无成交行处理。若乙的字段字典另有定义，只影响稳健性剔除集，不影响主结果。涨跌幅</w:t>
      </w:r>
      <w:r>
        <w:rPr>
          <w:color w:val="000000"/>
        </w:rPr>
        <w:t xml:space="preserve"> 1,273.938% </w:t>
      </w:r>
      <w:r>
        <w:rPr>
          <w:color w:val="000000"/>
        </w:rPr>
        <w:t>是</w:t>
      </w:r>
      <w:r>
        <w:rPr>
          <w:color w:val="000000"/>
        </w:rPr>
        <w:t xml:space="preserve"> 688690.SH </w:t>
      </w:r>
      <w:r>
        <w:rPr>
          <w:color w:val="000000"/>
        </w:rPr>
        <w:t>在</w:t>
      </w:r>
      <w:r>
        <w:rPr>
          <w:color w:val="000000"/>
        </w:rPr>
        <w:t xml:space="preserve"> 2021-06-23 </w:t>
      </w:r>
      <w:r>
        <w:rPr>
          <w:color w:val="000000"/>
        </w:rPr>
        <w:t>上市首日相对发行价的涨幅，不是复权错误；现有事件窗口不含首日行，对</w:t>
      </w:r>
      <w:r>
        <w:rPr>
          <w:color w:val="000000"/>
        </w:rPr>
        <w:t xml:space="preserve"> CAR </w:t>
      </w:r>
      <w:r>
        <w:rPr>
          <w:color w:val="000000"/>
        </w:rPr>
        <w:t>无影响。</w:t>
      </w:r>
    </w:p>
    <w:p w14:paraId="7E60F36F" w14:textId="77777777" w:rsidR="003F6CEF" w:rsidRDefault="00460A8C">
      <w:pPr>
        <w:pStyle w:val="1"/>
        <w:spacing w:before="280" w:after="120"/>
      </w:pPr>
      <w:bookmarkStart w:id="40" w:name="_Toc243235769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40"/>
    </w:p>
    <w:p w14:paraId="6867D48B" w14:textId="77777777" w:rsidR="003F6CEF" w:rsidRDefault="00460A8C">
      <w:r>
        <w:rPr>
          <w:color w:val="000000"/>
        </w:rPr>
        <w:t>乙已交付：</w:t>
      </w:r>
    </w:p>
    <w:p w14:paraId="7251D600" w14:textId="77777777" w:rsidR="003F6CEF" w:rsidRDefault="00460A8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488BA15B" w14:textId="77777777" w:rsidR="003F6CEF" w:rsidRDefault="00460A8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2FB9F481" w14:textId="77777777" w:rsidR="003F6CEF" w:rsidRDefault="00460A8C">
      <w:r>
        <w:rPr>
          <w:color w:val="000000"/>
        </w:rPr>
        <w:t>乙已交付行情：</w:t>
      </w:r>
    </w:p>
    <w:p w14:paraId="0BE5C78B" w14:textId="77777777" w:rsidR="003F6CEF" w:rsidRDefault="00460A8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>：</w:t>
      </w:r>
      <w:r>
        <w:rPr>
          <w:color w:val="000000"/>
        </w:rPr>
        <w:t xml:space="preserve">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小数口径；停牌行删除、节假日填充行删除、新旧代码统一。</w:t>
      </w:r>
    </w:p>
    <w:p w14:paraId="0924C856" w14:textId="77777777" w:rsidR="003F6CEF" w:rsidRDefault="00460A8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H00300 </w:t>
      </w:r>
      <w:r>
        <w:rPr>
          <w:color w:val="000000"/>
        </w:rPr>
        <w:t>全收益指数、小数口径。</w:t>
      </w:r>
    </w:p>
    <w:p w14:paraId="63263E7E" w14:textId="77777777" w:rsidR="003F6CEF" w:rsidRDefault="00460A8C">
      <w:pPr>
        <w:pStyle w:val="a0"/>
        <w:spacing w:after="60"/>
      </w:pPr>
      <w:r>
        <w:rPr>
          <w:color w:val="000000"/>
        </w:rPr>
        <w:t>旧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：保留作成交量与事件日收盘价的辅助来源。</w:t>
      </w:r>
    </w:p>
    <w:p w14:paraId="4D384AE7" w14:textId="77777777" w:rsidR="003F6CEF" w:rsidRDefault="00460A8C">
      <w:r>
        <w:rPr>
          <w:color w:val="000000"/>
        </w:rPr>
        <w:t>另有附件未到（不阻塞主结果）：</w:t>
      </w:r>
    </w:p>
    <w:p w14:paraId="039E65AD" w14:textId="77777777" w:rsidR="003F6CEF" w:rsidRDefault="00460A8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6EAF4495" w14:textId="77777777" w:rsidR="003F6CEF" w:rsidRDefault="00460A8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54E704CF" w14:textId="77777777" w:rsidR="003F6CEF" w:rsidRDefault="00460A8C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3DB05CA1" w14:textId="77777777" w:rsidR="003F6CEF" w:rsidRDefault="00460A8C">
      <w:pPr>
        <w:pStyle w:val="21"/>
        <w:spacing w:after="120"/>
      </w:pPr>
      <w:bookmarkStart w:id="41" w:name="_Toc243235770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4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3F6CEF" w14:paraId="2481A14A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31DE67C1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3C3F13BB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5AE4C4C0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155CCF19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3F6CEF" w14:paraId="16673899" w14:textId="77777777">
        <w:trPr>
          <w:cantSplit/>
          <w:jc w:val="center"/>
        </w:trPr>
        <w:tc>
          <w:tcPr>
            <w:tcW w:w="2353" w:type="dxa"/>
          </w:tcPr>
          <w:p w14:paraId="1C1557F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已定</w:t>
            </w:r>
          </w:p>
        </w:tc>
        <w:tc>
          <w:tcPr>
            <w:tcW w:w="2353" w:type="dxa"/>
          </w:tcPr>
          <w:p w14:paraId="79DD896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42EC53D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旧面板两列完全重合的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行落在交易日、无节假日、</w:t>
            </w:r>
            <w:r>
              <w:rPr>
                <w:color w:val="000000"/>
                <w:sz w:val="21"/>
              </w:rPr>
              <w:t xml:space="preserve">87.5% </w:t>
            </w:r>
            <w:r>
              <w:rPr>
                <w:color w:val="000000"/>
                <w:sz w:val="21"/>
              </w:rPr>
              <w:t>收盘价沿用上一值；新文件删除同样数量行，按停牌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无成交行处理；若字段定义另有说明，只影响稳健性剔除集</w:t>
            </w:r>
          </w:p>
        </w:tc>
        <w:tc>
          <w:tcPr>
            <w:tcW w:w="2353" w:type="dxa"/>
          </w:tcPr>
          <w:p w14:paraId="7F590D7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已定</w:t>
            </w:r>
          </w:p>
        </w:tc>
      </w:tr>
      <w:tr w:rsidR="003F6CEF" w14:paraId="39C68D08" w14:textId="77777777">
        <w:trPr>
          <w:cantSplit/>
          <w:jc w:val="center"/>
        </w:trPr>
        <w:tc>
          <w:tcPr>
            <w:tcW w:w="2353" w:type="dxa"/>
          </w:tcPr>
          <w:p w14:paraId="10F3047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已处理</w:t>
            </w:r>
          </w:p>
        </w:tc>
        <w:tc>
          <w:tcPr>
            <w:tcW w:w="2353" w:type="dxa"/>
          </w:tcPr>
          <w:p w14:paraId="55FE727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1D7A0C0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1,273.938% </w:t>
            </w:r>
            <w:r>
              <w:rPr>
                <w:color w:val="000000"/>
                <w:sz w:val="21"/>
              </w:rPr>
              <w:t>是</w:t>
            </w:r>
            <w:r>
              <w:rPr>
                <w:color w:val="000000"/>
                <w:sz w:val="21"/>
              </w:rPr>
              <w:t xml:space="preserve"> 688690.SH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2021-06-23 </w:t>
            </w:r>
            <w:r>
              <w:rPr>
                <w:color w:val="000000"/>
                <w:sz w:val="21"/>
              </w:rPr>
              <w:t>上市首日的涨幅，不是复权错误；事件窗口不含首日行，标记不删除</w:t>
            </w:r>
          </w:p>
        </w:tc>
        <w:tc>
          <w:tcPr>
            <w:tcW w:w="2353" w:type="dxa"/>
          </w:tcPr>
          <w:p w14:paraId="6E2C6FB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</w:t>
            </w:r>
          </w:p>
        </w:tc>
      </w:tr>
      <w:tr w:rsidR="003F6CEF" w14:paraId="5FAA18A1" w14:textId="77777777">
        <w:trPr>
          <w:cantSplit/>
          <w:jc w:val="center"/>
        </w:trPr>
        <w:tc>
          <w:tcPr>
            <w:tcW w:w="2353" w:type="dxa"/>
          </w:tcPr>
          <w:p w14:paraId="111D45C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2B09820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26CF52D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7AA9D05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3F6CEF" w14:paraId="46E8A24E" w14:textId="77777777">
        <w:trPr>
          <w:cantSplit/>
          <w:jc w:val="center"/>
        </w:trPr>
        <w:tc>
          <w:tcPr>
            <w:tcW w:w="2353" w:type="dxa"/>
          </w:tcPr>
          <w:p w14:paraId="1B7FCAE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1097E7C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2EA340F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480019B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3F6CEF" w14:paraId="7B94439F" w14:textId="77777777">
        <w:trPr>
          <w:cantSplit/>
          <w:jc w:val="center"/>
        </w:trPr>
        <w:tc>
          <w:tcPr>
            <w:tcW w:w="2353" w:type="dxa"/>
          </w:tcPr>
          <w:p w14:paraId="65A7761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6469E51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4D87491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5A0B38F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3F6CEF" w14:paraId="29F6A4C6" w14:textId="77777777">
        <w:trPr>
          <w:cantSplit/>
          <w:jc w:val="center"/>
        </w:trPr>
        <w:tc>
          <w:tcPr>
            <w:tcW w:w="2353" w:type="dxa"/>
          </w:tcPr>
          <w:p w14:paraId="01F3354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6A50C5A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37BA989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0C7CC74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761C0490" w14:textId="77777777" w:rsidR="003F6CEF" w:rsidRDefault="003F6CEF">
      <w:pPr>
        <w:spacing w:after="0"/>
      </w:pPr>
    </w:p>
    <w:p w14:paraId="2BE7F0D7" w14:textId="77777777" w:rsidR="003F6CEF" w:rsidRDefault="00460A8C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7C0F2A90" w14:textId="77777777" w:rsidR="003F6CEF" w:rsidRDefault="00460A8C">
      <w:pPr>
        <w:pStyle w:val="1"/>
        <w:spacing w:before="280" w:after="120"/>
      </w:pPr>
      <w:bookmarkStart w:id="42" w:name="_Toc243235771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42"/>
    </w:p>
    <w:p w14:paraId="6CE0DAEF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四个问题、三张主图、聚类、停牌、涨跌停</w:t>
      </w:r>
      <w:r>
        <w:rPr>
          <w:color w:val="000000"/>
        </w:rPr>
        <w:t xml:space="preserve">/ST </w:t>
      </w:r>
      <w:r>
        <w:rPr>
          <w:color w:val="000000"/>
        </w:rPr>
        <w:t>与独立复跑都已完成；剩下</w:t>
      </w:r>
      <w:r>
        <w:rPr>
          <w:color w:val="000000"/>
        </w:rPr>
        <w:t xml:space="preserve"> slides </w:t>
      </w:r>
      <w:r>
        <w:rPr>
          <w:color w:val="000000"/>
        </w:rPr>
        <w:t>与彩排。</w:t>
      </w:r>
    </w:p>
    <w:p w14:paraId="093BF026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两个旧附件不再阻塞主结果，若乙有现成的再逐条核。</w:t>
      </w:r>
    </w:p>
    <w:p w14:paraId="5B7895E1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停牌稳健性已完成：用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>/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</w:t>
      </w:r>
      <w:r>
        <w:rPr>
          <w:color w:val="000000"/>
        </w:rPr>
        <w:t xml:space="preserve"> 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日期对，整条剔除后结论不变，见</w:t>
      </w:r>
      <w:r>
        <w:rPr>
          <w:color w:val="000000"/>
        </w:rPr>
        <w:t xml:space="preserve"> 8.5</w:t>
      </w:r>
      <w:r>
        <w:rPr>
          <w:color w:val="000000"/>
        </w:rPr>
        <w:t>。</w:t>
      </w:r>
    </w:p>
    <w:p w14:paraId="3C1ABBCB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口径已定：有效观测占比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、停牌主口径保留。</w:t>
      </w:r>
    </w:p>
    <w:p w14:paraId="68A33987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58E2E7A1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13DCE16F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1BC11FEA" w14:textId="77777777" w:rsidR="003F6CEF" w:rsidRDefault="00460A8C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陈述与书面报告提纲见第</w:t>
      </w:r>
      <w:r>
        <w:rPr>
          <w:color w:val="000000"/>
        </w:rPr>
        <w:t xml:space="preserve"> 12 </w:t>
      </w:r>
      <w:r>
        <w:rPr>
          <w:color w:val="000000"/>
        </w:rPr>
        <w:t>节。</w:t>
      </w:r>
    </w:p>
    <w:p w14:paraId="5AF21D83" w14:textId="77777777" w:rsidR="003F6CEF" w:rsidRDefault="00460A8C">
      <w:pPr>
        <w:pStyle w:val="1"/>
        <w:spacing w:before="280" w:after="120"/>
      </w:pPr>
      <w:bookmarkStart w:id="43" w:name="_Toc243235772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43"/>
    </w:p>
    <w:p w14:paraId="15630BB3" w14:textId="77777777" w:rsidR="003F6CEF" w:rsidRDefault="00460A8C">
      <w:pPr>
        <w:pStyle w:val="a0"/>
        <w:spacing w:after="60"/>
      </w:pPr>
      <w:r>
        <w:rPr>
          <w:color w:val="000000"/>
        </w:rPr>
        <w:t>根目录：数据管线、事件研究、准确度、预测误差、稳健性与文档构建脚本，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13C49517" w14:textId="77777777" w:rsidR="003F6CEF" w:rsidRDefault="00460A8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</w:t>
      </w:r>
      <w:r>
        <w:rPr>
          <w:rFonts w:ascii="Consolas" w:hAnsi="Consolas"/>
          <w:color w:val="000000"/>
          <w:sz w:val="22"/>
        </w:rPr>
        <w:t>_Dretwd_H00300_</w:t>
      </w:r>
      <w:r>
        <w:rPr>
          <w:rFonts w:ascii="Consolas" w:hAnsi="Consolas"/>
          <w:color w:val="000000"/>
          <w:sz w:val="22"/>
        </w:rPr>
        <w:t>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（新口径）、事件研究核查记录与回应、书面报告草稿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Project10_Written_Report_Draft_EN.md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figures/</w:t>
      </w:r>
      <w:r>
        <w:rPr>
          <w:color w:val="000000"/>
        </w:rPr>
        <w:t xml:space="preserve"> </w:t>
      </w:r>
      <w:r>
        <w:rPr>
          <w:color w:val="000000"/>
        </w:rPr>
        <w:t>三张图、本备忘。</w:t>
      </w:r>
    </w:p>
    <w:p w14:paraId="77985CA2" w14:textId="77777777" w:rsidR="003F6CEF" w:rsidRDefault="00460A8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2B26A56B" w14:textId="77777777" w:rsidR="003F6CEF" w:rsidRDefault="00460A8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（主表），以及结果表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accuracy_summary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forecast_error_*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heterogeneity_*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suspension_robustness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broker_tier_rolling</w:t>
      </w:r>
      <w:r>
        <w:rPr>
          <w:color w:val="000000"/>
        </w:rPr>
        <w:t>。</w:t>
      </w:r>
    </w:p>
    <w:p w14:paraId="04A4C960" w14:textId="77777777" w:rsidR="003F6CEF" w:rsidRDefault="00460A8C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p w14:paraId="40CE10A3" w14:textId="77777777" w:rsidR="003F6CEF" w:rsidRDefault="00460A8C">
      <w:pPr>
        <w:pStyle w:val="1"/>
        <w:spacing w:before="280" w:after="120"/>
      </w:pPr>
      <w:bookmarkStart w:id="44" w:name="_Toc243235773"/>
      <w:r>
        <w:rPr>
          <w:rFonts w:ascii="Times New Roman" w:eastAsia="黑体" w:hAnsi="Times New Roman"/>
          <w:color w:val="000000"/>
          <w:sz w:val="30"/>
        </w:rPr>
        <w:t xml:space="preserve">12. </w:t>
      </w:r>
      <w:r>
        <w:rPr>
          <w:rFonts w:ascii="Times New Roman" w:eastAsia="黑体" w:hAnsi="Times New Roman"/>
          <w:color w:val="000000"/>
          <w:sz w:val="30"/>
        </w:rPr>
        <w:t>陈述与书面报告提纲（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44"/>
    </w:p>
    <w:p w14:paraId="3C610FDC" w14:textId="77777777" w:rsidR="003F6CEF" w:rsidRDefault="00460A8C">
      <w:pPr>
        <w:pStyle w:val="21"/>
        <w:spacing w:after="120"/>
      </w:pPr>
      <w:bookmarkStart w:id="45" w:name="_Toc243235774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陈述</w:t>
      </w:r>
      <w:r>
        <w:rPr>
          <w:rFonts w:ascii="Times New Roman" w:eastAsia="黑体" w:hAnsi="Times New Roman"/>
          <w:color w:val="000000"/>
        </w:rPr>
        <w:t xml:space="preserve"> PPT</w:t>
      </w:r>
      <w:r>
        <w:rPr>
          <w:rFonts w:ascii="Times New Roman" w:eastAsia="黑体" w:hAnsi="Times New Roman"/>
          <w:color w:val="000000"/>
        </w:rPr>
        <w:t>（</w:t>
      </w:r>
      <w:r>
        <w:rPr>
          <w:rFonts w:ascii="Times New Roman" w:eastAsia="黑体" w:hAnsi="Times New Roman"/>
          <w:color w:val="000000"/>
        </w:rPr>
        <w:t xml:space="preserve">14 </w:t>
      </w:r>
      <w:r>
        <w:rPr>
          <w:rFonts w:ascii="Times New Roman" w:eastAsia="黑体" w:hAnsi="Times New Roman"/>
          <w:color w:val="000000"/>
        </w:rPr>
        <w:t>页，上限</w:t>
      </w:r>
      <w:r>
        <w:rPr>
          <w:rFonts w:ascii="Times New Roman" w:eastAsia="黑体" w:hAnsi="Times New Roman"/>
          <w:color w:val="000000"/>
        </w:rPr>
        <w:t xml:space="preserve"> 15</w:t>
      </w:r>
      <w:r>
        <w:rPr>
          <w:rFonts w:ascii="Times New Roman" w:eastAsia="黑体" w:hAnsi="Times New Roman"/>
          <w:color w:val="000000"/>
        </w:rPr>
        <w:t>）</w:t>
      </w:r>
      <w:bookmarkEnd w:id="4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F6CEF" w14:paraId="3850DF9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2AA522C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0B1F475E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4A018B7C" w14:textId="77777777" w:rsidR="003F6CEF" w:rsidRDefault="00460A8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3F6CEF" w14:paraId="2DFC2A9F" w14:textId="77777777">
        <w:trPr>
          <w:cantSplit/>
          <w:jc w:val="center"/>
        </w:trPr>
        <w:tc>
          <w:tcPr>
            <w:tcW w:w="3137" w:type="dxa"/>
          </w:tcPr>
          <w:p w14:paraId="119DE7D7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71D3E9F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69C4624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一个具体事件，禁止自我介绍式开场</w:t>
            </w:r>
          </w:p>
        </w:tc>
      </w:tr>
      <w:tr w:rsidR="003F6CEF" w14:paraId="2BE44C2C" w14:textId="77777777">
        <w:trPr>
          <w:cantSplit/>
          <w:jc w:val="center"/>
        </w:trPr>
        <w:tc>
          <w:tcPr>
            <w:tcW w:w="3137" w:type="dxa"/>
          </w:tcPr>
          <w:p w14:paraId="3DFBD8E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01BCBFC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研究问题与为什么是中国</w:t>
            </w:r>
          </w:p>
        </w:tc>
        <w:tc>
          <w:tcPr>
            <w:tcW w:w="3137" w:type="dxa"/>
          </w:tcPr>
          <w:p w14:paraId="411709E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</w:t>
            </w:r>
          </w:p>
        </w:tc>
      </w:tr>
      <w:tr w:rsidR="003F6CEF" w14:paraId="42879D54" w14:textId="77777777">
        <w:trPr>
          <w:cantSplit/>
          <w:jc w:val="center"/>
        </w:trPr>
        <w:tc>
          <w:tcPr>
            <w:tcW w:w="3137" w:type="dxa"/>
          </w:tcPr>
          <w:p w14:paraId="704B0F9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0AA3263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两个假说与三个检验</w:t>
            </w:r>
          </w:p>
        </w:tc>
        <w:tc>
          <w:tcPr>
            <w:tcW w:w="3137" w:type="dxa"/>
          </w:tcPr>
          <w:p w14:paraId="2FFE1C1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影响力；公告日、漂移、准确度</w:t>
            </w:r>
          </w:p>
        </w:tc>
      </w:tr>
      <w:tr w:rsidR="003F6CEF" w14:paraId="082128AF" w14:textId="77777777">
        <w:trPr>
          <w:cantSplit/>
          <w:jc w:val="center"/>
        </w:trPr>
        <w:tc>
          <w:tcPr>
            <w:tcW w:w="3137" w:type="dxa"/>
          </w:tcPr>
          <w:p w14:paraId="67AB819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39979B8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数据与样本</w:t>
            </w:r>
          </w:p>
        </w:tc>
        <w:tc>
          <w:tcPr>
            <w:tcW w:w="3137" w:type="dxa"/>
          </w:tcPr>
          <w:p w14:paraId="0835844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20,980 </w:t>
            </w:r>
            <w:r>
              <w:rPr>
                <w:color w:val="000000"/>
                <w:sz w:val="21"/>
              </w:rPr>
              <w:t>条评级调整、清洗漏斗</w:t>
            </w:r>
          </w:p>
        </w:tc>
      </w:tr>
      <w:tr w:rsidR="003F6CEF" w14:paraId="46B0847D" w14:textId="77777777">
        <w:trPr>
          <w:cantSplit/>
          <w:jc w:val="center"/>
        </w:trPr>
        <w:tc>
          <w:tcPr>
            <w:tcW w:w="3137" w:type="dxa"/>
          </w:tcPr>
          <w:p w14:paraId="7B22899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7704E1F5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三个权威变量</w:t>
            </w:r>
          </w:p>
        </w:tc>
        <w:tc>
          <w:tcPr>
            <w:tcW w:w="3137" w:type="dxa"/>
          </w:tcPr>
          <w:p w14:paraId="115D632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star</w:t>
            </w:r>
            <w:r>
              <w:rPr>
                <w:color w:val="000000"/>
                <w:sz w:val="21"/>
              </w:rPr>
              <w:t>、资历、券商层级；稳定身份与当年名称</w:t>
            </w:r>
          </w:p>
        </w:tc>
      </w:tr>
      <w:tr w:rsidR="003F6CEF" w14:paraId="0ECD96B8" w14:textId="77777777">
        <w:trPr>
          <w:cantSplit/>
          <w:jc w:val="center"/>
        </w:trPr>
        <w:tc>
          <w:tcPr>
            <w:tcW w:w="3137" w:type="dxa"/>
          </w:tcPr>
          <w:p w14:paraId="7CD77C4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71C7E44B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实证设计</w:t>
            </w:r>
          </w:p>
        </w:tc>
        <w:tc>
          <w:tcPr>
            <w:tcW w:w="3137" w:type="dxa"/>
          </w:tcPr>
          <w:p w14:paraId="1C8E011E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窗口、</w:t>
            </w:r>
            <w:r>
              <w:rPr>
                <w:color w:val="000000"/>
                <w:sz w:val="21"/>
              </w:rPr>
              <w:t>CAR</w:t>
            </w:r>
            <w:r>
              <w:rPr>
                <w:color w:val="000000"/>
                <w:sz w:val="21"/>
              </w:rPr>
              <w:t>、异常成交量、漂移、持有收益、</w:t>
            </w:r>
            <w:r>
              <w:rPr>
                <w:color w:val="000000"/>
                <w:sz w:val="21"/>
              </w:rPr>
              <w:t xml:space="preserve">80% </w:t>
            </w:r>
            <w:r>
              <w:rPr>
                <w:color w:val="000000"/>
                <w:sz w:val="21"/>
              </w:rPr>
              <w:t>门槛</w:t>
            </w:r>
          </w:p>
        </w:tc>
      </w:tr>
      <w:tr w:rsidR="003F6CEF" w14:paraId="10687CA0" w14:textId="77777777">
        <w:trPr>
          <w:cantSplit/>
          <w:jc w:val="center"/>
        </w:trPr>
        <w:tc>
          <w:tcPr>
            <w:tcW w:w="3137" w:type="dxa"/>
          </w:tcPr>
          <w:p w14:paraId="001BDAE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47A8888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278ABC59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与成交量；标注溢价集中在涨跌停事件</w:t>
            </w:r>
          </w:p>
        </w:tc>
      </w:tr>
      <w:tr w:rsidR="003F6CEF" w14:paraId="72DC6EFB" w14:textId="77777777">
        <w:trPr>
          <w:cantSplit/>
          <w:jc w:val="center"/>
        </w:trPr>
        <w:tc>
          <w:tcPr>
            <w:tcW w:w="3137" w:type="dxa"/>
          </w:tcPr>
          <w:p w14:paraId="1381B4E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720502C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4547E9AD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到</w:t>
            </w:r>
            <w:r>
              <w:rPr>
                <w:color w:val="000000"/>
                <w:sz w:val="21"/>
              </w:rPr>
              <w:t xml:space="preserve"> +250 </w:t>
            </w:r>
            <w:r>
              <w:rPr>
                <w:color w:val="000000"/>
                <w:sz w:val="21"/>
              </w:rPr>
              <w:t>的漂移路径，下调先跌后修复</w:t>
            </w:r>
          </w:p>
        </w:tc>
      </w:tr>
      <w:tr w:rsidR="003F6CEF" w14:paraId="63CDE18D" w14:textId="77777777">
        <w:trPr>
          <w:cantSplit/>
          <w:jc w:val="center"/>
        </w:trPr>
        <w:tc>
          <w:tcPr>
            <w:tcW w:w="3137" w:type="dxa"/>
          </w:tcPr>
          <w:p w14:paraId="0D9A8AEC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7CD03D6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5BD05EB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6/12 </w:t>
            </w:r>
            <w:r>
              <w:rPr>
                <w:color w:val="000000"/>
                <w:sz w:val="21"/>
              </w:rPr>
              <w:t>个月持有收益与盈余预测误差</w:t>
            </w:r>
          </w:p>
        </w:tc>
      </w:tr>
      <w:tr w:rsidR="003F6CEF" w14:paraId="191C8C23" w14:textId="77777777">
        <w:trPr>
          <w:cantSplit/>
          <w:jc w:val="center"/>
        </w:trPr>
        <w:tc>
          <w:tcPr>
            <w:tcW w:w="3137" w:type="dxa"/>
          </w:tcPr>
          <w:p w14:paraId="6C52C6F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3EA815C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515731C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下调不对称；头部与中部的交互</w:t>
            </w:r>
          </w:p>
        </w:tc>
      </w:tr>
      <w:tr w:rsidR="003F6CEF" w14:paraId="7D21A50F" w14:textId="77777777">
        <w:trPr>
          <w:cantSplit/>
          <w:jc w:val="center"/>
        </w:trPr>
        <w:tc>
          <w:tcPr>
            <w:tcW w:w="3137" w:type="dxa"/>
          </w:tcPr>
          <w:p w14:paraId="7738D814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5AC66E66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0986381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停牌剔除、聚类、涨跌停</w:t>
            </w:r>
            <w:r>
              <w:rPr>
                <w:color w:val="000000"/>
                <w:sz w:val="21"/>
              </w:rPr>
              <w:t>/ST</w:t>
            </w:r>
            <w:r>
              <w:rPr>
                <w:color w:val="000000"/>
                <w:sz w:val="21"/>
              </w:rPr>
              <w:t>、替代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、滚动层级</w:t>
            </w:r>
          </w:p>
        </w:tc>
      </w:tr>
      <w:tr w:rsidR="003F6CEF" w14:paraId="4DE24FFA" w14:textId="77777777">
        <w:trPr>
          <w:cantSplit/>
          <w:jc w:val="center"/>
        </w:trPr>
        <w:tc>
          <w:tcPr>
            <w:tcW w:w="3137" w:type="dxa"/>
          </w:tcPr>
          <w:p w14:paraId="0EC63C3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65FFF47F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解释</w:t>
            </w:r>
          </w:p>
        </w:tc>
        <w:tc>
          <w:tcPr>
            <w:tcW w:w="3137" w:type="dxa"/>
          </w:tcPr>
          <w:p w14:paraId="27539E08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短期信息、长期追随；职业顾虑</w:t>
            </w:r>
          </w:p>
        </w:tc>
      </w:tr>
      <w:tr w:rsidR="003F6CEF" w14:paraId="6E3B5A49" w14:textId="77777777">
        <w:trPr>
          <w:cantSplit/>
          <w:jc w:val="center"/>
        </w:trPr>
        <w:tc>
          <w:tcPr>
            <w:tcW w:w="3137" w:type="dxa"/>
          </w:tcPr>
          <w:p w14:paraId="7E231710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2338BA9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结论与含义</w:t>
            </w:r>
          </w:p>
        </w:tc>
        <w:tc>
          <w:tcPr>
            <w:tcW w:w="3137" w:type="dxa"/>
          </w:tcPr>
          <w:p w14:paraId="525A535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三句话结论；对卖方研究监管的含义</w:t>
            </w:r>
          </w:p>
        </w:tc>
      </w:tr>
      <w:tr w:rsidR="003F6CEF" w14:paraId="0DFC2107" w14:textId="77777777">
        <w:trPr>
          <w:cantSplit/>
          <w:jc w:val="center"/>
        </w:trPr>
        <w:tc>
          <w:tcPr>
            <w:tcW w:w="3137" w:type="dxa"/>
          </w:tcPr>
          <w:p w14:paraId="76039921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03167583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0FA6D312" w14:textId="77777777" w:rsidR="003F6CEF" w:rsidRDefault="00460A8C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变量定义、数据来源、额外结果</w:t>
            </w:r>
          </w:p>
        </w:tc>
      </w:tr>
    </w:tbl>
    <w:p w14:paraId="1C8BB89A" w14:textId="77777777" w:rsidR="003F6CEF" w:rsidRDefault="003F6CEF">
      <w:pPr>
        <w:spacing w:after="0"/>
      </w:pPr>
    </w:p>
    <w:p w14:paraId="3735A21F" w14:textId="77777777" w:rsidR="003F6CEF" w:rsidRDefault="00460A8C">
      <w:r>
        <w:rPr>
          <w:color w:val="000000"/>
        </w:rPr>
        <w:t>三条硬要求：不写</w:t>
      </w:r>
      <w:r>
        <w:rPr>
          <w:color w:val="000000"/>
        </w:rPr>
        <w:t xml:space="preserve"> limitation </w:t>
      </w:r>
      <w:r>
        <w:rPr>
          <w:color w:val="000000"/>
        </w:rPr>
        <w:t>页；展示过程与逻辑链；尽量脱稿。第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>4</w:t>
      </w:r>
      <w:r>
        <w:rPr>
          <w:color w:val="000000"/>
        </w:rPr>
        <w:t>、</w:t>
      </w:r>
      <w:r>
        <w:rPr>
          <w:color w:val="000000"/>
        </w:rPr>
        <w:t xml:space="preserve">6 </w:t>
      </w:r>
      <w:r>
        <w:rPr>
          <w:color w:val="000000"/>
        </w:rPr>
        <w:t>页承担过程，第</w:t>
      </w:r>
      <w:r>
        <w:rPr>
          <w:color w:val="000000"/>
        </w:rPr>
        <w:t xml:space="preserve"> 7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页各回答一问。</w:t>
      </w:r>
    </w:p>
    <w:p w14:paraId="1F993F41" w14:textId="77777777" w:rsidR="003F6CEF" w:rsidRDefault="00460A8C">
      <w:pPr>
        <w:pStyle w:val="21"/>
        <w:spacing w:after="120"/>
      </w:pPr>
      <w:bookmarkStart w:id="46" w:name="_Toc243235775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书面报告</w:t>
      </w:r>
      <w:bookmarkEnd w:id="46"/>
    </w:p>
    <w:p w14:paraId="551C58BC" w14:textId="77777777" w:rsidR="003F6CEF" w:rsidRDefault="00460A8C">
      <w:pPr>
        <w:spacing w:after="80"/>
        <w:ind w:left="425" w:hanging="425"/>
      </w:pPr>
      <w:r>
        <w:rPr>
          <w:color w:val="000000"/>
        </w:rPr>
        <w:t>1. Abstract</w:t>
      </w:r>
      <w:r>
        <w:rPr>
          <w:color w:val="000000"/>
        </w:rPr>
        <w:t>：问题、数据、三个检验、一句结论。</w:t>
      </w:r>
    </w:p>
    <w:p w14:paraId="3B850002" w14:textId="77777777" w:rsidR="003F6CEF" w:rsidRDefault="00460A8C">
      <w:pPr>
        <w:spacing w:after="80"/>
        <w:ind w:left="425" w:hanging="425"/>
      </w:pPr>
      <w:r>
        <w:rPr>
          <w:color w:val="000000"/>
        </w:rPr>
        <w:t>2. Introduction</w:t>
      </w:r>
      <w:r>
        <w:rPr>
          <w:color w:val="000000"/>
        </w:rPr>
        <w:t>：权威服从、</w:t>
      </w:r>
      <w:r>
        <w:rPr>
          <w:color w:val="000000"/>
        </w:rPr>
        <w:t>Milgram</w:t>
      </w:r>
      <w:r>
        <w:rPr>
          <w:color w:val="000000"/>
        </w:rPr>
        <w:t>、本文贡献。</w:t>
      </w:r>
    </w:p>
    <w:p w14:paraId="785E3327" w14:textId="77777777" w:rsidR="003F6CEF" w:rsidRDefault="00460A8C">
      <w:pPr>
        <w:spacing w:after="80"/>
        <w:ind w:left="425" w:hanging="425"/>
      </w:pPr>
      <w:r>
        <w:rPr>
          <w:color w:val="000000"/>
        </w:rPr>
        <w:t>3. Literature and hypotheses</w:t>
      </w:r>
      <w:r>
        <w:rPr>
          <w:color w:val="000000"/>
        </w:rPr>
        <w:t>：信息</w:t>
      </w:r>
      <w:r>
        <w:rPr>
          <w:color w:val="000000"/>
        </w:rPr>
        <w:t xml:space="preserve"> vs </w:t>
      </w:r>
      <w:r>
        <w:rPr>
          <w:color w:val="000000"/>
        </w:rPr>
        <w:t>影响力；</w:t>
      </w:r>
      <w:r>
        <w:rPr>
          <w:color w:val="000000"/>
        </w:rPr>
        <w:t>H1-H4</w:t>
      </w:r>
      <w:r>
        <w:rPr>
          <w:color w:val="000000"/>
        </w:rPr>
        <w:t>。</w:t>
      </w:r>
    </w:p>
    <w:p w14:paraId="50DD449F" w14:textId="77777777" w:rsidR="003F6CEF" w:rsidRDefault="00460A8C">
      <w:pPr>
        <w:spacing w:after="80"/>
        <w:ind w:left="425" w:hanging="425"/>
      </w:pPr>
      <w:r>
        <w:rPr>
          <w:color w:val="000000"/>
        </w:rPr>
        <w:t>4. Data</w:t>
      </w:r>
      <w:r>
        <w:rPr>
          <w:color w:val="000000"/>
        </w:rPr>
        <w:t>：</w:t>
      </w:r>
      <w:r>
        <w:rPr>
          <w:color w:val="000000"/>
        </w:rPr>
        <w:t xml:space="preserve">iFinD </w:t>
      </w:r>
      <w:r>
        <w:rPr>
          <w:color w:val="000000"/>
        </w:rPr>
        <w:t>来源、清洗漏斗、权威变量、行情、描述统计。</w:t>
      </w:r>
    </w:p>
    <w:p w14:paraId="539E5F80" w14:textId="77777777" w:rsidR="003F6CEF" w:rsidRDefault="00460A8C">
      <w:pPr>
        <w:spacing w:after="80"/>
        <w:ind w:left="425" w:hanging="425"/>
      </w:pPr>
      <w:r>
        <w:rPr>
          <w:color w:val="000000"/>
        </w:rPr>
        <w:t>5. Method</w:t>
      </w:r>
      <w:r>
        <w:rPr>
          <w:color w:val="000000"/>
        </w:rPr>
        <w:t>：事件研究、漂移、持有收益、预测误差、交互模型。</w:t>
      </w:r>
    </w:p>
    <w:p w14:paraId="7DC2A63C" w14:textId="77777777" w:rsidR="003F6CEF" w:rsidRDefault="00460A8C">
      <w:pPr>
        <w:spacing w:after="80"/>
        <w:ind w:left="425" w:hanging="425"/>
      </w:pPr>
      <w:r>
        <w:rPr>
          <w:color w:val="000000"/>
        </w:rPr>
        <w:t>6. Results</w:t>
      </w:r>
      <w:r>
        <w:rPr>
          <w:color w:val="000000"/>
        </w:rPr>
        <w:t>：按四个问题分节，先讲经济含义再讲显著性。</w:t>
      </w:r>
    </w:p>
    <w:p w14:paraId="2F704BDA" w14:textId="77777777" w:rsidR="003F6CEF" w:rsidRDefault="00460A8C">
      <w:pPr>
        <w:spacing w:after="80"/>
        <w:ind w:left="425" w:hanging="425"/>
      </w:pPr>
      <w:r>
        <w:rPr>
          <w:color w:val="000000"/>
        </w:rPr>
        <w:t>7. Robustness</w:t>
      </w:r>
      <w:r>
        <w:rPr>
          <w:color w:val="000000"/>
        </w:rPr>
        <w:t>：停牌、聚类、替代</w:t>
      </w:r>
      <w:r>
        <w:rPr>
          <w:color w:val="000000"/>
        </w:rPr>
        <w:t xml:space="preserve"> star</w:t>
      </w:r>
      <w:r>
        <w:rPr>
          <w:color w:val="000000"/>
        </w:rPr>
        <w:t>、滚动层级、</w:t>
      </w:r>
      <w:r>
        <w:rPr>
          <w:color w:val="000000"/>
        </w:rPr>
        <w:t>2018</w:t>
      </w:r>
      <w:r>
        <w:rPr>
          <w:color w:val="000000"/>
        </w:rPr>
        <w:t>。</w:t>
      </w:r>
    </w:p>
    <w:p w14:paraId="021AAE02" w14:textId="77777777" w:rsidR="003F6CEF" w:rsidRDefault="00460A8C">
      <w:pPr>
        <w:spacing w:after="80"/>
        <w:ind w:left="425" w:hanging="425"/>
      </w:pPr>
      <w:r>
        <w:rPr>
          <w:color w:val="000000"/>
        </w:rPr>
        <w:t>8. Discussion</w:t>
      </w:r>
      <w:r>
        <w:rPr>
          <w:color w:val="000000"/>
        </w:rPr>
        <w:t>：短期信息</w:t>
      </w:r>
      <w:r>
        <w:rPr>
          <w:color w:val="000000"/>
        </w:rPr>
        <w:t xml:space="preserve"> vs </w:t>
      </w:r>
      <w:r>
        <w:rPr>
          <w:color w:val="000000"/>
        </w:rPr>
        <w:t>长期追随；职业顾虑；上调与下调为何不同。</w:t>
      </w:r>
    </w:p>
    <w:p w14:paraId="549244F6" w14:textId="77777777" w:rsidR="003F6CEF" w:rsidRDefault="00460A8C">
      <w:pPr>
        <w:spacing w:after="80"/>
        <w:ind w:left="425" w:hanging="425"/>
      </w:pPr>
      <w:r>
        <w:rPr>
          <w:color w:val="000000"/>
        </w:rPr>
        <w:t>9. Limitations</w:t>
      </w:r>
      <w:r>
        <w:rPr>
          <w:color w:val="000000"/>
        </w:rPr>
        <w:t>：数据源、</w:t>
      </w:r>
      <w:r>
        <w:rPr>
          <w:color w:val="000000"/>
        </w:rPr>
        <w:t>ST</w:t>
      </w:r>
      <w:r>
        <w:rPr>
          <w:color w:val="000000"/>
        </w:rPr>
        <w:t>、涨跌停、预测误差覆盖、层级代理。</w:t>
      </w:r>
    </w:p>
    <w:p w14:paraId="0A6C8117" w14:textId="77777777" w:rsidR="003F6CEF" w:rsidRDefault="00460A8C">
      <w:pPr>
        <w:spacing w:after="80"/>
        <w:ind w:left="425" w:hanging="425"/>
      </w:pPr>
      <w:r>
        <w:rPr>
          <w:color w:val="000000"/>
        </w:rPr>
        <w:t>10. Conclusion</w:t>
      </w:r>
      <w:r>
        <w:rPr>
          <w:color w:val="000000"/>
        </w:rPr>
        <w:t>、</w:t>
      </w:r>
      <w:r>
        <w:rPr>
          <w:color w:val="000000"/>
        </w:rPr>
        <w:t>References</w:t>
      </w:r>
      <w:r>
        <w:rPr>
          <w:color w:val="000000"/>
        </w:rPr>
        <w:t>、</w:t>
      </w:r>
      <w:r>
        <w:rPr>
          <w:color w:val="000000"/>
        </w:rPr>
        <w:t>Appendix</w:t>
      </w:r>
      <w:r>
        <w:rPr>
          <w:color w:val="000000"/>
        </w:rPr>
        <w:t>：变量定义与清洗漏斗。</w:t>
      </w:r>
    </w:p>
    <w:p w14:paraId="7FA11329" w14:textId="77777777" w:rsidR="003F6CEF" w:rsidRDefault="00460A8C">
      <w:r>
        <w:rPr>
          <w:color w:val="000000"/>
        </w:rPr>
        <w:t>书面报告承担</w:t>
      </w:r>
      <w:r>
        <w:rPr>
          <w:color w:val="000000"/>
        </w:rPr>
        <w:t xml:space="preserve"> slides </w:t>
      </w:r>
      <w:r>
        <w:rPr>
          <w:color w:val="000000"/>
        </w:rPr>
        <w:t>上不写的</w:t>
      </w:r>
      <w:r>
        <w:rPr>
          <w:color w:val="000000"/>
        </w:rPr>
        <w:t xml:space="preserve"> limitation </w:t>
      </w:r>
      <w:r>
        <w:rPr>
          <w:color w:val="000000"/>
        </w:rPr>
        <w:t>与一页数据来源说明。</w:t>
      </w:r>
    </w:p>
    <w:sectPr w:rsidR="003F6CEF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064EF" w14:textId="77777777" w:rsidR="00460A8C" w:rsidRDefault="00460A8C">
      <w:pPr>
        <w:spacing w:after="0" w:line="240" w:lineRule="auto"/>
      </w:pPr>
      <w:r>
        <w:separator/>
      </w:r>
    </w:p>
  </w:endnote>
  <w:endnote w:type="continuationSeparator" w:id="0">
    <w:p w14:paraId="37F379A2" w14:textId="77777777" w:rsidR="00460A8C" w:rsidRDefault="00460A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50881" w14:textId="77777777" w:rsidR="003F6CEF" w:rsidRDefault="00460A8C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697296">
      <w:rPr>
        <w:color w:val="808080"/>
        <w:sz w:val="18"/>
      </w:rPr>
      <w:fldChar w:fldCharType="separate"/>
    </w:r>
    <w:r w:rsidR="00697296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71E2E" w14:textId="77777777" w:rsidR="00460A8C" w:rsidRDefault="00460A8C">
      <w:pPr>
        <w:spacing w:after="0" w:line="240" w:lineRule="auto"/>
      </w:pPr>
      <w:r>
        <w:separator/>
      </w:r>
    </w:p>
  </w:footnote>
  <w:footnote w:type="continuationSeparator" w:id="0">
    <w:p w14:paraId="5B2A2BBC" w14:textId="77777777" w:rsidR="00460A8C" w:rsidRDefault="00460A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608215">
    <w:abstractNumId w:val="8"/>
  </w:num>
  <w:num w:numId="2" w16cid:durableId="114838048">
    <w:abstractNumId w:val="6"/>
  </w:num>
  <w:num w:numId="3" w16cid:durableId="904534262">
    <w:abstractNumId w:val="5"/>
  </w:num>
  <w:num w:numId="4" w16cid:durableId="365184227">
    <w:abstractNumId w:val="4"/>
  </w:num>
  <w:num w:numId="5" w16cid:durableId="724253253">
    <w:abstractNumId w:val="7"/>
  </w:num>
  <w:num w:numId="6" w16cid:durableId="1315187051">
    <w:abstractNumId w:val="3"/>
  </w:num>
  <w:num w:numId="7" w16cid:durableId="130708158">
    <w:abstractNumId w:val="2"/>
  </w:num>
  <w:num w:numId="8" w16cid:durableId="209416413">
    <w:abstractNumId w:val="1"/>
  </w:num>
  <w:num w:numId="9" w16cid:durableId="1390106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6CEF"/>
    <w:rsid w:val="00460A8C"/>
    <w:rsid w:val="00697296"/>
    <w:rsid w:val="0098573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E04B11"/>
  <w14:defaultImageDpi w14:val="300"/>
  <w15:docId w15:val="{01E60352-EB7C-4202-BF17-EA012DC2A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97296"/>
  </w:style>
  <w:style w:type="paragraph" w:styleId="TOC2">
    <w:name w:val="toc 2"/>
    <w:basedOn w:val="a1"/>
    <w:next w:val="a1"/>
    <w:autoRedefine/>
    <w:uiPriority w:val="39"/>
    <w:unhideWhenUsed/>
    <w:rsid w:val="00697296"/>
    <w:pPr>
      <w:ind w:leftChars="200" w:left="420"/>
    </w:pPr>
  </w:style>
  <w:style w:type="character" w:styleId="aff9">
    <w:name w:val="Hyperlink"/>
    <w:basedOn w:val="a2"/>
    <w:uiPriority w:val="99"/>
    <w:unhideWhenUsed/>
    <w:rsid w:val="0069729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3464</Words>
  <Characters>19747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2026-10-18T09:07:00Z</dcterms:modified>
  <cp:category/>
</cp:coreProperties>
</file>