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D3C78" w14:textId="77777777" w:rsidR="0017704E" w:rsidRDefault="00EE3A66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03F57FCB" w14:textId="77777777" w:rsidR="0017704E" w:rsidRDefault="00EE3A66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7C344B0F" w14:textId="77777777" w:rsidR="0017704E" w:rsidRDefault="00EE3A66">
      <w:r>
        <w:rPr>
          <w:color w:val="000000"/>
        </w:rPr>
        <w:t>FIN4080 Behavioral Finance · The Chinese University of Hong Kong, Shenzhen</w:t>
      </w:r>
    </w:p>
    <w:p w14:paraId="7D30871D" w14:textId="77777777" w:rsidR="0017704E" w:rsidRDefault="00EE3A66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49BC6FBA" w14:textId="77777777" w:rsidR="0017704E" w:rsidRDefault="00EE3A66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5D1706B7" w14:textId="77777777" w:rsidR="0017704E" w:rsidRDefault="00EE3A66">
      <w:r>
        <w:rPr>
          <w:color w:val="000000"/>
        </w:rPr>
        <w:t>Status as of: 6 October 2026</w:t>
      </w:r>
    </w:p>
    <w:p w14:paraId="576973A5" w14:textId="77777777" w:rsidR="0017704E" w:rsidRDefault="00EE3A66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038660A1" w14:textId="77777777" w:rsidR="0017704E" w:rsidRDefault="0017704E">
      <w:pPr>
        <w:pBdr>
          <w:bottom w:val="single" w:sz="6" w:space="1" w:color="BFBFBF"/>
        </w:pBdr>
        <w:spacing w:before="40" w:after="40"/>
      </w:pPr>
    </w:p>
    <w:p w14:paraId="5535B23D" w14:textId="77777777" w:rsidR="0017704E" w:rsidRDefault="00EE3A66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59248A4D" w14:textId="6331B3E6" w:rsidR="00E73D5E" w:rsidRDefault="00EE3A6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18499" w:history="1">
        <w:r w:rsidR="00E73D5E" w:rsidRPr="001D2CC7">
          <w:rPr>
            <w:rStyle w:val="aff9"/>
            <w:rFonts w:eastAsia="Arial"/>
            <w:noProof/>
          </w:rPr>
          <w:t>1. Research question</w:t>
        </w:r>
        <w:r w:rsidR="00E73D5E">
          <w:rPr>
            <w:rFonts w:hint="eastAsia"/>
            <w:noProof/>
            <w:webHidden/>
          </w:rPr>
          <w:tab/>
        </w:r>
        <w:r w:rsidR="00E73D5E">
          <w:rPr>
            <w:rFonts w:hint="eastAsia"/>
            <w:noProof/>
            <w:webHidden/>
          </w:rPr>
          <w:fldChar w:fldCharType="begin"/>
        </w:r>
        <w:r w:rsidR="00E73D5E">
          <w:rPr>
            <w:rFonts w:hint="eastAsia"/>
            <w:noProof/>
            <w:webHidden/>
          </w:rPr>
          <w:instrText xml:space="preserve"> </w:instrText>
        </w:r>
        <w:r w:rsidR="00E73D5E">
          <w:rPr>
            <w:noProof/>
            <w:webHidden/>
          </w:rPr>
          <w:instrText>PAGEREF _Toc242218499 \h</w:instrText>
        </w:r>
        <w:r w:rsidR="00E73D5E">
          <w:rPr>
            <w:rFonts w:hint="eastAsia"/>
            <w:noProof/>
            <w:webHidden/>
          </w:rPr>
          <w:instrText xml:space="preserve"> </w:instrText>
        </w:r>
        <w:r w:rsidR="00E73D5E">
          <w:rPr>
            <w:rFonts w:hint="eastAsia"/>
            <w:noProof/>
            <w:webHidden/>
          </w:rPr>
        </w:r>
        <w:r w:rsidR="00E73D5E">
          <w:rPr>
            <w:rFonts w:hint="eastAsia"/>
            <w:noProof/>
            <w:webHidden/>
          </w:rPr>
          <w:fldChar w:fldCharType="separate"/>
        </w:r>
        <w:r w:rsidR="00E73D5E">
          <w:rPr>
            <w:noProof/>
            <w:webHidden/>
          </w:rPr>
          <w:t>1</w:t>
        </w:r>
        <w:r w:rsidR="00E73D5E">
          <w:rPr>
            <w:rFonts w:hint="eastAsia"/>
            <w:noProof/>
            <w:webHidden/>
          </w:rPr>
          <w:fldChar w:fldCharType="end"/>
        </w:r>
      </w:hyperlink>
    </w:p>
    <w:p w14:paraId="69DA8968" w14:textId="26C02FD7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0" w:history="1">
        <w:r w:rsidRPr="001D2CC7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D64806" w14:textId="0A0A7C79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1" w:history="1">
        <w:r w:rsidRPr="001D2CC7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9607F0" w14:textId="2AD346B9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2" w:history="1">
        <w:r w:rsidRPr="001D2CC7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BB6278" w14:textId="5361B8B4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3" w:history="1">
        <w:r w:rsidRPr="001D2CC7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BD7F17" w14:textId="46C1447C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4" w:history="1">
        <w:r w:rsidRPr="001D2CC7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C18BF8" w14:textId="18C3716F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5" w:history="1">
        <w:r w:rsidRPr="001D2CC7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23712C" w14:textId="5AAE2001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6" w:history="1">
        <w:r w:rsidRPr="001D2CC7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B99B25" w14:textId="004F5819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7" w:history="1">
        <w:r w:rsidRPr="001D2CC7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81C583" w14:textId="598B55CC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8" w:history="1">
        <w:r w:rsidRPr="001D2CC7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832215" w14:textId="03B20FEF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09" w:history="1">
        <w:r w:rsidRPr="001D2CC7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BF6441" w14:textId="3E1400EB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10" w:history="1">
        <w:r w:rsidRPr="001D2CC7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760FA4" w14:textId="1F6EDA2C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11" w:history="1">
        <w:r w:rsidRPr="001D2CC7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42F45A" w14:textId="7A745B92" w:rsidR="00E73D5E" w:rsidRDefault="00E73D5E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8512" w:history="1">
        <w:r w:rsidRPr="001D2CC7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_Toc242218512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03BF61" w14:textId="22A4D825" w:rsidR="0017704E" w:rsidRDefault="00EE3A66">
      <w:r>
        <w:rPr>
          <w:color w:val="000000"/>
        </w:rPr>
        <w:fldChar w:fldCharType="end"/>
      </w:r>
    </w:p>
    <w:p w14:paraId="12D1B153" w14:textId="77777777" w:rsidR="0017704E" w:rsidRDefault="00EE3A66">
      <w:pPr>
        <w:pStyle w:val="1"/>
        <w:spacing w:before="280" w:after="120"/>
      </w:pPr>
      <w:bookmarkStart w:id="0" w:name="_Toc242218499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118C82C4" w14:textId="77777777" w:rsidR="0017704E" w:rsidRDefault="00EE3A66">
      <w:r>
        <w:rPr>
          <w:color w:val="000000"/>
        </w:rPr>
        <w:t>Milgram's obedience experiments show that people comply with authority even against</w:t>
      </w:r>
    </w:p>
    <w:p w14:paraId="568142DD" w14:textId="77777777" w:rsidR="0017704E" w:rsidRDefault="00EE3A66">
      <w:r>
        <w:rPr>
          <w:color w:val="000000"/>
        </w:rPr>
        <w:t>their own judgement. This project measures the market footprint of authority rather</w:t>
      </w:r>
    </w:p>
    <w:p w14:paraId="37EEF1D3" w14:textId="77777777" w:rsidR="0017704E" w:rsidRDefault="00EE3A66">
      <w:r>
        <w:rPr>
          <w:color w:val="000000"/>
        </w:rPr>
        <w:t>than surveying investors: how do prices, volume and subsequent returns respond to</w:t>
      </w:r>
    </w:p>
    <w:p w14:paraId="64C007D0" w14:textId="77777777" w:rsidR="0017704E" w:rsidRDefault="00EE3A66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35F8A070" w14:textId="77777777" w:rsidR="0017704E" w:rsidRDefault="00EE3A66">
      <w:r>
        <w:rPr>
          <w:color w:val="000000"/>
        </w:rPr>
        <w:t>The assignment poses four questions that must each be answered:</w:t>
      </w:r>
    </w:p>
    <w:p w14:paraId="1E2FB56B" w14:textId="77777777" w:rsidR="0017704E" w:rsidRDefault="00EE3A66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274F7D59" w14:textId="77777777" w:rsidR="0017704E" w:rsidRDefault="00EE3A66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2F889101" w14:textId="77777777" w:rsidR="0017704E" w:rsidRDefault="00EE3A66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252FACC1" w14:textId="77777777" w:rsidR="0017704E" w:rsidRDefault="00EE3A66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31033657" w14:textId="77777777" w:rsidR="0017704E" w:rsidRDefault="00EE3A66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6348735B" w14:textId="77777777" w:rsidR="0017704E" w:rsidRDefault="00EE3A66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13BF914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D7E5C66" w14:textId="77777777" w:rsidR="0017704E" w:rsidRDefault="0017704E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3AB95F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08A3ECC9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17704E" w14:paraId="3EABDE1C" w14:textId="77777777">
        <w:trPr>
          <w:cantSplit/>
          <w:jc w:val="center"/>
        </w:trPr>
        <w:tc>
          <w:tcPr>
            <w:tcW w:w="3137" w:type="dxa"/>
          </w:tcPr>
          <w:p w14:paraId="3734CB06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7F5D7F8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40F2D395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17704E" w14:paraId="70F3982E" w14:textId="77777777">
        <w:trPr>
          <w:cantSplit/>
          <w:jc w:val="center"/>
        </w:trPr>
        <w:tc>
          <w:tcPr>
            <w:tcW w:w="3137" w:type="dxa"/>
          </w:tcPr>
          <w:p w14:paraId="6274AFFC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31905241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08B05D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17704E" w14:paraId="024A77BB" w14:textId="77777777">
        <w:trPr>
          <w:cantSplit/>
          <w:jc w:val="center"/>
        </w:trPr>
        <w:tc>
          <w:tcPr>
            <w:tcW w:w="3137" w:type="dxa"/>
          </w:tcPr>
          <w:p w14:paraId="4C2221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545FE74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7E39965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17704E" w14:paraId="4BE7EB97" w14:textId="77777777">
        <w:trPr>
          <w:cantSplit/>
          <w:jc w:val="center"/>
        </w:trPr>
        <w:tc>
          <w:tcPr>
            <w:tcW w:w="3137" w:type="dxa"/>
          </w:tcPr>
          <w:p w14:paraId="7DE003D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1600572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261D44D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1B45CBC3" w14:textId="77777777" w:rsidR="0017704E" w:rsidRDefault="0017704E">
      <w:pPr>
        <w:spacing w:after="0"/>
      </w:pPr>
    </w:p>
    <w:p w14:paraId="5FA6AB64" w14:textId="77777777" w:rsidR="0017704E" w:rsidRDefault="00EE3A66">
      <w:pPr>
        <w:pStyle w:val="1"/>
        <w:spacing w:before="280" w:after="120"/>
      </w:pPr>
      <w:bookmarkStart w:id="1" w:name="_Toc242218500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1809F3F9" w14:textId="77777777" w:rsidR="0017704E" w:rsidRDefault="00EE3A66">
      <w:r>
        <w:rPr>
          <w:color w:val="000000"/>
        </w:rPr>
        <w:t>Presentation slides (PDF), raw data files, reproducible analysis code, at least one</w:t>
      </w:r>
    </w:p>
    <w:p w14:paraId="50E1465D" w14:textId="77777777" w:rsidR="0017704E" w:rsidRDefault="00EE3A66">
      <w:r>
        <w:rPr>
          <w:color w:val="000000"/>
        </w:rPr>
        <w:t>original visualization, a one-page data provenance statement, and at least three</w:t>
      </w:r>
    </w:p>
    <w:p w14:paraId="6D552C62" w14:textId="77777777" w:rsidR="0017704E" w:rsidRDefault="00EE3A66">
      <w:r>
        <w:rPr>
          <w:color w:val="000000"/>
        </w:rPr>
        <w:t>academic papers or news items not on the syllabus. The TA audits the raw data and</w:t>
      </w:r>
    </w:p>
    <w:p w14:paraId="77949A31" w14:textId="77777777" w:rsidR="0017704E" w:rsidRDefault="00EE3A66">
      <w:r>
        <w:rPr>
          <w:color w:val="000000"/>
        </w:rPr>
        <w:t>the code. Everything for the course is produced in English.</w:t>
      </w:r>
    </w:p>
    <w:p w14:paraId="1AEC4DE7" w14:textId="77777777" w:rsidR="0017704E" w:rsidRDefault="00EE3A66">
      <w:pPr>
        <w:pStyle w:val="1"/>
        <w:spacing w:before="280" w:after="120"/>
      </w:pPr>
      <w:bookmarkStart w:id="2" w:name="_Toc242218501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76755362" w14:textId="77777777" w:rsidR="0017704E" w:rsidRDefault="00EE3A66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0E0CC6D9" w14:textId="77777777" w:rsidR="0017704E" w:rsidRDefault="00EE3A66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1B352A35" w14:textId="77777777" w:rsidR="0017704E" w:rsidRDefault="00EE3A66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61A0EFA5" w14:textId="77777777" w:rsidR="0017704E" w:rsidRDefault="00EE3A66">
      <w:r>
        <w:rPr>
          <w:color w:val="000000"/>
        </w:rPr>
        <w:t>otherwise. An open terminal alone is not enough.</w:t>
      </w:r>
    </w:p>
    <w:p w14:paraId="76167636" w14:textId="77777777" w:rsidR="0017704E" w:rsidRDefault="00EE3A66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56C1FDB0" w14:textId="77777777" w:rsidR="0017704E" w:rsidRDefault="00EE3A66">
      <w:r>
        <w:rPr>
          <w:color w:val="000000"/>
        </w:rPr>
        <w:t>TA209 lab machines, with no personal account, no remote access and no API.</w:t>
      </w:r>
    </w:p>
    <w:p w14:paraId="6B2E1D61" w14:textId="77777777" w:rsidR="0017704E" w:rsidRDefault="00EE3A66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632A0746" w14:textId="77777777" w:rsidR="0017704E" w:rsidRDefault="00EE3A66">
      <w:r>
        <w:rPr>
          <w:color w:val="000000"/>
        </w:rPr>
        <w:t>contain no Chinese star-ranking information. Making the project a US study would</w:t>
      </w:r>
    </w:p>
    <w:p w14:paraId="5E65FE24" w14:textId="77777777" w:rsidR="0017704E" w:rsidRDefault="00EE3A66">
      <w:r>
        <w:rPr>
          <w:color w:val="000000"/>
        </w:rPr>
        <w:lastRenderedPageBreak/>
        <w:t>mean giving up the China-specific contribution.</w:t>
      </w:r>
    </w:p>
    <w:p w14:paraId="09D392A2" w14:textId="77777777" w:rsidR="0017704E" w:rsidRDefault="00EE3A66">
      <w:r>
        <w:rPr>
          <w:color w:val="000000"/>
        </w:rPr>
        <w:t>Analyst rating detail was retrieved for 2018-2024 with the following fields:</w:t>
      </w:r>
    </w:p>
    <w:p w14:paraId="14AD0561" w14:textId="77777777" w:rsidR="0017704E" w:rsidRDefault="00EE3A66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4CB41A60" w14:textId="77777777" w:rsidR="0017704E" w:rsidRDefault="00EE3A66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3464C14C" w14:textId="77777777" w:rsidR="0017704E" w:rsidRDefault="00EE3A66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18585415" w14:textId="77777777" w:rsidR="0017704E" w:rsidRDefault="00EE3A66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0F9E6A72" w14:textId="77777777" w:rsidR="0017704E" w:rsidRDefault="00EE3A66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4B664F76" w14:textId="77777777" w:rsidR="0017704E" w:rsidRDefault="00EE3A66">
      <w:r>
        <w:rPr>
          <w:color w:val="000000"/>
        </w:rPr>
        <w:t>rating scale, so no broker-by-broker manual mapping is needed.</w:t>
      </w:r>
    </w:p>
    <w:p w14:paraId="2F03369D" w14:textId="77777777" w:rsidR="0017704E" w:rsidRDefault="00EE3A66">
      <w:pPr>
        <w:pStyle w:val="1"/>
        <w:spacing w:before="280" w:after="120"/>
      </w:pPr>
      <w:bookmarkStart w:id="3" w:name="_Toc242218502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2952E939" w14:textId="77777777" w:rsidR="0017704E" w:rsidRDefault="00EE3A66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6CC9EE6B" w14:textId="77777777" w:rsidR="0017704E" w:rsidRDefault="00EE3A66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19CC805A" w14:textId="77777777" w:rsidR="0017704E" w:rsidRDefault="00EE3A66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1BF6FF7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564AB6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120F61F0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32CE26A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17704E" w14:paraId="4BAAB9AD" w14:textId="77777777">
        <w:trPr>
          <w:cantSplit/>
          <w:jc w:val="center"/>
        </w:trPr>
        <w:tc>
          <w:tcPr>
            <w:tcW w:w="3137" w:type="dxa"/>
          </w:tcPr>
          <w:p w14:paraId="6DB3FF00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2D4AA3B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377F2CF" w14:textId="77777777" w:rsidR="0017704E" w:rsidRDefault="0017704E">
            <w:pPr>
              <w:spacing w:after="40" w:line="276" w:lineRule="auto"/>
            </w:pPr>
          </w:p>
        </w:tc>
      </w:tr>
      <w:tr w:rsidR="0017704E" w14:paraId="6518FF37" w14:textId="77777777">
        <w:trPr>
          <w:cantSplit/>
          <w:jc w:val="center"/>
        </w:trPr>
        <w:tc>
          <w:tcPr>
            <w:tcW w:w="3137" w:type="dxa"/>
          </w:tcPr>
          <w:p w14:paraId="6FA210D0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376BFC2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4B4BF3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17704E" w14:paraId="36299F29" w14:textId="77777777">
        <w:trPr>
          <w:cantSplit/>
          <w:jc w:val="center"/>
        </w:trPr>
        <w:tc>
          <w:tcPr>
            <w:tcW w:w="3137" w:type="dxa"/>
          </w:tcPr>
          <w:p w14:paraId="0B03D772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2D6CEA8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66F47F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17704E" w14:paraId="74495741" w14:textId="77777777">
        <w:trPr>
          <w:cantSplit/>
          <w:jc w:val="center"/>
        </w:trPr>
        <w:tc>
          <w:tcPr>
            <w:tcW w:w="3137" w:type="dxa"/>
          </w:tcPr>
          <w:p w14:paraId="75CBB11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2255F7A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570BA1C1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17704E" w14:paraId="351E8ACA" w14:textId="77777777">
        <w:trPr>
          <w:cantSplit/>
          <w:jc w:val="center"/>
        </w:trPr>
        <w:tc>
          <w:tcPr>
            <w:tcW w:w="3137" w:type="dxa"/>
          </w:tcPr>
          <w:p w14:paraId="3CA5594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2E5E5AE6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4D1F12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6FBF44D1" w14:textId="77777777" w:rsidR="0017704E" w:rsidRDefault="0017704E">
      <w:pPr>
        <w:spacing w:after="0"/>
      </w:pPr>
    </w:p>
    <w:p w14:paraId="17BFF32D" w14:textId="77777777" w:rsidR="0017704E" w:rsidRDefault="00EE3A66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39E0B288" w14:textId="77777777" w:rsidR="0017704E" w:rsidRDefault="00EE3A66">
      <w:r>
        <w:rPr>
          <w:color w:val="000000"/>
        </w:rPr>
        <w:t>2018-2024. Upgrades 12,131; downgrades 8,849. The buy skew is expected and matches the</w:t>
      </w:r>
    </w:p>
    <w:p w14:paraId="7C2DD32F" w14:textId="77777777" w:rsidR="0017704E" w:rsidRDefault="00EE3A66">
      <w:r>
        <w:rPr>
          <w:color w:val="000000"/>
        </w:rPr>
        <w:t>documented optimism bias of sell-side research.</w:t>
      </w:r>
    </w:p>
    <w:p w14:paraId="050BB2BB" w14:textId="77777777" w:rsidR="0017704E" w:rsidRDefault="00EE3A66">
      <w:pPr>
        <w:pStyle w:val="1"/>
        <w:spacing w:before="280" w:after="120"/>
      </w:pPr>
      <w:bookmarkStart w:id="4" w:name="_Toc242218503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2CD45EC4" w14:textId="77777777" w:rsidR="0017704E" w:rsidRDefault="00EE3A66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7704E" w14:paraId="0C648D8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A444CD5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59447A18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330CC815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17704E" w14:paraId="337F39FF" w14:textId="77777777">
        <w:trPr>
          <w:cantSplit/>
          <w:jc w:val="center"/>
        </w:trPr>
        <w:tc>
          <w:tcPr>
            <w:tcW w:w="3137" w:type="dxa"/>
          </w:tcPr>
          <w:p w14:paraId="0896E504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1FDC83ED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69BDDAC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17704E" w14:paraId="79CEC0FE" w14:textId="77777777">
        <w:trPr>
          <w:cantSplit/>
          <w:jc w:val="center"/>
        </w:trPr>
        <w:tc>
          <w:tcPr>
            <w:tcW w:w="3137" w:type="dxa"/>
          </w:tcPr>
          <w:p w14:paraId="32E0B179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71052D85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6EB03AD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17704E" w14:paraId="5FCC14C6" w14:textId="77777777">
        <w:trPr>
          <w:cantSplit/>
          <w:jc w:val="center"/>
        </w:trPr>
        <w:tc>
          <w:tcPr>
            <w:tcW w:w="3137" w:type="dxa"/>
          </w:tcPr>
          <w:p w14:paraId="0BCEBD99" w14:textId="77777777" w:rsidR="0017704E" w:rsidRDefault="00EE3A66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154C4AA9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2AD8F21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3345E784" w14:textId="77777777" w:rsidR="0017704E" w:rsidRDefault="0017704E">
      <w:pPr>
        <w:spacing w:after="0"/>
      </w:pPr>
    </w:p>
    <w:p w14:paraId="1BCF88E6" w14:textId="77777777" w:rsidR="0017704E" w:rsidRDefault="00EE3A66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03C3A026" w14:textId="77777777" w:rsidR="0017704E" w:rsidRDefault="00EE3A66">
      <w:r>
        <w:rPr>
          <w:color w:val="000000"/>
        </w:rPr>
        <w:t>13.4%, 14.5%, 13.5%, 13.6%, 13.6%, 11.8%, 11.6% for 2018-2024.</w:t>
      </w:r>
    </w:p>
    <w:p w14:paraId="02E374F3" w14:textId="77777777" w:rsidR="0017704E" w:rsidRDefault="00EE3A66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6B0A4905" w14:textId="77777777" w:rsidR="0017704E" w:rsidRDefault="00EE3A66">
      <w:r>
        <w:rPr>
          <w:color w:val="000000"/>
        </w:rPr>
        <w:t>2018, and the page labelled 2018 on the public source is a compilation of anniversary</w:t>
      </w:r>
    </w:p>
    <w:p w14:paraId="04A02E3F" w14:textId="77777777" w:rsidR="0017704E" w:rsidRDefault="00EE3A66">
      <w:r>
        <w:rPr>
          <w:color w:val="000000"/>
        </w:rPr>
        <w:t>special awards, not an annual industry ranking. Evidence: 36% of its names appear in</w:t>
      </w:r>
    </w:p>
    <w:p w14:paraId="101AE0CF" w14:textId="77777777" w:rsidR="0017704E" w:rsidRDefault="00EE3A66">
      <w:r>
        <w:rPr>
          <w:color w:val="000000"/>
        </w:rPr>
        <w:t>no other year (versus 8-23% elsewhere), its name overlap with 2019 is Jaccard 0.10</w:t>
      </w:r>
    </w:p>
    <w:p w14:paraId="722F2855" w14:textId="77777777" w:rsidR="0017704E" w:rsidRDefault="00EE3A66">
      <w:r>
        <w:rPr>
          <w:color w:val="000000"/>
        </w:rPr>
        <w:t>(versus 0.40-0.52 for adjacent pairs), and it matches the rating data at only 3.6%</w:t>
      </w:r>
    </w:p>
    <w:p w14:paraId="162B3B7E" w14:textId="77777777" w:rsidR="0017704E" w:rsidRDefault="00EE3A66">
      <w:r>
        <w:rPr>
          <w:color w:val="000000"/>
        </w:rPr>
        <w:t>versus 10-17% for every other list-year. It is therefore excluded, and 2018 events</w:t>
      </w:r>
    </w:p>
    <w:p w14:paraId="139618EF" w14:textId="77777777" w:rsidR="0017704E" w:rsidRDefault="00EE3A66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0047393B" w14:textId="77777777" w:rsidR="0017704E" w:rsidRDefault="00EE3A66">
      <w:r>
        <w:rPr>
          <w:color w:val="000000"/>
        </w:rPr>
        <w:t>This is the same "list in force" rule applied to every year, so there is no</w:t>
      </w:r>
    </w:p>
    <w:p w14:paraId="476B4CF2" w14:textId="77777777" w:rsidR="0017704E" w:rsidRDefault="00EE3A66">
      <w:r>
        <w:rPr>
          <w:color w:val="000000"/>
        </w:rPr>
        <w:t>special-casing and no look-ahead. The rule restores 2018 to the normal range (13.4%),</w:t>
      </w:r>
    </w:p>
    <w:p w14:paraId="7A73C8D0" w14:textId="77777777" w:rsidR="0017704E" w:rsidRDefault="00EE3A66">
      <w:r>
        <w:rPr>
          <w:color w:val="000000"/>
        </w:rPr>
        <w:t>which is why the full 2018-2024 sample is usable.</w:t>
      </w:r>
    </w:p>
    <w:p w14:paraId="46EBC72D" w14:textId="77777777" w:rsidR="0017704E" w:rsidRDefault="00EE3A66">
      <w:pPr>
        <w:pStyle w:val="1"/>
        <w:spacing w:before="280" w:after="120"/>
      </w:pPr>
      <w:bookmarkStart w:id="5" w:name="_Toc242218504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5E44EDAD" w14:textId="77777777" w:rsidR="0017704E" w:rsidRDefault="00EE3A66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155EE802" w14:textId="77777777" w:rsidR="0017704E" w:rsidRDefault="00EE3A66">
      <w:r>
        <w:rPr>
          <w:color w:val="000000"/>
        </w:rPr>
        <w:t>[-1,+5] and [-5,+5] as robustness. Dependent variables are CAR and abnormal volume.</w:t>
      </w:r>
    </w:p>
    <w:p w14:paraId="74F74640" w14:textId="77777777" w:rsidR="0017704E" w:rsidRDefault="00EE3A66">
      <w:r>
        <w:rPr>
          <w:color w:val="000000"/>
        </w:rPr>
        <w:t>Controls: size of the rating change, whether an EPS forecast moved at the same time,</w:t>
      </w:r>
    </w:p>
    <w:p w14:paraId="4D4F07ED" w14:textId="77777777" w:rsidR="0017704E" w:rsidRDefault="00EE3A66">
      <w:r>
        <w:rPr>
          <w:color w:val="000000"/>
        </w:rPr>
        <w:t>firm size, pre-event momentum, turnover, institutional ownership, ownership type,</w:t>
      </w:r>
    </w:p>
    <w:p w14:paraId="6BEFE08B" w14:textId="77777777" w:rsidR="0017704E" w:rsidRDefault="00EE3A66">
      <w:r>
        <w:rPr>
          <w:color w:val="000000"/>
        </w:rPr>
        <w:t>board. Industry × month fixed effects.</w:t>
      </w:r>
    </w:p>
    <w:p w14:paraId="6C861F57" w14:textId="77777777" w:rsidR="0017704E" w:rsidRDefault="00EE3A66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706D4DB4" w14:textId="77777777" w:rsidR="0017704E" w:rsidRDefault="00EE3A66">
      <w:r>
        <w:rPr>
          <w:color w:val="000000"/>
        </w:rPr>
        <w:t>signed by the direction of the recommendation. This is where information and</w:t>
      </w:r>
    </w:p>
    <w:p w14:paraId="2C4AF165" w14:textId="77777777" w:rsidR="0017704E" w:rsidRDefault="00EE3A66">
      <w:r>
        <w:rPr>
          <w:color w:val="000000"/>
        </w:rPr>
        <w:t>influence separate: reversal implies investors over-followed.</w:t>
      </w:r>
    </w:p>
    <w:p w14:paraId="521B8509" w14:textId="77777777" w:rsidR="0017704E" w:rsidRDefault="00EE3A66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04CB7FD7" w14:textId="77777777" w:rsidR="0017704E" w:rsidRDefault="00EE3A66">
      <w:r>
        <w:rPr>
          <w:color w:val="000000"/>
        </w:rPr>
        <w:t>absolute EPS forecast error scaled by price; hit rate. If stars are larger in step 1</w:t>
      </w:r>
    </w:p>
    <w:p w14:paraId="0DF41F38" w14:textId="77777777" w:rsidR="0017704E" w:rsidRDefault="00EE3A66">
      <w:r>
        <w:rPr>
          <w:color w:val="000000"/>
        </w:rPr>
        <w:t>but indistinguishable here, the conclusion is "merely more influential".</w:t>
      </w:r>
    </w:p>
    <w:p w14:paraId="695E5F17" w14:textId="77777777" w:rsidR="0017704E" w:rsidRDefault="00EE3A66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6472D496" w14:textId="77777777" w:rsidR="0017704E" w:rsidRDefault="00EE3A66">
      <w:r>
        <w:rPr>
          <w:color w:val="000000"/>
        </w:rPr>
        <w:t>and STAR.</w:t>
      </w:r>
    </w:p>
    <w:p w14:paraId="24527987" w14:textId="77777777" w:rsidR="0017704E" w:rsidRDefault="00EE3A66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0B0CED43" w14:textId="77777777" w:rsidR="0017704E" w:rsidRDefault="00EE3A66">
      <w:r>
        <w:rPr>
          <w:color w:val="000000"/>
        </w:rPr>
        <w:t>buying in the event window; the subsample of events that hit the daily price limit.</w:t>
      </w:r>
    </w:p>
    <w:p w14:paraId="09F6E62E" w14:textId="77777777" w:rsidR="0017704E" w:rsidRDefault="00EE3A66">
      <w:pPr>
        <w:pStyle w:val="1"/>
        <w:spacing w:before="280" w:after="120"/>
      </w:pPr>
      <w:bookmarkStart w:id="6" w:name="_Toc242218505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5FE92716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0E8D4F90" w14:textId="77777777" w:rsidR="0017704E" w:rsidRDefault="00EE3A66">
      <w:r>
        <w:rPr>
          <w:color w:val="000000"/>
        </w:rPr>
        <w:t>event windows truncate CARs. Limit-hits must be flagged and the share reported, with</w:t>
      </w:r>
    </w:p>
    <w:p w14:paraId="5E31EF3F" w14:textId="77777777" w:rsidR="0017704E" w:rsidRDefault="00EE3A66">
      <w:r>
        <w:rPr>
          <w:color w:val="000000"/>
        </w:rPr>
        <w:t>a robustness run excluding them.</w:t>
      </w:r>
    </w:p>
    <w:p w14:paraId="3CB43CF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6993E450" w14:textId="77777777" w:rsidR="0017704E" w:rsidRDefault="00EE3A66">
      <w:r>
        <w:rPr>
          <w:color w:val="000000"/>
        </w:rPr>
        <w:t>trading-day alignment.</w:t>
      </w:r>
    </w:p>
    <w:p w14:paraId="69AAB251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487C4C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77953A6B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32EF0E30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18000FE5" w14:textId="77777777" w:rsidR="0017704E" w:rsidRDefault="00EE3A66">
      <w:r>
        <w:rPr>
          <w:color w:val="000000"/>
        </w:rPr>
        <w:t>snapshot, so the ST filter is an approximation. The clean solution is to infer ST</w:t>
      </w:r>
    </w:p>
    <w:p w14:paraId="556E9078" w14:textId="77777777" w:rsidR="0017704E" w:rsidRDefault="00EE3A66">
      <w:r>
        <w:rPr>
          <w:color w:val="000000"/>
        </w:rPr>
        <w:t>spells from daily price limits (ST stocks have a 5% band) once market data exist.</w:t>
      </w:r>
    </w:p>
    <w:p w14:paraId="0DA921FD" w14:textId="77777777" w:rsidR="0017704E" w:rsidRDefault="00EE3A66">
      <w:pPr>
        <w:pStyle w:val="1"/>
        <w:spacing w:before="280" w:after="120"/>
      </w:pPr>
      <w:bookmarkStart w:id="7" w:name="_Toc242218506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2C89AAF2" w14:textId="77777777" w:rsidR="0017704E" w:rsidRDefault="00EE3A66">
      <w:r>
        <w:rPr>
          <w:color w:val="000000"/>
        </w:rPr>
        <w:t>Sample period with and without 2020 and 2022; alternative authority measures (star,</w:t>
      </w:r>
    </w:p>
    <w:p w14:paraId="386FDD0E" w14:textId="77777777" w:rsidR="0017704E" w:rsidRDefault="00EE3A66">
      <w:r>
        <w:rPr>
          <w:color w:val="000000"/>
        </w:rPr>
        <w:t>seniority, broker tier); alternative windows; excluding limit-hit and suspended events;</w:t>
      </w:r>
    </w:p>
    <w:p w14:paraId="36804571" w14:textId="77777777" w:rsidR="0017704E" w:rsidRDefault="00EE3A66">
      <w:r>
        <w:rPr>
          <w:color w:val="000000"/>
        </w:rPr>
        <w:t>main board versus ChiNext and STAR; excluding events that coincide with an earnings</w:t>
      </w:r>
    </w:p>
    <w:p w14:paraId="71F4D458" w14:textId="77777777" w:rsidR="0017704E" w:rsidRDefault="00EE3A66">
      <w:r>
        <w:rPr>
          <w:color w:val="000000"/>
        </w:rPr>
        <w:t>announcement. Alternative timing conventions for the star variable are already stored</w:t>
      </w:r>
    </w:p>
    <w:p w14:paraId="58831B12" w14:textId="77777777" w:rsidR="0017704E" w:rsidRDefault="00EE3A66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38B258FB" w14:textId="77777777" w:rsidR="0017704E" w:rsidRDefault="00EE3A66">
      <w:r>
        <w:rPr>
          <w:color w:val="000000"/>
        </w:rPr>
        <w:t>Standard errors should be clustered. The 2,715 distinct report URLs behind a 3,000-event</w:t>
      </w:r>
    </w:p>
    <w:p w14:paraId="2D0C6E0D" w14:textId="77777777" w:rsidR="0017704E" w:rsidRDefault="00EE3A66">
      <w:r>
        <w:rPr>
          <w:color w:val="000000"/>
        </w:rPr>
        <w:t>sample show that one report can carry ratings for several stocks or for several analysts,</w:t>
      </w:r>
    </w:p>
    <w:p w14:paraId="50E6AC88" w14:textId="77777777" w:rsidR="0017704E" w:rsidRDefault="00EE3A66">
      <w:r>
        <w:rPr>
          <w:color w:val="000000"/>
        </w:rPr>
        <w:t>so observations are not independent within a report. Clustering at the report level, and</w:t>
      </w:r>
    </w:p>
    <w:p w14:paraId="3C75C602" w14:textId="77777777" w:rsidR="0017704E" w:rsidRDefault="00EE3A66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0D3A0416" w14:textId="77777777" w:rsidR="0017704E" w:rsidRDefault="00EE3A66">
      <w:pPr>
        <w:pStyle w:val="1"/>
        <w:spacing w:before="280" w:after="120"/>
      </w:pPr>
      <w:bookmarkStart w:id="8" w:name="_Toc242218507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17704E" w14:paraId="624EFDD2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05BB6CCE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0249BFC8" w14:textId="77777777" w:rsidR="0017704E" w:rsidRDefault="00EE3A66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17704E" w14:paraId="202730B9" w14:textId="77777777">
        <w:trPr>
          <w:cantSplit/>
          <w:jc w:val="center"/>
        </w:trPr>
        <w:tc>
          <w:tcPr>
            <w:tcW w:w="4706" w:type="dxa"/>
          </w:tcPr>
          <w:p w14:paraId="0B6C5AE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56E812D4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17704E" w14:paraId="59AA052B" w14:textId="77777777">
        <w:trPr>
          <w:cantSplit/>
          <w:jc w:val="center"/>
        </w:trPr>
        <w:tc>
          <w:tcPr>
            <w:tcW w:w="4706" w:type="dxa"/>
          </w:tcPr>
          <w:p w14:paraId="1A84FDA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7B03BE57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17704E" w14:paraId="48682FBE" w14:textId="77777777">
        <w:trPr>
          <w:cantSplit/>
          <w:jc w:val="center"/>
        </w:trPr>
        <w:tc>
          <w:tcPr>
            <w:tcW w:w="4706" w:type="dxa"/>
          </w:tcPr>
          <w:p w14:paraId="6A951C4F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756BECCB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17704E" w14:paraId="35FBDA53" w14:textId="77777777">
        <w:trPr>
          <w:cantSplit/>
          <w:jc w:val="center"/>
        </w:trPr>
        <w:tc>
          <w:tcPr>
            <w:tcW w:w="4706" w:type="dxa"/>
          </w:tcPr>
          <w:p w14:paraId="5FFC5993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6F05362A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17704E" w14:paraId="7ACE1BD5" w14:textId="77777777">
        <w:trPr>
          <w:cantSplit/>
          <w:jc w:val="center"/>
        </w:trPr>
        <w:tc>
          <w:tcPr>
            <w:tcW w:w="4706" w:type="dxa"/>
          </w:tcPr>
          <w:p w14:paraId="19F37FBE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2D784A7B" w14:textId="77777777" w:rsidR="0017704E" w:rsidRDefault="00EE3A66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500EC1B3" w14:textId="77777777" w:rsidR="0017704E" w:rsidRDefault="0017704E">
      <w:pPr>
        <w:spacing w:after="0"/>
      </w:pPr>
    </w:p>
    <w:p w14:paraId="6129CBAA" w14:textId="77777777" w:rsidR="0017704E" w:rsidRDefault="00EE3A66">
      <w:r>
        <w:rPr>
          <w:color w:val="000000"/>
        </w:rPr>
        <w:t>B also delivers the market data (daily returns, volume, turnover, market cap) and the</w:t>
      </w:r>
    </w:p>
    <w:p w14:paraId="1B771838" w14:textId="77777777" w:rsidR="0017704E" w:rsidRDefault="00EE3A66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42E8DF8E" w14:textId="77777777" w:rsidR="0017704E" w:rsidRDefault="00EE3A66">
      <w:pPr>
        <w:pStyle w:val="1"/>
        <w:spacing w:before="280" w:after="120"/>
      </w:pPr>
      <w:bookmarkStart w:id="9" w:name="_Toc242218508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7AD521CD" w14:textId="77777777" w:rsidR="0017704E" w:rsidRDefault="00EE3A66">
      <w:r>
        <w:rPr>
          <w:color w:val="000000"/>
        </w:rPr>
        <w:t>The presentation is on 27 October 2026 and roughly one effective week is available, so</w:t>
      </w:r>
    </w:p>
    <w:p w14:paraId="5D7E9FCB" w14:textId="77777777" w:rsidR="0017704E" w:rsidRDefault="00EE3A66">
      <w:r>
        <w:rPr>
          <w:color w:val="000000"/>
        </w:rPr>
        <w:t>the work is split into a scatter phase and a sprint week.</w:t>
      </w:r>
    </w:p>
    <w:p w14:paraId="5DC5255B" w14:textId="77777777" w:rsidR="0017704E" w:rsidRDefault="00EE3A66">
      <w:r>
        <w:rPr>
          <w:color w:val="000000"/>
        </w:rPr>
        <w:t>Before 19 October, four half-hour tasks that unblock everything else: confirm the iFinD</w:t>
      </w:r>
    </w:p>
    <w:p w14:paraId="6F370280" w14:textId="77777777" w:rsidR="0017704E" w:rsidRDefault="00EE3A66">
      <w:r>
        <w:rPr>
          <w:color w:val="000000"/>
        </w:rPr>
        <w:t>interface, install the missing Python packages, start collecting the New Fortune list,</w:t>
      </w:r>
    </w:p>
    <w:p w14:paraId="2C67DEAA" w14:textId="77777777" w:rsidR="0017704E" w:rsidRDefault="00EE3A66">
      <w:r>
        <w:rPr>
          <w:color w:val="000000"/>
        </w:rPr>
        <w:t>confirm the written-report deadline with the TA.</w:t>
      </w:r>
    </w:p>
    <w:p w14:paraId="27D5E478" w14:textId="77777777" w:rsidR="0017704E" w:rsidRDefault="00EE3A66">
      <w:r>
        <w:rPr>
          <w:color w:val="000000"/>
        </w:rPr>
        <w:t>Sprint week 20-26 October: pull and clean the data (20-21), main results (22-23),</w:t>
      </w:r>
    </w:p>
    <w:p w14:paraId="53AA98B9" w14:textId="77777777" w:rsidR="0017704E" w:rsidRDefault="00EE3A66">
      <w:r>
        <w:rPr>
          <w:color w:val="000000"/>
        </w:rPr>
        <w:t>robustness and heterogeneity (24), slides (25), rehearsal with timing (26).</w:t>
      </w:r>
    </w:p>
    <w:p w14:paraId="52B1D5D6" w14:textId="77777777" w:rsidR="0017704E" w:rsidRDefault="00EE3A66">
      <w:r>
        <w:rPr>
          <w:color w:val="000000"/>
        </w:rPr>
        <w:t>Survival rules: main results must exist by 23 October, or the sample is cut to 20 stocks</w:t>
      </w:r>
    </w:p>
    <w:p w14:paraId="0B654A69" w14:textId="77777777" w:rsidR="0017704E" w:rsidRDefault="00EE3A66">
      <w:r>
        <w:rPr>
          <w:color w:val="000000"/>
        </w:rPr>
        <w:t>until the pipeline runs end to end; slides freeze on 25 October; rehearse twice with a</w:t>
      </w:r>
    </w:p>
    <w:p w14:paraId="47E4658D" w14:textId="77777777" w:rsidR="0017704E" w:rsidRDefault="00EE3A66">
      <w:r>
        <w:rPr>
          <w:color w:val="000000"/>
        </w:rPr>
        <w:t>timer and cut content rather than speed up delivery.</w:t>
      </w:r>
    </w:p>
    <w:p w14:paraId="2018B009" w14:textId="77777777" w:rsidR="0017704E" w:rsidRDefault="00EE3A66">
      <w:pPr>
        <w:pStyle w:val="1"/>
        <w:spacing w:before="280" w:after="120"/>
      </w:pPr>
      <w:bookmarkStart w:id="10" w:name="_Toc242218509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6E260CA1" w14:textId="77777777" w:rsidR="0017704E" w:rsidRDefault="00EE3A66">
      <w:r>
        <w:rPr>
          <w:color w:val="000000"/>
        </w:rPr>
        <w:t>Hook with a concrete case; institutional background on why China; the Milgram-to-market</w:t>
      </w:r>
    </w:p>
    <w:p w14:paraId="44BF61A4" w14:textId="77777777" w:rsidR="0017704E" w:rsidRDefault="00EE3A66">
      <w:r>
        <w:rPr>
          <w:color w:val="000000"/>
        </w:rPr>
        <w:t>mechanism; the four research questions and the two competing hypotheses; **the mapping</w:t>
      </w:r>
    </w:p>
    <w:p w14:paraId="7D11B2CE" w14:textId="77777777" w:rsidR="0017704E" w:rsidRDefault="00EE3A66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2B058E0F" w14:textId="77777777" w:rsidR="0017704E" w:rsidRDefault="00EE3A66">
      <w:r>
        <w:rPr>
          <w:color w:val="000000"/>
        </w:rPr>
        <w:t>chart**; data sources and sample construction rules; three results slides; heterogeneity;</w:t>
      </w:r>
    </w:p>
    <w:p w14:paraId="0F27ADCB" w14:textId="77777777" w:rsidR="0017704E" w:rsidRDefault="00EE3A66">
      <w:r>
        <w:rPr>
          <w:color w:val="000000"/>
        </w:rPr>
        <w:t>robustness; conclusion; extensions; appendix and Q&amp;A backup.</w:t>
      </w:r>
    </w:p>
    <w:p w14:paraId="0042FE25" w14:textId="77777777" w:rsidR="0017704E" w:rsidRDefault="00EE3A66">
      <w:r>
        <w:rPr>
          <w:color w:val="000000"/>
        </w:rPr>
        <w:t>Two hard requirements from the instructor's feedback on earlier groups: **no limitations</w:t>
      </w:r>
    </w:p>
    <w:p w14:paraId="251C8A2A" w14:textId="77777777" w:rsidR="0017704E" w:rsidRDefault="00EE3A66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52ED33FE" w14:textId="77777777" w:rsidR="0017704E" w:rsidRDefault="00EE3A66">
      <w:r>
        <w:rPr>
          <w:color w:val="000000"/>
        </w:rPr>
        <w:t>chain, not only the final result**.</w:t>
      </w:r>
    </w:p>
    <w:p w14:paraId="70F06B1E" w14:textId="77777777" w:rsidR="0017704E" w:rsidRDefault="00EE3A66">
      <w:pPr>
        <w:pStyle w:val="1"/>
        <w:spacing w:before="280" w:after="120"/>
      </w:pPr>
      <w:bookmarkStart w:id="11" w:name="_Toc242218510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524A418D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05C1AE8B" w14:textId="77777777" w:rsidR="0017704E" w:rsidRDefault="00EE3A66">
      <w:r>
        <w:rPr>
          <w:color w:val="000000"/>
        </w:rPr>
        <w:t>the 2018 spell without a list, "just outside the list" comparisons, and pre-event</w:t>
      </w:r>
    </w:p>
    <w:p w14:paraId="7251C8AF" w14:textId="77777777" w:rsidR="0017704E" w:rsidRDefault="00EE3A66">
      <w:r>
        <w:rPr>
          <w:color w:val="000000"/>
        </w:rPr>
        <w:lastRenderedPageBreak/>
        <w:t>controls.</w:t>
      </w:r>
    </w:p>
    <w:p w14:paraId="468CD8A3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245FB0D2" w14:textId="77777777" w:rsidR="0017704E" w:rsidRDefault="00EE3A66">
      <w:r>
        <w:rPr>
          <w:color w:val="000000"/>
        </w:rPr>
        <w:t>that the iFinD analyst universe and the voted universe differ, and drop analysts with</w:t>
      </w:r>
    </w:p>
    <w:p w14:paraId="060F2655" w14:textId="77777777" w:rsidR="0017704E" w:rsidRDefault="00EE3A66">
      <w:r>
        <w:rPr>
          <w:color w:val="000000"/>
        </w:rPr>
        <w:t>very few reports.</w:t>
      </w:r>
    </w:p>
    <w:p w14:paraId="0E3E4DA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0735605A" w14:textId="77777777" w:rsidR="0017704E" w:rsidRDefault="00EE3A66">
      <w:r>
        <w:rPr>
          <w:color w:val="000000"/>
        </w:rPr>
        <w:t>Response: control turnover and size, test whether reversal survives transaction costs.</w:t>
      </w:r>
    </w:p>
    <w:p w14:paraId="25BE130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07EC74BF" w14:textId="77777777" w:rsidR="0017704E" w:rsidRDefault="00EE3A66">
      <w:r>
        <w:rPr>
          <w:color w:val="000000"/>
        </w:rPr>
        <w:t>each variable proxies what it claims to proxy.</w:t>
      </w:r>
    </w:p>
    <w:p w14:paraId="15477345" w14:textId="77777777" w:rsidR="0017704E" w:rsidRDefault="00EE3A66">
      <w:pPr>
        <w:pStyle w:val="1"/>
        <w:spacing w:before="280" w:after="120"/>
      </w:pPr>
      <w:bookmarkStart w:id="12" w:name="_Toc242218511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711DD42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20612EA5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4B472C42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0479C249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4E1F29FC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1C9A7C9E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6DAB8B98" w14:textId="77777777" w:rsidR="0017704E" w:rsidRDefault="00EE3A66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69172A05" w14:textId="77777777" w:rsidR="0017704E" w:rsidRDefault="00EE3A66">
      <w:pPr>
        <w:pStyle w:val="1"/>
        <w:spacing w:before="280" w:after="120"/>
      </w:pPr>
      <w:bookmarkStart w:id="13" w:name="_Toc242218512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38B3FFEC" w14:textId="77777777" w:rsidR="0017704E" w:rsidRDefault="00EE3A66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6C6DCF1B" w14:textId="77777777" w:rsidR="0017704E" w:rsidRDefault="00EE3A66">
      <w:r>
        <w:rPr>
          <w:color w:val="000000"/>
        </w:rPr>
        <w:t>inference, not a published 2018 list.</w:t>
      </w:r>
    </w:p>
    <w:p w14:paraId="4BAF3EDC" w14:textId="77777777" w:rsidR="0017704E" w:rsidRDefault="00EE3A66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1D0B6819" w14:textId="77777777" w:rsidR="0017704E" w:rsidRDefault="00EE3A66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9A54951" w14:textId="77777777" w:rsidR="0017704E" w:rsidRDefault="00EE3A66">
      <w:r>
        <w:rPr>
          <w:color w:val="000000"/>
        </w:rPr>
        <w:t>601995.SH, not the broker. Its ranked entries are all fixed income, ranked 1st in</w:t>
      </w:r>
    </w:p>
    <w:p w14:paraId="34FA9825" w14:textId="77777777" w:rsidR="0017704E" w:rsidRDefault="00EE3A66">
      <w:r>
        <w:rPr>
          <w:color w:val="000000"/>
        </w:rPr>
        <w:t>2017, 3rd in 2019 and 4th in 2020, and those teams file no stock recommendations.</w:t>
      </w:r>
    </w:p>
    <w:p w14:paraId="0CAB969E" w14:textId="77777777" w:rsidR="0017704E" w:rsidRDefault="00EE3A66">
      <w:pPr>
        <w:pStyle w:val="a0"/>
        <w:spacing w:after="60"/>
      </w:pPr>
      <w:r>
        <w:rPr>
          <w:color w:val="000000"/>
        </w:rPr>
        <w:lastRenderedPageBreak/>
        <w:t>The ST filter is an approximation because historical ST status is unobtainable.</w:t>
      </w:r>
    </w:p>
    <w:p w14:paraId="2DBDD057" w14:textId="77777777" w:rsidR="0017704E" w:rsidRDefault="00EE3A6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65EE6222" w14:textId="77777777" w:rsidR="0017704E" w:rsidRDefault="00EE3A66">
      <w:r>
        <w:rPr>
          <w:color w:val="000000"/>
        </w:rPr>
        <w:t>2009 returns 27,059 rows, for 2008 two, and the earliest first-report date we observe is</w:t>
      </w:r>
    </w:p>
    <w:p w14:paraId="0537ABF7" w14:textId="77777777" w:rsidR="0017704E" w:rsidRDefault="00EE3A66">
      <w:r>
        <w:rPr>
          <w:color w:val="000000"/>
        </w:rPr>
        <w:t>2009-06-15; that is a coverage limit, not a query problem, since for 2008 the</w:t>
      </w:r>
    </w:p>
    <w:p w14:paraId="43CCCEA3" w14:textId="77777777" w:rsidR="0017704E" w:rsidRDefault="00EE3A66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23202DFD" w14:textId="77777777" w:rsidR="0017704E" w:rsidRDefault="00EE3A66">
      <w:r>
        <w:rPr>
          <w:color w:val="000000"/>
        </w:rPr>
        <w:t>against one another, and December 2012 is absent from the source. Neither gap can be</w:t>
      </w:r>
    </w:p>
    <w:p w14:paraId="24911688" w14:textId="77777777" w:rsidR="0017704E" w:rsidRDefault="00EE3A66">
      <w:r>
        <w:rPr>
          <w:color w:val="000000"/>
        </w:rPr>
        <w:t>closed with this data. Correlation with the event year is 0.130, so year fixed effects</w:t>
      </w:r>
    </w:p>
    <w:p w14:paraId="6D1A2E27" w14:textId="77777777" w:rsidR="0017704E" w:rsidRDefault="00EE3A66">
      <w:r>
        <w:rPr>
          <w:color w:val="000000"/>
        </w:rPr>
        <w:t>remain advisable but the variable no longer merely counts calendar time. For the censored</w:t>
      </w:r>
    </w:p>
    <w:p w14:paraId="20698AB3" w14:textId="77777777" w:rsidR="0017704E" w:rsidRDefault="00EE3A66">
      <w:r>
        <w:rPr>
          <w:color w:val="000000"/>
        </w:rPr>
        <w:t>group the value is a lower bound on true tenure, so the seniority coefficient is</w:t>
      </w:r>
    </w:p>
    <w:p w14:paraId="0BFACAAD" w14:textId="77777777" w:rsidR="0017704E" w:rsidRDefault="00EE3A66">
      <w:r>
        <w:rPr>
          <w:color w:val="000000"/>
        </w:rPr>
        <w:t>attenuated rather than inflated. A robustness run drops that cohort, which is 2,674</w:t>
      </w:r>
    </w:p>
    <w:p w14:paraId="2F3DF390" w14:textId="77777777" w:rsidR="0017704E" w:rsidRDefault="00EE3A66">
      <w:r>
        <w:rPr>
          <w:color w:val="000000"/>
        </w:rPr>
        <w:t>events (12.7% of the sample) and 18.5% of all star events.</w:t>
      </w:r>
    </w:p>
    <w:p w14:paraId="76B5B54C" w14:textId="77777777" w:rsidR="0017704E" w:rsidRDefault="00EE3A66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33F92A95" w14:textId="77777777" w:rsidR="0017704E" w:rsidRDefault="00EE3A66">
      <w:r>
        <w:rPr>
          <w:color w:val="000000"/>
        </w:rPr>
        <w:t>ranking.</w:t>
      </w:r>
    </w:p>
    <w:p w14:paraId="78E36746" w14:textId="77777777" w:rsidR="0017704E" w:rsidRDefault="00EE3A66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46FDDDC4" w14:textId="77777777" w:rsidR="0017704E" w:rsidRDefault="00EE3A66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1431936E" w14:textId="77777777" w:rsidR="0017704E" w:rsidRDefault="00EE3A66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4CF193AA" w14:textId="77777777" w:rsidR="0017704E" w:rsidRDefault="00EE3A66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6ABABD24" w14:textId="77777777" w:rsidR="0017704E" w:rsidRDefault="00EE3A66">
      <w:r>
        <w:rPr>
          <w:color w:val="000000"/>
        </w:rPr>
        <w:t>the names moves 1,370 events (6.5%) to a different tier.</w:t>
      </w:r>
    </w:p>
    <w:p w14:paraId="18F70CDC" w14:textId="77777777" w:rsidR="0017704E" w:rsidRDefault="00EE3A66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58B51449" w14:textId="77777777" w:rsidR="0017704E" w:rsidRDefault="00EE3A66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35D80F7C" w14:textId="77777777" w:rsidR="0017704E" w:rsidRDefault="00EE3A66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3CD6CF28" w14:textId="77777777" w:rsidR="0017704E" w:rsidRDefault="00EE3A66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17D5F379" w14:textId="77777777" w:rsidR="0017704E" w:rsidRDefault="00EE3A66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05EA1671" w14:textId="77777777" w:rsidR="0017704E" w:rsidRDefault="00EE3A66">
      <w:r>
        <w:rPr>
          <w:color w:val="000000"/>
        </w:rPr>
        <w:t>inherits that veteran's first report date and the seniority is overstated. The report</w:t>
      </w:r>
    </w:p>
    <w:p w14:paraId="006BAA59" w14:textId="77777777" w:rsidR="0017704E" w:rsidRDefault="00EE3A66">
      <w:r>
        <w:rPr>
          <w:color w:val="000000"/>
        </w:rPr>
        <w:t>counts show such names exist: the largest reach 6,805 records, which no one person files.</w:t>
      </w:r>
    </w:p>
    <w:sectPr w:rsidR="0017704E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A7866" w14:textId="77777777" w:rsidR="00EE3A66" w:rsidRDefault="00EE3A66">
      <w:pPr>
        <w:spacing w:after="0" w:line="240" w:lineRule="auto"/>
      </w:pPr>
      <w:r>
        <w:separator/>
      </w:r>
    </w:p>
  </w:endnote>
  <w:endnote w:type="continuationSeparator" w:id="0">
    <w:p w14:paraId="37B04810" w14:textId="77777777" w:rsidR="00EE3A66" w:rsidRDefault="00EE3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2C3F" w14:textId="77777777" w:rsidR="0017704E" w:rsidRDefault="00EE3A66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E73D5E">
      <w:rPr>
        <w:color w:val="808080"/>
        <w:sz w:val="18"/>
      </w:rPr>
      <w:fldChar w:fldCharType="separate"/>
    </w:r>
    <w:r w:rsidR="00E73D5E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8754C" w14:textId="77777777" w:rsidR="00EE3A66" w:rsidRDefault="00EE3A66">
      <w:pPr>
        <w:spacing w:after="0" w:line="240" w:lineRule="auto"/>
      </w:pPr>
      <w:r>
        <w:separator/>
      </w:r>
    </w:p>
  </w:footnote>
  <w:footnote w:type="continuationSeparator" w:id="0">
    <w:p w14:paraId="7A4E35A5" w14:textId="77777777" w:rsidR="00EE3A66" w:rsidRDefault="00EE3A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725214">
    <w:abstractNumId w:val="8"/>
  </w:num>
  <w:num w:numId="2" w16cid:durableId="2030179537">
    <w:abstractNumId w:val="6"/>
  </w:num>
  <w:num w:numId="3" w16cid:durableId="1613397667">
    <w:abstractNumId w:val="5"/>
  </w:num>
  <w:num w:numId="4" w16cid:durableId="401414052">
    <w:abstractNumId w:val="4"/>
  </w:num>
  <w:num w:numId="5" w16cid:durableId="1050424885">
    <w:abstractNumId w:val="7"/>
  </w:num>
  <w:num w:numId="6" w16cid:durableId="863136144">
    <w:abstractNumId w:val="3"/>
  </w:num>
  <w:num w:numId="7" w16cid:durableId="553005119">
    <w:abstractNumId w:val="2"/>
  </w:num>
  <w:num w:numId="8" w16cid:durableId="2074429709">
    <w:abstractNumId w:val="1"/>
  </w:num>
  <w:num w:numId="9" w16cid:durableId="608005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A05"/>
    <w:rsid w:val="00034616"/>
    <w:rsid w:val="0006063C"/>
    <w:rsid w:val="0015074B"/>
    <w:rsid w:val="0017704E"/>
    <w:rsid w:val="0029639D"/>
    <w:rsid w:val="00326F90"/>
    <w:rsid w:val="00AA1D8D"/>
    <w:rsid w:val="00B47730"/>
    <w:rsid w:val="00CB0664"/>
    <w:rsid w:val="00E73D5E"/>
    <w:rsid w:val="00EE3A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B99B41"/>
  <w14:defaultImageDpi w14:val="300"/>
  <w15:docId w15:val="{F0533147-5B7A-4A68-8EFB-0E3313E6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73D5E"/>
  </w:style>
  <w:style w:type="character" w:styleId="aff9">
    <w:name w:val="Hyperlink"/>
    <w:basedOn w:val="a2"/>
    <w:uiPriority w:val="99"/>
    <w:unhideWhenUsed/>
    <w:rsid w:val="00E73D5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2332</Words>
  <Characters>13298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2026-10-06T14:34:00Z</dcterms:modified>
  <cp:category/>
</cp:coreProperties>
</file>