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45B5" w14:textId="77777777" w:rsidR="000048DD" w:rsidRDefault="002B39B7">
      <w:pPr>
        <w:spacing w:after="80"/>
        <w:jc w:val="center"/>
      </w:pPr>
      <w:r>
        <w:rPr>
          <w:rFonts w:eastAsia="Arial"/>
          <w:b/>
          <w:color w:val="000000"/>
          <w:sz w:val="36"/>
        </w:rPr>
        <w:t>Project 10: Do Investors Follow Authority?</w:t>
      </w:r>
    </w:p>
    <w:p w14:paraId="50B7087F" w14:textId="77777777" w:rsidR="000048DD" w:rsidRDefault="002B39B7">
      <w:pPr>
        <w:spacing w:after="200"/>
        <w:jc w:val="center"/>
      </w:pPr>
      <w:r>
        <w:rPr>
          <w:rFonts w:eastAsia="Arial"/>
          <w:b/>
          <w:color w:val="000000"/>
          <w:sz w:val="30"/>
        </w:rPr>
        <w:t>Market Reactions to Star Analyst Recommendations</w:t>
      </w:r>
    </w:p>
    <w:p w14:paraId="18CDBE84" w14:textId="77777777" w:rsidR="000048DD" w:rsidRDefault="002B39B7">
      <w:r>
        <w:rPr>
          <w:color w:val="000000"/>
        </w:rPr>
        <w:t>FIN4080 Behavioral Finance · The Chinese University of Hong Kong, Shenzhen</w:t>
      </w:r>
    </w:p>
    <w:p w14:paraId="28128148" w14:textId="77777777" w:rsidR="000048DD" w:rsidRDefault="002B39B7">
      <w:r>
        <w:rPr>
          <w:color w:val="000000"/>
        </w:rPr>
        <w:t xml:space="preserve">Sign-up sheet: </w:t>
      </w:r>
      <w:r>
        <w:rPr>
          <w:b/>
          <w:color w:val="000000"/>
        </w:rPr>
        <w:t>Topic 15</w:t>
      </w:r>
      <w:r>
        <w:rPr>
          <w:color w:val="000000"/>
        </w:rPr>
        <w:t xml:space="preserve"> (the Project Bank calls it Project 10)</w:t>
      </w:r>
    </w:p>
    <w:p w14:paraId="68F66AE4" w14:textId="77777777" w:rsidR="000048DD" w:rsidRDefault="002B39B7">
      <w:r>
        <w:rPr>
          <w:color w:val="000000"/>
        </w:rPr>
        <w:t xml:space="preserve">Group size: </w:t>
      </w:r>
      <w:r>
        <w:rPr>
          <w:b/>
          <w:color w:val="000000"/>
        </w:rPr>
        <w:t>2</w:t>
      </w:r>
      <w:r>
        <w:rPr>
          <w:color w:val="000000"/>
        </w:rPr>
        <w:t xml:space="preserve"> · Presentation: </w:t>
      </w:r>
      <w:r>
        <w:rPr>
          <w:b/>
          <w:color w:val="000000"/>
        </w:rPr>
        <w:t>27 October 2026</w:t>
      </w:r>
      <w:r>
        <w:rPr>
          <w:color w:val="000000"/>
        </w:rPr>
        <w:t>, 15 min + 5 min Q&amp;A · Max 15 slides</w:t>
      </w:r>
    </w:p>
    <w:p w14:paraId="506F8E76" w14:textId="77777777" w:rsidR="000048DD" w:rsidRDefault="002B39B7">
      <w:r>
        <w:rPr>
          <w:color w:val="000000"/>
        </w:rPr>
        <w:t>Status as of: 6 October 2026</w:t>
      </w:r>
    </w:p>
    <w:p w14:paraId="62B91257" w14:textId="77777777" w:rsidR="000048DD" w:rsidRDefault="002B39B7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 xml:space="preserve">Note on numbering: this topic is "Project 10" in </w:t>
      </w:r>
      <w:r>
        <w:rPr>
          <w:rFonts w:ascii="Consolas" w:hAnsi="Consolas"/>
          <w:color w:val="000000"/>
          <w:sz w:val="22"/>
        </w:rPr>
        <w:t>Topic details.pdf</w:t>
      </w:r>
      <w:r>
        <w:rPr>
          <w:color w:val="000000"/>
        </w:rPr>
        <w:t xml:space="preserve"> but "Topic 15" in </w:t>
      </w:r>
      <w:r>
        <w:rPr>
          <w:rFonts w:ascii="Consolas" w:hAnsi="Consolas"/>
          <w:color w:val="000000"/>
          <w:sz w:val="22"/>
        </w:rPr>
        <w:t>FIN 4080 Group and topic sign up.xlsx</w:t>
      </w:r>
      <w:r>
        <w:rPr>
          <w:color w:val="000000"/>
        </w:rPr>
        <w:t>. The sign-up sheet governs grading.</w:t>
      </w:r>
    </w:p>
    <w:p w14:paraId="71018CC3" w14:textId="77777777" w:rsidR="000048DD" w:rsidRDefault="000048DD">
      <w:pPr>
        <w:pBdr>
          <w:bottom w:val="single" w:sz="6" w:space="1" w:color="BFBFBF"/>
        </w:pBdr>
        <w:spacing w:before="40" w:after="40"/>
      </w:pPr>
    </w:p>
    <w:p w14:paraId="63820A07" w14:textId="77777777" w:rsidR="000048DD" w:rsidRDefault="002B39B7">
      <w:pPr>
        <w:spacing w:before="120" w:after="120"/>
      </w:pPr>
      <w:r>
        <w:rPr>
          <w:rFonts w:eastAsia="Arial"/>
          <w:b/>
          <w:color w:val="000000"/>
          <w:sz w:val="30"/>
        </w:rPr>
        <w:t>Contents</w:t>
      </w:r>
    </w:p>
    <w:p w14:paraId="7B437FC4" w14:textId="13ADD3C1" w:rsidR="00EB36EF" w:rsidRDefault="002B39B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>
        <w:rPr>
          <w:color w:val="000000"/>
        </w:rPr>
        <w:fldChar w:fldCharType="separate"/>
      </w:r>
      <w:hyperlink w:anchor="_Toc242216909" w:history="1">
        <w:r w:rsidR="00EB36EF" w:rsidRPr="00A878B4">
          <w:rPr>
            <w:rStyle w:val="aff9"/>
            <w:rFonts w:eastAsia="Arial"/>
            <w:noProof/>
          </w:rPr>
          <w:t>1. Research question</w:t>
        </w:r>
        <w:r w:rsidR="00EB36EF">
          <w:rPr>
            <w:rFonts w:hint="eastAsia"/>
            <w:noProof/>
            <w:webHidden/>
          </w:rPr>
          <w:tab/>
        </w:r>
        <w:r w:rsidR="00EB36EF">
          <w:rPr>
            <w:rFonts w:hint="eastAsia"/>
            <w:noProof/>
            <w:webHidden/>
          </w:rPr>
          <w:fldChar w:fldCharType="begin"/>
        </w:r>
        <w:r w:rsidR="00EB36EF">
          <w:rPr>
            <w:rFonts w:hint="eastAsia"/>
            <w:noProof/>
            <w:webHidden/>
          </w:rPr>
          <w:instrText xml:space="preserve"> </w:instrText>
        </w:r>
        <w:r w:rsidR="00EB36EF">
          <w:rPr>
            <w:noProof/>
            <w:webHidden/>
          </w:rPr>
          <w:instrText>PAGEREF _Toc242216909 \h</w:instrText>
        </w:r>
        <w:r w:rsidR="00EB36EF">
          <w:rPr>
            <w:rFonts w:hint="eastAsia"/>
            <w:noProof/>
            <w:webHidden/>
          </w:rPr>
          <w:instrText xml:space="preserve"> </w:instrText>
        </w:r>
        <w:r w:rsidR="00EB36EF">
          <w:rPr>
            <w:rFonts w:hint="eastAsia"/>
            <w:noProof/>
            <w:webHidden/>
          </w:rPr>
        </w:r>
        <w:r w:rsidR="00EB36EF">
          <w:rPr>
            <w:rFonts w:hint="eastAsia"/>
            <w:noProof/>
            <w:webHidden/>
          </w:rPr>
          <w:fldChar w:fldCharType="separate"/>
        </w:r>
        <w:r w:rsidR="00EB36EF">
          <w:rPr>
            <w:noProof/>
            <w:webHidden/>
          </w:rPr>
          <w:t>1</w:t>
        </w:r>
        <w:r w:rsidR="00EB36EF">
          <w:rPr>
            <w:rFonts w:hint="eastAsia"/>
            <w:noProof/>
            <w:webHidden/>
          </w:rPr>
          <w:fldChar w:fldCharType="end"/>
        </w:r>
      </w:hyperlink>
    </w:p>
    <w:p w14:paraId="67897477" w14:textId="5B0CCCD0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0" w:history="1">
        <w:r w:rsidRPr="00A878B4">
          <w:rPr>
            <w:rStyle w:val="aff9"/>
            <w:rFonts w:eastAsia="Arial"/>
            <w:noProof/>
          </w:rPr>
          <w:t>2. Deliverables required by the course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5F996" w14:textId="279CD14A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1" w:history="1">
        <w:r w:rsidRPr="00A878B4">
          <w:rPr>
            <w:rStyle w:val="aff9"/>
            <w:rFonts w:eastAsia="Arial"/>
            <w:noProof/>
          </w:rPr>
          <w:t>3. Data sources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4A8BC" w14:textId="4C305EAF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2" w:history="1">
        <w:r w:rsidRPr="00A878B4">
          <w:rPr>
            <w:rStyle w:val="aff9"/>
            <w:rFonts w:eastAsia="Arial"/>
            <w:noProof/>
          </w:rPr>
          <w:t>4. Event sample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A2BCF" w14:textId="71A26518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3" w:history="1">
        <w:r w:rsidRPr="00A878B4">
          <w:rPr>
            <w:rStyle w:val="aff9"/>
            <w:rFonts w:eastAsia="Arial"/>
            <w:noProof/>
          </w:rPr>
          <w:t>5. Authority variables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F732C" w14:textId="5EF67330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4" w:history="1">
        <w:r w:rsidRPr="00A878B4">
          <w:rPr>
            <w:rStyle w:val="aff9"/>
            <w:rFonts w:eastAsia="Arial"/>
            <w:noProof/>
          </w:rPr>
          <w:t>6. Empirical design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24A0F" w14:textId="3AF87900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5" w:history="1">
        <w:r w:rsidRPr="00A878B4">
          <w:rPr>
            <w:rStyle w:val="aff9"/>
            <w:rFonts w:eastAsia="Arial"/>
            <w:noProof/>
          </w:rPr>
          <w:t>7. China-specific issues the design must address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FEAA7" w14:textId="5A467920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6" w:history="1">
        <w:r w:rsidRPr="00A878B4">
          <w:rPr>
            <w:rStyle w:val="aff9"/>
            <w:rFonts w:eastAsia="Arial"/>
            <w:noProof/>
          </w:rPr>
          <w:t>8. Robustness plan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9F445" w14:textId="3EEED60F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7" w:history="1">
        <w:r w:rsidRPr="00A878B4">
          <w:rPr>
            <w:rStyle w:val="aff9"/>
            <w:rFonts w:eastAsia="Arial"/>
            <w:noProof/>
          </w:rPr>
          <w:t>9. Division of labour (2 people)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CA841" w14:textId="12A61C63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8" w:history="1">
        <w:r w:rsidRPr="00A878B4">
          <w:rPr>
            <w:rStyle w:val="aff9"/>
            <w:rFonts w:eastAsia="Arial"/>
            <w:noProof/>
          </w:rPr>
          <w:t>10. Timeline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F6709" w14:textId="3918D8DB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19" w:history="1">
        <w:r w:rsidRPr="00A878B4">
          <w:rPr>
            <w:rStyle w:val="aff9"/>
            <w:rFonts w:eastAsia="Arial"/>
            <w:noProof/>
          </w:rPr>
          <w:t>11. Slide outline (maximum 15)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07832" w14:textId="164E0EE2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20" w:history="1">
        <w:r w:rsidRPr="00A878B4">
          <w:rPr>
            <w:rStyle w:val="aff9"/>
            <w:rFonts w:eastAsia="Arial"/>
            <w:noProof/>
          </w:rPr>
          <w:t>12. Anticipated questions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FEB49" w14:textId="7DCA810D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21" w:history="1">
        <w:r w:rsidRPr="00A878B4">
          <w:rPr>
            <w:rStyle w:val="aff9"/>
            <w:rFonts w:eastAsia="Arial"/>
            <w:noProof/>
          </w:rPr>
          <w:t>13. 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21E92" w14:textId="298D6274" w:rsidR="00EB36EF" w:rsidRDefault="00EB36EF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216922" w:history="1">
        <w:r w:rsidRPr="00A878B4">
          <w:rPr>
            <w:rStyle w:val="aff9"/>
            <w:rFonts w:eastAsia="Arial"/>
            <w:noProof/>
          </w:rPr>
          <w:t>14. Known limitations to disclose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_Toc242216922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78BAF" w14:textId="7EDB92B7" w:rsidR="000048DD" w:rsidRDefault="002B39B7">
      <w:r>
        <w:rPr>
          <w:color w:val="000000"/>
        </w:rPr>
        <w:fldChar w:fldCharType="end"/>
      </w:r>
    </w:p>
    <w:p w14:paraId="18466396" w14:textId="77777777" w:rsidR="000048DD" w:rsidRDefault="002B39B7">
      <w:pPr>
        <w:pStyle w:val="1"/>
        <w:spacing w:before="280" w:after="120"/>
      </w:pPr>
      <w:bookmarkStart w:id="0" w:name="_Toc242216909"/>
      <w:r>
        <w:rPr>
          <w:rFonts w:ascii="Times New Roman" w:eastAsia="Arial" w:hAnsi="Times New Roman"/>
          <w:color w:val="000000"/>
          <w:sz w:val="30"/>
        </w:rPr>
        <w:t>1. Research question</w:t>
      </w:r>
      <w:bookmarkEnd w:id="0"/>
    </w:p>
    <w:p w14:paraId="5F672F02" w14:textId="77777777" w:rsidR="000048DD" w:rsidRDefault="002B39B7">
      <w:r>
        <w:rPr>
          <w:color w:val="000000"/>
        </w:rPr>
        <w:t>Milgram's obedience experiments show that people comply with authority even against</w:t>
      </w:r>
    </w:p>
    <w:p w14:paraId="14833E70" w14:textId="77777777" w:rsidR="000048DD" w:rsidRDefault="002B39B7">
      <w:r>
        <w:rPr>
          <w:color w:val="000000"/>
        </w:rPr>
        <w:t>their own judgement. This project measures the market footprint of authority rather</w:t>
      </w:r>
    </w:p>
    <w:p w14:paraId="09FF18F2" w14:textId="77777777" w:rsidR="000048DD" w:rsidRDefault="002B39B7">
      <w:r>
        <w:rPr>
          <w:color w:val="000000"/>
        </w:rPr>
        <w:t>than surveying investors: how do prices, volume and subsequent returns respond to</w:t>
      </w:r>
    </w:p>
    <w:p w14:paraId="1A6CAF9E" w14:textId="77777777" w:rsidR="000048DD" w:rsidRDefault="002B39B7">
      <w:r>
        <w:rPr>
          <w:color w:val="000000"/>
        </w:rPr>
        <w:lastRenderedPageBreak/>
        <w:t xml:space="preserve">recommendation changes made by </w:t>
      </w:r>
      <w:r>
        <w:rPr>
          <w:b/>
          <w:color w:val="000000"/>
        </w:rPr>
        <w:t>star</w:t>
      </w:r>
      <w:r>
        <w:rPr>
          <w:color w:val="000000"/>
        </w:rPr>
        <w:t xml:space="preserve"> (high-authority) versus ordinary analysts?</w:t>
      </w:r>
    </w:p>
    <w:p w14:paraId="569A009C" w14:textId="77777777" w:rsidR="000048DD" w:rsidRDefault="002B39B7">
      <w:r>
        <w:rPr>
          <w:color w:val="000000"/>
        </w:rPr>
        <w:t>The assignment poses four questions that must each be answered:</w:t>
      </w:r>
    </w:p>
    <w:p w14:paraId="6D16540F" w14:textId="77777777" w:rsidR="000048DD" w:rsidRDefault="002B39B7">
      <w:pPr>
        <w:spacing w:after="80"/>
        <w:ind w:left="425" w:hanging="425"/>
      </w:pPr>
      <w:r>
        <w:rPr>
          <w:color w:val="000000"/>
        </w:rPr>
        <w:t>1. Do rating changes by star analysts produce larger announcement returns and abnormal volume?</w:t>
      </w:r>
    </w:p>
    <w:p w14:paraId="0CA3B92A" w14:textId="77777777" w:rsidR="000048DD" w:rsidRDefault="002B39B7">
      <w:pPr>
        <w:spacing w:after="80"/>
        <w:ind w:left="425" w:hanging="425"/>
      </w:pPr>
      <w:r>
        <w:rPr>
          <w:color w:val="000000"/>
        </w:rPr>
        <w:t>2. Do investors over-follow authority, i.e. is there drift or reversal after star recommendations?</w:t>
      </w:r>
    </w:p>
    <w:p w14:paraId="00034186" w14:textId="77777777" w:rsidR="000048DD" w:rsidRDefault="002B39B7">
      <w:pPr>
        <w:spacing w:after="80"/>
        <w:ind w:left="425" w:hanging="425"/>
      </w:pPr>
      <w:r>
        <w:rPr>
          <w:color w:val="000000"/>
        </w:rPr>
        <w:t>3. Are star analysts actually more accurate ex post, or merely more influential?</w:t>
      </w:r>
    </w:p>
    <w:p w14:paraId="17F56D2D" w14:textId="77777777" w:rsidR="000048DD" w:rsidRDefault="002B39B7">
      <w:pPr>
        <w:spacing w:after="80"/>
        <w:ind w:left="425" w:hanging="425"/>
      </w:pPr>
      <w:r>
        <w:rPr>
          <w:color w:val="000000"/>
        </w:rPr>
        <w:t>4. Does the authority premium differ between upgrades and downgrades, and across brokerage tiers?</w:t>
      </w:r>
    </w:p>
    <w:p w14:paraId="3D6A135E" w14:textId="77777777" w:rsidR="000048DD" w:rsidRDefault="002B39B7">
      <w:r>
        <w:rPr>
          <w:color w:val="000000"/>
        </w:rPr>
        <w:t xml:space="preserve">Question 3 is the hinge: it puts the </w:t>
      </w:r>
      <w:r>
        <w:rPr>
          <w:b/>
          <w:color w:val="000000"/>
        </w:rPr>
        <w:t>information hypothesis</w:t>
      </w:r>
      <w:r>
        <w:rPr>
          <w:color w:val="000000"/>
        </w:rPr>
        <w:t xml:space="preserve"> and the **influence</w:t>
      </w:r>
    </w:p>
    <w:p w14:paraId="2975D168" w14:textId="77777777" w:rsidR="000048DD" w:rsidRDefault="002B39B7">
      <w:r>
        <w:rPr>
          <w:color w:val="000000"/>
        </w:rPr>
        <w:t>hypothesis** side by side, so descriptive statistics alone cannot settle it.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048DD" w14:paraId="4D00195C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27EF5342" w14:textId="77777777" w:rsidR="000048DD" w:rsidRDefault="000048DD">
            <w:pPr>
              <w:spacing w:after="40" w:line="276" w:lineRule="auto"/>
            </w:pPr>
          </w:p>
        </w:tc>
        <w:tc>
          <w:tcPr>
            <w:tcW w:w="3137" w:type="dxa"/>
            <w:shd w:val="clear" w:color="auto" w:fill="F2F2F2"/>
          </w:tcPr>
          <w:p w14:paraId="2359C19A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Information / ability</w:t>
            </w:r>
          </w:p>
        </w:tc>
        <w:tc>
          <w:tcPr>
            <w:tcW w:w="3137" w:type="dxa"/>
            <w:shd w:val="clear" w:color="auto" w:fill="F2F2F2"/>
          </w:tcPr>
          <w:p w14:paraId="4564F461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Authority / influence</w:t>
            </w:r>
          </w:p>
        </w:tc>
      </w:tr>
      <w:tr w:rsidR="000048DD" w14:paraId="1E006810" w14:textId="77777777">
        <w:trPr>
          <w:cantSplit/>
          <w:jc w:val="center"/>
        </w:trPr>
        <w:tc>
          <w:tcPr>
            <w:tcW w:w="3137" w:type="dxa"/>
          </w:tcPr>
          <w:p w14:paraId="17D9BC62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Source of authority</w:t>
            </w:r>
          </w:p>
        </w:tc>
        <w:tc>
          <w:tcPr>
            <w:tcW w:w="3137" w:type="dxa"/>
          </w:tcPr>
          <w:p w14:paraId="171CCCE7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better access, better skill</w:t>
            </w:r>
          </w:p>
        </w:tc>
        <w:tc>
          <w:tcPr>
            <w:tcW w:w="3137" w:type="dxa"/>
          </w:tcPr>
          <w:p w14:paraId="46ED7077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status itself commands compliance</w:t>
            </w:r>
          </w:p>
        </w:tc>
      </w:tr>
      <w:tr w:rsidR="000048DD" w14:paraId="7B871EAB" w14:textId="77777777">
        <w:trPr>
          <w:cantSplit/>
          <w:jc w:val="center"/>
        </w:trPr>
        <w:tc>
          <w:tcPr>
            <w:tcW w:w="3137" w:type="dxa"/>
          </w:tcPr>
          <w:p w14:paraId="10A4F7B2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Announcement reaction</w:t>
            </w:r>
          </w:p>
        </w:tc>
        <w:tc>
          <w:tcPr>
            <w:tcW w:w="3137" w:type="dxa"/>
          </w:tcPr>
          <w:p w14:paraId="23BF1EE3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larger, because the news is real</w:t>
            </w:r>
          </w:p>
        </w:tc>
        <w:tc>
          <w:tcPr>
            <w:tcW w:w="3137" w:type="dxa"/>
          </w:tcPr>
          <w:p w14:paraId="7610BF48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larger, because investors follow blindly</w:t>
            </w:r>
          </w:p>
        </w:tc>
      </w:tr>
      <w:tr w:rsidR="000048DD" w14:paraId="34DE3094" w14:textId="77777777">
        <w:trPr>
          <w:cantSplit/>
          <w:jc w:val="center"/>
        </w:trPr>
        <w:tc>
          <w:tcPr>
            <w:tcW w:w="3137" w:type="dxa"/>
          </w:tcPr>
          <w:p w14:paraId="09B08D85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Returns 6-12 months after</w:t>
            </w:r>
          </w:p>
        </w:tc>
        <w:tc>
          <w:tcPr>
            <w:tcW w:w="3137" w:type="dxa"/>
          </w:tcPr>
          <w:p w14:paraId="5531E37C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continue in the recommended direction</w:t>
            </w:r>
          </w:p>
        </w:tc>
        <w:tc>
          <w:tcPr>
            <w:tcW w:w="3137" w:type="dxa"/>
          </w:tcPr>
          <w:p w14:paraId="75F0E06A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reverse</w:t>
            </w:r>
          </w:p>
        </w:tc>
      </w:tr>
      <w:tr w:rsidR="000048DD" w14:paraId="37A0B831" w14:textId="77777777">
        <w:trPr>
          <w:cantSplit/>
          <w:jc w:val="center"/>
        </w:trPr>
        <w:tc>
          <w:tcPr>
            <w:tcW w:w="3137" w:type="dxa"/>
          </w:tcPr>
          <w:p w14:paraId="4AFA7129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Ex post accuracy</w:t>
            </w:r>
          </w:p>
        </w:tc>
        <w:tc>
          <w:tcPr>
            <w:tcW w:w="3137" w:type="dxa"/>
          </w:tcPr>
          <w:p w14:paraId="04D4121B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stars are better</w:t>
            </w:r>
          </w:p>
        </w:tc>
        <w:tc>
          <w:tcPr>
            <w:tcW w:w="3137" w:type="dxa"/>
          </w:tcPr>
          <w:p w14:paraId="56C751FA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no difference</w:t>
            </w:r>
          </w:p>
        </w:tc>
      </w:tr>
    </w:tbl>
    <w:p w14:paraId="2BC6F782" w14:textId="77777777" w:rsidR="000048DD" w:rsidRDefault="000048DD">
      <w:pPr>
        <w:spacing w:after="0"/>
      </w:pPr>
    </w:p>
    <w:p w14:paraId="0B12098D" w14:textId="77777777" w:rsidR="000048DD" w:rsidRDefault="002B39B7">
      <w:pPr>
        <w:pStyle w:val="1"/>
        <w:spacing w:before="280" w:after="120"/>
      </w:pPr>
      <w:bookmarkStart w:id="1" w:name="_Toc242216910"/>
      <w:r>
        <w:rPr>
          <w:rFonts w:ascii="Times New Roman" w:eastAsia="Arial" w:hAnsi="Times New Roman"/>
          <w:color w:val="000000"/>
          <w:sz w:val="30"/>
        </w:rPr>
        <w:t>2. Deliverables required by the course</w:t>
      </w:r>
      <w:bookmarkEnd w:id="1"/>
    </w:p>
    <w:p w14:paraId="4E051919" w14:textId="77777777" w:rsidR="000048DD" w:rsidRDefault="002B39B7">
      <w:r>
        <w:rPr>
          <w:color w:val="000000"/>
        </w:rPr>
        <w:t>Presentation slides (PDF), raw data files, reproducible analysis code, at least one</w:t>
      </w:r>
    </w:p>
    <w:p w14:paraId="34A0BABC" w14:textId="77777777" w:rsidR="000048DD" w:rsidRDefault="002B39B7">
      <w:r>
        <w:rPr>
          <w:color w:val="000000"/>
        </w:rPr>
        <w:t>original visualization, a one-page data provenance statement, and at least three</w:t>
      </w:r>
    </w:p>
    <w:p w14:paraId="1528924B" w14:textId="77777777" w:rsidR="000048DD" w:rsidRDefault="002B39B7">
      <w:r>
        <w:rPr>
          <w:color w:val="000000"/>
        </w:rPr>
        <w:t>academic papers or news items not on the syllabus. The TA audits the raw data and</w:t>
      </w:r>
    </w:p>
    <w:p w14:paraId="50811279" w14:textId="77777777" w:rsidR="000048DD" w:rsidRDefault="002B39B7">
      <w:r>
        <w:rPr>
          <w:color w:val="000000"/>
        </w:rPr>
        <w:t>the code. Everything for the course is produced in English.</w:t>
      </w:r>
    </w:p>
    <w:p w14:paraId="02AE93E3" w14:textId="77777777" w:rsidR="000048DD" w:rsidRDefault="002B39B7">
      <w:pPr>
        <w:pStyle w:val="1"/>
        <w:spacing w:before="280" w:after="120"/>
      </w:pPr>
      <w:bookmarkStart w:id="2" w:name="_Toc242216911"/>
      <w:r>
        <w:rPr>
          <w:rFonts w:ascii="Times New Roman" w:eastAsia="Arial" w:hAnsi="Times New Roman"/>
          <w:color w:val="000000"/>
          <w:sz w:val="30"/>
        </w:rPr>
        <w:t>3. Data sources</w:t>
      </w:r>
      <w:bookmarkEnd w:id="2"/>
    </w:p>
    <w:p w14:paraId="7E6C1C77" w14:textId="77777777" w:rsidR="000048DD" w:rsidRDefault="002B39B7">
      <w:r>
        <w:rPr>
          <w:b/>
          <w:color w:val="000000"/>
        </w:rPr>
        <w:t>Primary source: iFinD (</w:t>
      </w:r>
      <w:r>
        <w:rPr>
          <w:b/>
          <w:color w:val="000000"/>
        </w:rPr>
        <w:t>同花顺</w:t>
      </w:r>
      <w:r>
        <w:rPr>
          <w:b/>
          <w:color w:val="000000"/>
        </w:rPr>
        <w:t>).</w:t>
      </w:r>
      <w:r>
        <w:rPr>
          <w:color w:val="000000"/>
        </w:rPr>
        <w:t xml:space="preserve"> All analyst data and market data are pulled through</w:t>
      </w:r>
    </w:p>
    <w:p w14:paraId="148CF97F" w14:textId="77777777" w:rsidR="000048DD" w:rsidRDefault="002B39B7">
      <w:r>
        <w:rPr>
          <w:color w:val="000000"/>
        </w:rPr>
        <w:t>the natural-language query interface (</w:t>
      </w:r>
      <w:r>
        <w:rPr>
          <w:rFonts w:ascii="Consolas" w:hAnsi="Consolas"/>
          <w:color w:val="000000"/>
          <w:sz w:val="22"/>
        </w:rPr>
        <w:t>THS_iwencai</w:t>
      </w:r>
      <w:r>
        <w:rPr>
          <w:color w:val="000000"/>
        </w:rPr>
        <w:t>, the "</w:t>
      </w:r>
      <w:r>
        <w:rPr>
          <w:color w:val="000000"/>
        </w:rPr>
        <w:t>问财</w:t>
      </w:r>
      <w:r>
        <w:rPr>
          <w:color w:val="000000"/>
        </w:rPr>
        <w:t xml:space="preserve">" endpoint of </w:t>
      </w:r>
      <w:r>
        <w:rPr>
          <w:rFonts w:ascii="Consolas" w:hAnsi="Consolas"/>
          <w:color w:val="000000"/>
          <w:sz w:val="22"/>
        </w:rPr>
        <w:t>iFinDPy</w:t>
      </w:r>
      <w:r>
        <w:rPr>
          <w:color w:val="000000"/>
        </w:rPr>
        <w:t>).</w:t>
      </w:r>
    </w:p>
    <w:p w14:paraId="7F4C35B4" w14:textId="77777777" w:rsidR="000048DD" w:rsidRDefault="002B39B7">
      <w:pPr>
        <w:pStyle w:val="a0"/>
        <w:spacing w:after="60"/>
      </w:pPr>
      <w:r>
        <w:rPr>
          <w:color w:val="000000"/>
        </w:rPr>
        <w:t xml:space="preserve">The iFinD terminal must be running and logged in; the API returns error </w:t>
      </w:r>
      <w:r>
        <w:rPr>
          <w:rFonts w:ascii="Consolas" w:hAnsi="Consolas"/>
          <w:color w:val="000000"/>
          <w:sz w:val="22"/>
        </w:rPr>
        <w:t>-208</w:t>
      </w:r>
    </w:p>
    <w:p w14:paraId="29B53FEA" w14:textId="77777777" w:rsidR="000048DD" w:rsidRDefault="002B39B7">
      <w:r>
        <w:rPr>
          <w:color w:val="000000"/>
        </w:rPr>
        <w:t>otherwise. An open terminal alone is not enough.</w:t>
      </w:r>
    </w:p>
    <w:p w14:paraId="2961C1DC" w14:textId="77777777" w:rsidR="000048DD" w:rsidRDefault="002B39B7">
      <w:pPr>
        <w:pStyle w:val="a0"/>
        <w:spacing w:after="60"/>
      </w:pPr>
      <w:r>
        <w:rPr>
          <w:b/>
          <w:color w:val="000000"/>
        </w:rPr>
        <w:t>CSMAR and Wind are not used.</w:t>
      </w:r>
      <w:r>
        <w:rPr>
          <w:color w:val="000000"/>
        </w:rPr>
        <w:t xml:space="preserve"> On this campus they are available only on the</w:t>
      </w:r>
    </w:p>
    <w:p w14:paraId="2656E433" w14:textId="77777777" w:rsidR="000048DD" w:rsidRDefault="002B39B7">
      <w:r>
        <w:rPr>
          <w:color w:val="000000"/>
        </w:rPr>
        <w:t>TA209 lab machines, with no personal account, no remote access and no API.</w:t>
      </w:r>
    </w:p>
    <w:p w14:paraId="6E7D32BE" w14:textId="77777777" w:rsidR="000048DD" w:rsidRDefault="002B39B7">
      <w:pPr>
        <w:pStyle w:val="a0"/>
        <w:spacing w:after="60"/>
      </w:pPr>
      <w:r>
        <w:rPr>
          <w:b/>
          <w:color w:val="000000"/>
        </w:rPr>
        <w:t>WRDS is not used.</w:t>
      </w:r>
      <w:r>
        <w:rPr>
          <w:color w:val="000000"/>
        </w:rPr>
        <w:t xml:space="preserve"> Its CRSP / Compustat / I-B-E-S holdings are US-market data and</w:t>
      </w:r>
    </w:p>
    <w:p w14:paraId="5410A865" w14:textId="77777777" w:rsidR="000048DD" w:rsidRDefault="002B39B7">
      <w:r>
        <w:rPr>
          <w:color w:val="000000"/>
        </w:rPr>
        <w:t>contain no Chinese star-ranking information. Making the project a US study would</w:t>
      </w:r>
    </w:p>
    <w:p w14:paraId="1E1910D2" w14:textId="77777777" w:rsidR="000048DD" w:rsidRDefault="002B39B7">
      <w:r>
        <w:rPr>
          <w:color w:val="000000"/>
        </w:rPr>
        <w:lastRenderedPageBreak/>
        <w:t>mean giving up the China-specific contribution.</w:t>
      </w:r>
    </w:p>
    <w:p w14:paraId="42A711DE" w14:textId="77777777" w:rsidR="000048DD" w:rsidRDefault="002B39B7">
      <w:r>
        <w:rPr>
          <w:color w:val="000000"/>
        </w:rPr>
        <w:t>Analyst rating detail was retrieved for 2018-2024 with the following fields:</w:t>
      </w:r>
    </w:p>
    <w:p w14:paraId="1E6559BA" w14:textId="77777777" w:rsidR="000048DD" w:rsidRDefault="002B39B7">
      <w:r>
        <w:rPr>
          <w:color w:val="000000"/>
        </w:rPr>
        <w:t>`</w:t>
      </w:r>
      <w:r>
        <w:rPr>
          <w:color w:val="000000"/>
        </w:rPr>
        <w:t>股票代码</w:t>
      </w:r>
      <w:r>
        <w:rPr>
          <w:color w:val="000000"/>
        </w:rPr>
        <w:t xml:space="preserve">, </w:t>
      </w:r>
      <w:r>
        <w:rPr>
          <w:color w:val="000000"/>
        </w:rPr>
        <w:t>股票简称</w:t>
      </w:r>
      <w:r>
        <w:rPr>
          <w:color w:val="000000"/>
        </w:rPr>
        <w:t xml:space="preserve">, </w:t>
      </w:r>
      <w:r>
        <w:rPr>
          <w:color w:val="000000"/>
        </w:rPr>
        <w:t>最新报告日期</w:t>
      </w:r>
      <w:r>
        <w:rPr>
          <w:color w:val="000000"/>
        </w:rPr>
        <w:t xml:space="preserve">, </w:t>
      </w:r>
      <w:r>
        <w:rPr>
          <w:color w:val="000000"/>
        </w:rPr>
        <w:t>最新研究机构原始评级</w:t>
      </w:r>
      <w:r>
        <w:rPr>
          <w:color w:val="000000"/>
        </w:rPr>
        <w:t xml:space="preserve">, </w:t>
      </w:r>
      <w:r>
        <w:rPr>
          <w:color w:val="000000"/>
        </w:rPr>
        <w:t>最新同花顺评级</w:t>
      </w:r>
      <w:r>
        <w:rPr>
          <w:color w:val="000000"/>
        </w:rPr>
        <w:t>,</w:t>
      </w:r>
    </w:p>
    <w:p w14:paraId="312FF383" w14:textId="77777777" w:rsidR="000048DD" w:rsidRDefault="002B39B7">
      <w:r>
        <w:rPr>
          <w:color w:val="000000"/>
        </w:rPr>
        <w:t>上次同花顺评级</w:t>
      </w:r>
      <w:r>
        <w:rPr>
          <w:color w:val="000000"/>
        </w:rPr>
        <w:t xml:space="preserve">, </w:t>
      </w:r>
      <w:r>
        <w:rPr>
          <w:color w:val="000000"/>
        </w:rPr>
        <w:t>评级调整方向</w:t>
      </w:r>
      <w:r>
        <w:rPr>
          <w:color w:val="000000"/>
        </w:rPr>
        <w:t xml:space="preserve">, </w:t>
      </w:r>
      <w:r>
        <w:rPr>
          <w:color w:val="000000"/>
        </w:rPr>
        <w:t>研报目标价</w:t>
      </w:r>
      <w:r>
        <w:rPr>
          <w:color w:val="000000"/>
        </w:rPr>
        <w:t xml:space="preserve">, </w:t>
      </w:r>
      <w:r>
        <w:rPr>
          <w:color w:val="000000"/>
        </w:rPr>
        <w:t>研究机构简称</w:t>
      </w:r>
      <w:r>
        <w:rPr>
          <w:color w:val="000000"/>
        </w:rPr>
        <w:t xml:space="preserve">, </w:t>
      </w:r>
      <w:r>
        <w:rPr>
          <w:color w:val="000000"/>
        </w:rPr>
        <w:t>研究机构名称</w:t>
      </w:r>
      <w:r>
        <w:rPr>
          <w:color w:val="000000"/>
        </w:rPr>
        <w:t xml:space="preserve">, </w:t>
      </w:r>
      <w:r>
        <w:rPr>
          <w:color w:val="000000"/>
        </w:rPr>
        <w:t>研究员姓名</w:t>
      </w:r>
      <w:r>
        <w:rPr>
          <w:color w:val="000000"/>
        </w:rPr>
        <w:t>,</w:t>
      </w:r>
    </w:p>
    <w:p w14:paraId="179DB23F" w14:textId="77777777" w:rsidR="000048DD" w:rsidRDefault="002B39B7">
      <w:r>
        <w:rPr>
          <w:color w:val="000000"/>
        </w:rPr>
        <w:t>研报标题</w:t>
      </w:r>
      <w:r>
        <w:rPr>
          <w:color w:val="000000"/>
        </w:rPr>
        <w:t xml:space="preserve">, </w:t>
      </w:r>
      <w:r>
        <w:rPr>
          <w:color w:val="000000"/>
        </w:rPr>
        <w:t>研报标题链接</w:t>
      </w:r>
      <w:r>
        <w:rPr>
          <w:rFonts w:ascii="Consolas" w:hAnsi="Consolas"/>
          <w:color w:val="000000"/>
          <w:sz w:val="22"/>
        </w:rPr>
        <w:t xml:space="preserve">. The last two names are misleading: </w:t>
      </w:r>
      <w:r>
        <w:rPr>
          <w:color w:val="000000"/>
        </w:rPr>
        <w:t>研报标题</w:t>
      </w:r>
      <w:r>
        <w:rPr>
          <w:color w:val="000000"/>
        </w:rPr>
        <w:t>` holds a serialised</w:t>
      </w:r>
    </w:p>
    <w:p w14:paraId="17CBE392" w14:textId="77777777" w:rsidR="000048DD" w:rsidRDefault="002B39B7">
      <w:r>
        <w:rPr>
          <w:color w:val="000000"/>
        </w:rPr>
        <w:t xml:space="preserve">report object that carries the PDF URL and the publish timestamp, while </w:t>
      </w:r>
      <w:r>
        <w:rPr>
          <w:rFonts w:ascii="Consolas" w:hAnsi="Consolas"/>
          <w:color w:val="000000"/>
          <w:sz w:val="22"/>
        </w:rPr>
        <w:t>研报标题链接</w:t>
      </w:r>
    </w:p>
    <w:p w14:paraId="03E612DD" w14:textId="77777777" w:rsidR="000048DD" w:rsidRDefault="002B39B7">
      <w:r>
        <w:rPr>
          <w:color w:val="000000"/>
        </w:rPr>
        <w:t xml:space="preserve">holds the title text. </w:t>
      </w:r>
      <w:r>
        <w:rPr>
          <w:rFonts w:ascii="Consolas" w:hAnsi="Consolas"/>
          <w:color w:val="000000"/>
          <w:sz w:val="22"/>
        </w:rPr>
        <w:t>data_dictionary.md</w:t>
      </w:r>
      <w:r>
        <w:rPr>
          <w:color w:val="000000"/>
        </w:rPr>
        <w:t xml:space="preserve"> records this. iFinD already standardises the</w:t>
      </w:r>
    </w:p>
    <w:p w14:paraId="2C6E4BF4" w14:textId="77777777" w:rsidR="000048DD" w:rsidRDefault="002B39B7">
      <w:r>
        <w:rPr>
          <w:color w:val="000000"/>
        </w:rPr>
        <w:t>rating scale, so no broker-by-broker manual mapping is needed.</w:t>
      </w:r>
    </w:p>
    <w:p w14:paraId="1E6494CD" w14:textId="77777777" w:rsidR="000048DD" w:rsidRDefault="002B39B7">
      <w:pPr>
        <w:pStyle w:val="1"/>
        <w:spacing w:before="280" w:after="120"/>
      </w:pPr>
      <w:bookmarkStart w:id="3" w:name="_Toc242216912"/>
      <w:r>
        <w:rPr>
          <w:rFonts w:ascii="Times New Roman" w:eastAsia="Arial" w:hAnsi="Times New Roman"/>
          <w:color w:val="000000"/>
          <w:sz w:val="30"/>
        </w:rPr>
        <w:t>4. Event sample</w:t>
      </w:r>
      <w:bookmarkEnd w:id="3"/>
    </w:p>
    <w:p w14:paraId="13AD490D" w14:textId="77777777" w:rsidR="000048DD" w:rsidRDefault="002B39B7">
      <w:r>
        <w:rPr>
          <w:color w:val="000000"/>
        </w:rPr>
        <w:t xml:space="preserve">Unit of observation: one </w:t>
      </w:r>
      <w:r>
        <w:rPr>
          <w:b/>
          <w:color w:val="000000"/>
        </w:rPr>
        <w:t>rating revision</w:t>
      </w:r>
      <w:r>
        <w:rPr>
          <w:color w:val="000000"/>
        </w:rPr>
        <w:t>, i.e. a rating change by the same analyst</w:t>
      </w:r>
    </w:p>
    <w:p w14:paraId="79D8439F" w14:textId="77777777" w:rsidR="000048DD" w:rsidRDefault="002B39B7">
      <w:r>
        <w:rPr>
          <w:color w:val="000000"/>
        </w:rPr>
        <w:t xml:space="preserve">for the same stock. </w:t>
      </w:r>
      <w:r>
        <w:rPr>
          <w:rFonts w:ascii="Consolas" w:hAnsi="Consolas"/>
          <w:color w:val="000000"/>
          <w:sz w:val="22"/>
        </w:rPr>
        <w:t>评级调整方向</w:t>
      </w:r>
      <w:r>
        <w:rPr>
          <w:color w:val="000000"/>
        </w:rPr>
        <w:t xml:space="preserve"> takes </w:t>
      </w:r>
      <w:r>
        <w:rPr>
          <w:rFonts w:ascii="Consolas" w:hAnsi="Consolas"/>
          <w:color w:val="000000"/>
          <w:sz w:val="22"/>
        </w:rPr>
        <w:t>调高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2"/>
        </w:rPr>
        <w:t>调低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2"/>
        </w:rPr>
        <w:t>维持</w:t>
      </w:r>
      <w:r>
        <w:rPr>
          <w:color w:val="000000"/>
        </w:rPr>
        <w:t>; only the first two</w:t>
      </w:r>
    </w:p>
    <w:p w14:paraId="78A72B09" w14:textId="77777777" w:rsidR="000048DD" w:rsidRDefault="002B39B7">
      <w:r>
        <w:rPr>
          <w:color w:val="000000"/>
        </w:rPr>
        <w:t>are events. The report date, not the database entry date, defines the event day.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048DD" w14:paraId="5A5F049C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02AF746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Step</w:t>
            </w:r>
          </w:p>
        </w:tc>
        <w:tc>
          <w:tcPr>
            <w:tcW w:w="3137" w:type="dxa"/>
            <w:shd w:val="clear" w:color="auto" w:fill="F2F2F2"/>
          </w:tcPr>
          <w:p w14:paraId="4B5D0DC6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Rows</w:t>
            </w:r>
          </w:p>
        </w:tc>
        <w:tc>
          <w:tcPr>
            <w:tcW w:w="3137" w:type="dxa"/>
            <w:shd w:val="clear" w:color="auto" w:fill="F2F2F2"/>
          </w:tcPr>
          <w:p w14:paraId="4BE63A7F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Removed</w:t>
            </w:r>
          </w:p>
        </w:tc>
      </w:tr>
      <w:tr w:rsidR="000048DD" w14:paraId="47BDD7DE" w14:textId="77777777">
        <w:trPr>
          <w:cantSplit/>
          <w:jc w:val="center"/>
        </w:trPr>
        <w:tc>
          <w:tcPr>
            <w:tcW w:w="3137" w:type="dxa"/>
          </w:tcPr>
          <w:p w14:paraId="0A40B2C9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Raw analyst rating records</w:t>
            </w:r>
          </w:p>
        </w:tc>
        <w:tc>
          <w:tcPr>
            <w:tcW w:w="3137" w:type="dxa"/>
          </w:tcPr>
          <w:p w14:paraId="6F1781E3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520,567</w:t>
            </w:r>
          </w:p>
        </w:tc>
        <w:tc>
          <w:tcPr>
            <w:tcW w:w="3137" w:type="dxa"/>
          </w:tcPr>
          <w:p w14:paraId="73DEDC7F" w14:textId="77777777" w:rsidR="000048DD" w:rsidRDefault="000048DD">
            <w:pPr>
              <w:spacing w:after="40" w:line="276" w:lineRule="auto"/>
            </w:pPr>
          </w:p>
        </w:tc>
      </w:tr>
      <w:tr w:rsidR="000048DD" w14:paraId="2AA46AB6" w14:textId="77777777">
        <w:trPr>
          <w:cantSplit/>
          <w:jc w:val="center"/>
        </w:trPr>
        <w:tc>
          <w:tcPr>
            <w:tcW w:w="3137" w:type="dxa"/>
          </w:tcPr>
          <w:p w14:paraId="590F307F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Exact duplicates</w:t>
            </w:r>
          </w:p>
        </w:tc>
        <w:tc>
          <w:tcPr>
            <w:tcW w:w="3137" w:type="dxa"/>
          </w:tcPr>
          <w:p w14:paraId="36C4519A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517,871</w:t>
            </w:r>
          </w:p>
        </w:tc>
        <w:tc>
          <w:tcPr>
            <w:tcW w:w="3137" w:type="dxa"/>
          </w:tcPr>
          <w:p w14:paraId="247B5624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2,696</w:t>
            </w:r>
          </w:p>
        </w:tc>
      </w:tr>
      <w:tr w:rsidR="000048DD" w14:paraId="6F147459" w14:textId="77777777">
        <w:trPr>
          <w:cantSplit/>
          <w:jc w:val="center"/>
        </w:trPr>
        <w:tc>
          <w:tcPr>
            <w:tcW w:w="3137" w:type="dxa"/>
          </w:tcPr>
          <w:p w14:paraId="009E9479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Rating revisions only</w:t>
            </w:r>
          </w:p>
        </w:tc>
        <w:tc>
          <w:tcPr>
            <w:tcW w:w="3137" w:type="dxa"/>
          </w:tcPr>
          <w:p w14:paraId="5EB29CF4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21,471</w:t>
            </w:r>
          </w:p>
        </w:tc>
        <w:tc>
          <w:tcPr>
            <w:tcW w:w="3137" w:type="dxa"/>
          </w:tcPr>
          <w:p w14:paraId="053C22EC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496,400</w:t>
            </w:r>
          </w:p>
        </w:tc>
      </w:tr>
      <w:tr w:rsidR="000048DD" w14:paraId="418C12AC" w14:textId="77777777">
        <w:trPr>
          <w:cantSplit/>
          <w:jc w:val="center"/>
        </w:trPr>
        <w:tc>
          <w:tcPr>
            <w:tcW w:w="3137" w:type="dxa"/>
          </w:tcPr>
          <w:p w14:paraId="7EC07882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Drop first 6 months after IPO</w:t>
            </w:r>
          </w:p>
        </w:tc>
        <w:tc>
          <w:tcPr>
            <w:tcW w:w="3137" w:type="dxa"/>
          </w:tcPr>
          <w:p w14:paraId="38DC0EEF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21,310</w:t>
            </w:r>
          </w:p>
        </w:tc>
        <w:tc>
          <w:tcPr>
            <w:tcW w:w="3137" w:type="dxa"/>
          </w:tcPr>
          <w:p w14:paraId="6D35BC77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161</w:t>
            </w:r>
          </w:p>
        </w:tc>
      </w:tr>
      <w:tr w:rsidR="000048DD" w14:paraId="3F622809" w14:textId="77777777">
        <w:trPr>
          <w:cantSplit/>
          <w:jc w:val="center"/>
        </w:trPr>
        <w:tc>
          <w:tcPr>
            <w:tcW w:w="3137" w:type="dxa"/>
          </w:tcPr>
          <w:p w14:paraId="35B52AA0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Drop currently ST / \*ST</w:t>
            </w:r>
          </w:p>
        </w:tc>
        <w:tc>
          <w:tcPr>
            <w:tcW w:w="3137" w:type="dxa"/>
          </w:tcPr>
          <w:p w14:paraId="02310350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20,980</w:t>
            </w:r>
          </w:p>
        </w:tc>
        <w:tc>
          <w:tcPr>
            <w:tcW w:w="3137" w:type="dxa"/>
          </w:tcPr>
          <w:p w14:paraId="2D58B69B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330</w:t>
            </w:r>
          </w:p>
        </w:tc>
      </w:tr>
    </w:tbl>
    <w:p w14:paraId="33A6B5F1" w14:textId="77777777" w:rsidR="000048DD" w:rsidRDefault="000048DD">
      <w:pPr>
        <w:spacing w:after="0"/>
      </w:pPr>
    </w:p>
    <w:p w14:paraId="1D9E9BC5" w14:textId="77777777" w:rsidR="000048DD" w:rsidRDefault="002B39B7">
      <w:r>
        <w:rPr>
          <w:color w:val="000000"/>
        </w:rPr>
        <w:t xml:space="preserve">Final sample: </w:t>
      </w:r>
      <w:r>
        <w:rPr>
          <w:b/>
          <w:color w:val="000000"/>
        </w:rPr>
        <w:t>20,980 events</w:t>
      </w:r>
      <w:r>
        <w:rPr>
          <w:color w:val="000000"/>
        </w:rPr>
        <w:t>, 2,683 stocks, 2,171 analysts, 108 broker short names (107 distinct legal names),</w:t>
      </w:r>
    </w:p>
    <w:p w14:paraId="68CA9766" w14:textId="77777777" w:rsidR="000048DD" w:rsidRDefault="002B39B7">
      <w:r>
        <w:rPr>
          <w:color w:val="000000"/>
        </w:rPr>
        <w:t>2018-2024. Upgrades 12,131; downgrades 8,849. The buy skew is expected and matches the</w:t>
      </w:r>
    </w:p>
    <w:p w14:paraId="3F1F2528" w14:textId="77777777" w:rsidR="000048DD" w:rsidRDefault="002B39B7">
      <w:r>
        <w:rPr>
          <w:color w:val="000000"/>
        </w:rPr>
        <w:t>documented optimism bias of sell-side research.</w:t>
      </w:r>
    </w:p>
    <w:p w14:paraId="28E14819" w14:textId="77777777" w:rsidR="000048DD" w:rsidRDefault="002B39B7">
      <w:pPr>
        <w:pStyle w:val="1"/>
        <w:spacing w:before="280" w:after="120"/>
      </w:pPr>
      <w:bookmarkStart w:id="4" w:name="_Toc242216913"/>
      <w:r>
        <w:rPr>
          <w:rFonts w:ascii="Times New Roman" w:eastAsia="Arial" w:hAnsi="Times New Roman"/>
          <w:color w:val="000000"/>
          <w:sz w:val="30"/>
        </w:rPr>
        <w:t>5. Authority variables</w:t>
      </w:r>
      <w:bookmarkEnd w:id="4"/>
    </w:p>
    <w:p w14:paraId="6597B561" w14:textId="77777777" w:rsidR="000048DD" w:rsidRDefault="002B39B7">
      <w:r>
        <w:rPr>
          <w:color w:val="000000"/>
        </w:rPr>
        <w:t>Three proxies, all stored as columns on the analysis table: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048DD" w14:paraId="5696348B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08164353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Variable</w:t>
            </w:r>
          </w:p>
        </w:tc>
        <w:tc>
          <w:tcPr>
            <w:tcW w:w="3137" w:type="dxa"/>
            <w:shd w:val="clear" w:color="auto" w:fill="F2F2F2"/>
          </w:tcPr>
          <w:p w14:paraId="59218F02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Definition</w:t>
            </w:r>
          </w:p>
        </w:tc>
        <w:tc>
          <w:tcPr>
            <w:tcW w:w="3137" w:type="dxa"/>
            <w:shd w:val="clear" w:color="auto" w:fill="F2F2F2"/>
          </w:tcPr>
          <w:p w14:paraId="777820FB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Source</w:t>
            </w:r>
          </w:p>
        </w:tc>
      </w:tr>
      <w:tr w:rsidR="000048DD" w14:paraId="5EB84C2F" w14:textId="77777777">
        <w:trPr>
          <w:cantSplit/>
          <w:jc w:val="center"/>
        </w:trPr>
        <w:tc>
          <w:tcPr>
            <w:tcW w:w="3137" w:type="dxa"/>
          </w:tcPr>
          <w:p w14:paraId="5B6A9FF9" w14:textId="77777777" w:rsidR="000048DD" w:rsidRDefault="002B39B7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star</w:t>
            </w:r>
          </w:p>
        </w:tc>
        <w:tc>
          <w:tcPr>
            <w:tcW w:w="3137" w:type="dxa"/>
          </w:tcPr>
          <w:p w14:paraId="2487E761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1 if the analyst is in the New Fortune Best Analyst list of the event year, with 2018 inheriting the 2017 list</w:t>
            </w:r>
          </w:p>
        </w:tc>
        <w:tc>
          <w:tcPr>
            <w:tcW w:w="3137" w:type="dxa"/>
          </w:tcPr>
          <w:p w14:paraId="0CC43880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external list</w:t>
            </w:r>
          </w:p>
        </w:tc>
      </w:tr>
      <w:tr w:rsidR="000048DD" w14:paraId="0AFBA878" w14:textId="77777777">
        <w:trPr>
          <w:cantSplit/>
          <w:jc w:val="center"/>
        </w:trPr>
        <w:tc>
          <w:tcPr>
            <w:tcW w:w="3137" w:type="dxa"/>
          </w:tcPr>
          <w:p w14:paraId="5F4F7E10" w14:textId="77777777" w:rsidR="000048DD" w:rsidRDefault="002B39B7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资历</w:t>
            </w:r>
            <w:r>
              <w:rPr>
                <w:color w:val="000000"/>
                <w:sz w:val="21"/>
              </w:rPr>
              <w:t xml:space="preserve"> (seniority)</w:t>
            </w:r>
          </w:p>
        </w:tc>
        <w:tc>
          <w:tcPr>
            <w:tcW w:w="3137" w:type="dxa"/>
          </w:tcPr>
          <w:p w14:paraId="07A42799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years from the first report by the analyst to the event date</w:t>
            </w:r>
          </w:p>
        </w:tc>
        <w:tc>
          <w:tcPr>
            <w:tcW w:w="3137" w:type="dxa"/>
          </w:tcPr>
          <w:p w14:paraId="3F8FCEC1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iFinD, back to June 2009</w:t>
            </w:r>
          </w:p>
        </w:tc>
      </w:tr>
      <w:tr w:rsidR="000048DD" w14:paraId="7EEA4B85" w14:textId="77777777">
        <w:trPr>
          <w:cantSplit/>
          <w:jc w:val="center"/>
        </w:trPr>
        <w:tc>
          <w:tcPr>
            <w:tcW w:w="3137" w:type="dxa"/>
          </w:tcPr>
          <w:p w14:paraId="737ABBB6" w14:textId="77777777" w:rsidR="000048DD" w:rsidRDefault="002B39B7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lastRenderedPageBreak/>
              <w:t>券商层级</w:t>
            </w:r>
            <w:r>
              <w:rPr>
                <w:color w:val="000000"/>
                <w:sz w:val="21"/>
              </w:rPr>
              <w:t xml:space="preserve"> (broker tier)</w:t>
            </w:r>
          </w:p>
        </w:tc>
        <w:tc>
          <w:tcPr>
            <w:tcW w:w="3137" w:type="dxa"/>
          </w:tcPr>
          <w:p w14:paraId="46803731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头部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中部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中小</w:t>
            </w:r>
            <w:r>
              <w:rPr>
                <w:color w:val="000000"/>
                <w:sz w:val="21"/>
              </w:rPr>
              <w:t>, cut on the cumulative share of rating records after broker names are canonicalised</w:t>
            </w:r>
          </w:p>
        </w:tc>
        <w:tc>
          <w:tcPr>
            <w:tcW w:w="3137" w:type="dxa"/>
          </w:tcPr>
          <w:p w14:paraId="3FD2393A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own data</w:t>
            </w:r>
          </w:p>
        </w:tc>
      </w:tr>
    </w:tbl>
    <w:p w14:paraId="7D602B44" w14:textId="77777777" w:rsidR="000048DD" w:rsidRDefault="000048DD">
      <w:pPr>
        <w:spacing w:after="0"/>
      </w:pPr>
    </w:p>
    <w:p w14:paraId="6D68DCF1" w14:textId="77777777" w:rsidR="000048DD" w:rsidRDefault="002B39B7"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 xml:space="preserve"> for 2,772 of 20,980 events (13.2%), and the share is stable across years:</w:t>
      </w:r>
    </w:p>
    <w:p w14:paraId="6AF0F286" w14:textId="77777777" w:rsidR="000048DD" w:rsidRDefault="002B39B7">
      <w:r>
        <w:rPr>
          <w:color w:val="000000"/>
        </w:rPr>
        <w:t>13.4%, 14.5%, 13.5%, 13.6%, 13.6%, 11.8%, 11.6% for 2018-2024.</w:t>
      </w:r>
    </w:p>
    <w:p w14:paraId="3894EAF4" w14:textId="77777777" w:rsidR="000048DD" w:rsidRDefault="002B39B7">
      <w:r>
        <w:rPr>
          <w:b/>
          <w:color w:val="000000"/>
        </w:rPr>
        <w:t>How the star variable handles the 2018 gap.</w:t>
      </w:r>
      <w:r>
        <w:rPr>
          <w:color w:val="000000"/>
        </w:rPr>
        <w:t xml:space="preserve"> The New Fortune vote was suspended in</w:t>
      </w:r>
    </w:p>
    <w:p w14:paraId="44065840" w14:textId="77777777" w:rsidR="000048DD" w:rsidRDefault="002B39B7">
      <w:r>
        <w:rPr>
          <w:color w:val="000000"/>
        </w:rPr>
        <w:t>2018, and the page labelled 2018 on the public source is a compilation of anniversary</w:t>
      </w:r>
    </w:p>
    <w:p w14:paraId="42745F46" w14:textId="77777777" w:rsidR="000048DD" w:rsidRDefault="002B39B7">
      <w:r>
        <w:rPr>
          <w:color w:val="000000"/>
        </w:rPr>
        <w:t>special awards, not an annual industry ranking. Evidence: 36% of its names appear in</w:t>
      </w:r>
    </w:p>
    <w:p w14:paraId="0577D9F9" w14:textId="77777777" w:rsidR="000048DD" w:rsidRDefault="002B39B7">
      <w:r>
        <w:rPr>
          <w:color w:val="000000"/>
        </w:rPr>
        <w:t>no other year (versus 8-23% elsewhere), its name overlap with 2019 is Jaccard 0.10</w:t>
      </w:r>
    </w:p>
    <w:p w14:paraId="61F1DB41" w14:textId="77777777" w:rsidR="000048DD" w:rsidRDefault="002B39B7">
      <w:r>
        <w:rPr>
          <w:color w:val="000000"/>
        </w:rPr>
        <w:t>(versus 0.40-0.52 for adjacent pairs), and it matches the rating data at only 3.6%</w:t>
      </w:r>
    </w:p>
    <w:p w14:paraId="1675367D" w14:textId="77777777" w:rsidR="000048DD" w:rsidRDefault="002B39B7">
      <w:r>
        <w:rPr>
          <w:color w:val="000000"/>
        </w:rPr>
        <w:t>versus 10-17% for every other list-year. It is therefore excluded, and 2018 events</w:t>
      </w:r>
    </w:p>
    <w:p w14:paraId="29B82623" w14:textId="77777777" w:rsidR="000048DD" w:rsidRDefault="002B39B7">
      <w:r>
        <w:rPr>
          <w:color w:val="000000"/>
        </w:rPr>
        <w:t xml:space="preserve">inherit the </w:t>
      </w:r>
      <w:r>
        <w:rPr>
          <w:b/>
          <w:color w:val="000000"/>
        </w:rPr>
        <w:t>2017</w:t>
      </w:r>
      <w:r>
        <w:rPr>
          <w:color w:val="000000"/>
        </w:rPr>
        <w:t xml:space="preserve"> list, which is the most recent list actually in force during 2018.</w:t>
      </w:r>
    </w:p>
    <w:p w14:paraId="189BE68E" w14:textId="77777777" w:rsidR="000048DD" w:rsidRDefault="002B39B7">
      <w:r>
        <w:rPr>
          <w:color w:val="000000"/>
        </w:rPr>
        <w:t>This is the same "list in force" rule applied to every year, so there is no</w:t>
      </w:r>
    </w:p>
    <w:p w14:paraId="2FE8A742" w14:textId="77777777" w:rsidR="000048DD" w:rsidRDefault="002B39B7">
      <w:r>
        <w:rPr>
          <w:color w:val="000000"/>
        </w:rPr>
        <w:t>special-casing and no look-ahead. The rule restores 2018 to the normal range (13.4%),</w:t>
      </w:r>
    </w:p>
    <w:p w14:paraId="0B65685F" w14:textId="77777777" w:rsidR="000048DD" w:rsidRDefault="002B39B7">
      <w:r>
        <w:rPr>
          <w:color w:val="000000"/>
        </w:rPr>
        <w:t>which is why the full 2018-2024 sample is usable.</w:t>
      </w:r>
    </w:p>
    <w:p w14:paraId="4C61AC60" w14:textId="77777777" w:rsidR="000048DD" w:rsidRDefault="002B39B7">
      <w:pPr>
        <w:pStyle w:val="1"/>
        <w:spacing w:before="280" w:after="120"/>
      </w:pPr>
      <w:bookmarkStart w:id="5" w:name="_Toc242216914"/>
      <w:r>
        <w:rPr>
          <w:rFonts w:ascii="Times New Roman" w:eastAsia="Arial" w:hAnsi="Times New Roman"/>
          <w:color w:val="000000"/>
          <w:sz w:val="30"/>
        </w:rPr>
        <w:t>6. Empirical design</w:t>
      </w:r>
      <w:bookmarkEnd w:id="5"/>
    </w:p>
    <w:p w14:paraId="5A1EAAA0" w14:textId="77777777" w:rsidR="000048DD" w:rsidRDefault="002B39B7">
      <w:r>
        <w:rPr>
          <w:b/>
          <w:color w:val="000000"/>
        </w:rPr>
        <w:t>Step 1, announcement reaction.</w:t>
      </w:r>
      <w:r>
        <w:rPr>
          <w:color w:val="000000"/>
        </w:rPr>
        <w:t xml:space="preserve"> Market-adjusted returns over [-1,+1], with</w:t>
      </w:r>
    </w:p>
    <w:p w14:paraId="6584AE77" w14:textId="77777777" w:rsidR="000048DD" w:rsidRDefault="002B39B7">
      <w:r>
        <w:rPr>
          <w:color w:val="000000"/>
        </w:rPr>
        <w:t>[-1,+5] and [-5,+5] as robustness. Dependent variables are CAR and abnormal volume.</w:t>
      </w:r>
    </w:p>
    <w:p w14:paraId="2E25EC1D" w14:textId="77777777" w:rsidR="000048DD" w:rsidRDefault="002B39B7">
      <w:r>
        <w:rPr>
          <w:color w:val="000000"/>
        </w:rPr>
        <w:t>Controls: size of the rating change, whether an EPS forecast moved at the same time,</w:t>
      </w:r>
    </w:p>
    <w:p w14:paraId="7FDFE90D" w14:textId="77777777" w:rsidR="000048DD" w:rsidRDefault="002B39B7">
      <w:r>
        <w:rPr>
          <w:color w:val="000000"/>
        </w:rPr>
        <w:t>firm size, pre-event momentum, turnover, institutional ownership, ownership type,</w:t>
      </w:r>
    </w:p>
    <w:p w14:paraId="4BFC93BB" w14:textId="77777777" w:rsidR="000048DD" w:rsidRDefault="002B39B7">
      <w:r>
        <w:rPr>
          <w:color w:val="000000"/>
        </w:rPr>
        <w:t>board. Industry × month fixed effects.</w:t>
      </w:r>
    </w:p>
    <w:p w14:paraId="33BC3816" w14:textId="77777777" w:rsidR="000048DD" w:rsidRDefault="002B39B7">
      <w:r>
        <w:rPr>
          <w:b/>
          <w:color w:val="000000"/>
        </w:rPr>
        <w:t>Step 2, post-event drift.</w:t>
      </w:r>
      <w:r>
        <w:rPr>
          <w:color w:val="000000"/>
        </w:rPr>
        <w:t xml:space="preserve"> Buy-and-hold abnormal returns over 6 and 12 months,</w:t>
      </w:r>
    </w:p>
    <w:p w14:paraId="56C084F3" w14:textId="77777777" w:rsidR="000048DD" w:rsidRDefault="002B39B7">
      <w:r>
        <w:rPr>
          <w:color w:val="000000"/>
        </w:rPr>
        <w:t>signed by the direction of the recommendation. This is where information and</w:t>
      </w:r>
    </w:p>
    <w:p w14:paraId="32B939C4" w14:textId="77777777" w:rsidR="000048DD" w:rsidRDefault="002B39B7">
      <w:r>
        <w:rPr>
          <w:color w:val="000000"/>
        </w:rPr>
        <w:t>influence separate: reversal implies investors over-followed.</w:t>
      </w:r>
    </w:p>
    <w:p w14:paraId="06E9E5BB" w14:textId="77777777" w:rsidR="000048DD" w:rsidRDefault="002B39B7">
      <w:r>
        <w:rPr>
          <w:b/>
          <w:color w:val="000000"/>
        </w:rPr>
        <w:t>Step 3, ex post accuracy.</w:t>
      </w:r>
      <w:r>
        <w:rPr>
          <w:color w:val="000000"/>
        </w:rPr>
        <w:t xml:space="preserve"> Return to the recommended direction over 3/6/12 months;</w:t>
      </w:r>
    </w:p>
    <w:p w14:paraId="561EDC06" w14:textId="77777777" w:rsidR="000048DD" w:rsidRDefault="002B39B7">
      <w:r>
        <w:rPr>
          <w:color w:val="000000"/>
        </w:rPr>
        <w:t>absolute EPS forecast error scaled by price; hit rate. If stars are larger in step 1</w:t>
      </w:r>
    </w:p>
    <w:p w14:paraId="78EBA8A5" w14:textId="77777777" w:rsidR="000048DD" w:rsidRDefault="002B39B7">
      <w:r>
        <w:rPr>
          <w:color w:val="000000"/>
        </w:rPr>
        <w:t>but indistinguishable here, the conclusion is "merely more influential".</w:t>
      </w:r>
    </w:p>
    <w:p w14:paraId="03B1B350" w14:textId="77777777" w:rsidR="000048DD" w:rsidRDefault="002B39B7">
      <w:r>
        <w:rPr>
          <w:b/>
          <w:color w:val="000000"/>
        </w:rPr>
        <w:t>Step 4, heterogeneity.</w:t>
      </w:r>
      <w:r>
        <w:rPr>
          <w:color w:val="000000"/>
        </w:rPr>
        <w:t xml:space="preserve"> Upgrades vs downgrades; broker tier; main board vs ChiNext</w:t>
      </w:r>
    </w:p>
    <w:p w14:paraId="5338B0CB" w14:textId="77777777" w:rsidR="000048DD" w:rsidRDefault="002B39B7">
      <w:r>
        <w:rPr>
          <w:color w:val="000000"/>
        </w:rPr>
        <w:t>and STAR.</w:t>
      </w:r>
    </w:p>
    <w:p w14:paraId="40E34672" w14:textId="77777777" w:rsidR="000048DD" w:rsidRDefault="002B39B7">
      <w:r>
        <w:rPr>
          <w:b/>
          <w:color w:val="000000"/>
        </w:rPr>
        <w:lastRenderedPageBreak/>
        <w:t>Step 5, mechanism (extension, only if time permits).</w:t>
      </w:r>
      <w:r>
        <w:rPr>
          <w:color w:val="000000"/>
        </w:rPr>
        <w:t xml:space="preserve"> Small-trade vs large-trade net</w:t>
      </w:r>
    </w:p>
    <w:p w14:paraId="6A125010" w14:textId="77777777" w:rsidR="000048DD" w:rsidRDefault="002B39B7">
      <w:r>
        <w:rPr>
          <w:color w:val="000000"/>
        </w:rPr>
        <w:t>buying in the event window; the subsample of events that hit the daily price limit.</w:t>
      </w:r>
    </w:p>
    <w:p w14:paraId="5B966F0C" w14:textId="77777777" w:rsidR="000048DD" w:rsidRDefault="002B39B7">
      <w:pPr>
        <w:pStyle w:val="1"/>
        <w:spacing w:before="280" w:after="120"/>
      </w:pPr>
      <w:bookmarkStart w:id="6" w:name="_Toc242216915"/>
      <w:r>
        <w:rPr>
          <w:rFonts w:ascii="Times New Roman" w:eastAsia="Arial" w:hAnsi="Times New Roman"/>
          <w:color w:val="000000"/>
          <w:sz w:val="30"/>
        </w:rPr>
        <w:t>7. China-specific issues the design must address</w:t>
      </w:r>
      <w:bookmarkEnd w:id="6"/>
    </w:p>
    <w:p w14:paraId="352EF527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Price limits censor CARs.</w:t>
      </w:r>
      <w:r>
        <w:rPr>
          <w:color w:val="000000"/>
        </w:rPr>
        <w:t xml:space="preserve"> The course notes warn explicitly that limit-hits inside</w:t>
      </w:r>
    </w:p>
    <w:p w14:paraId="657FB22E" w14:textId="77777777" w:rsidR="000048DD" w:rsidRDefault="002B39B7">
      <w:r>
        <w:rPr>
          <w:color w:val="000000"/>
        </w:rPr>
        <w:t>event windows truncate CARs. Limit-hits must be flagged and the share reported, with</w:t>
      </w:r>
    </w:p>
    <w:p w14:paraId="6EE386D2" w14:textId="77777777" w:rsidR="000048DD" w:rsidRDefault="002B39B7">
      <w:r>
        <w:rPr>
          <w:color w:val="000000"/>
        </w:rPr>
        <w:t>a robustness run excluding them.</w:t>
      </w:r>
    </w:p>
    <w:p w14:paraId="29B806A6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Suspensions.</w:t>
      </w:r>
      <w:r>
        <w:rPr>
          <w:color w:val="000000"/>
        </w:rPr>
        <w:t xml:space="preserve"> Flagged, not deleted from the panel, so event windows keep their</w:t>
      </w:r>
    </w:p>
    <w:p w14:paraId="13E3D890" w14:textId="77777777" w:rsidR="000048DD" w:rsidRDefault="002B39B7">
      <w:r>
        <w:rPr>
          <w:color w:val="000000"/>
        </w:rPr>
        <w:t>trading-day alignment.</w:t>
      </w:r>
    </w:p>
    <w:p w14:paraId="26F7C004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Look-ahead.</w:t>
      </w:r>
      <w:r>
        <w:rPr>
          <w:color w:val="000000"/>
        </w:rPr>
        <w:t xml:space="preserve"> Merges use announcement dates, never report periods.</w:t>
      </w:r>
    </w:p>
    <w:p w14:paraId="098E19AC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Rating labels differ across brokers.</w:t>
      </w:r>
      <w:r>
        <w:rPr>
          <w:color w:val="000000"/>
        </w:rPr>
        <w:t xml:space="preserve"> Handled by using iFinD's standardised field.</w:t>
      </w:r>
    </w:p>
    <w:p w14:paraId="2B7B8226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>Analyst name collisions.</w:t>
      </w:r>
      <w:r>
        <w:rPr>
          <w:color w:val="000000"/>
        </w:rPr>
        <w:t xml:space="preserve"> Matching uses name plus broker plus year.</w:t>
      </w:r>
    </w:p>
    <w:p w14:paraId="3C3CBB28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b/>
          <w:color w:val="000000"/>
        </w:rPr>
        <w:t>Historical ST status is not obtainable.</w:t>
      </w:r>
      <w:r>
        <w:rPr>
          <w:color w:val="000000"/>
        </w:rPr>
        <w:t xml:space="preserve"> Every iFinD phrasing returns the current</w:t>
      </w:r>
    </w:p>
    <w:p w14:paraId="00E4AEB9" w14:textId="77777777" w:rsidR="000048DD" w:rsidRDefault="002B39B7">
      <w:r>
        <w:rPr>
          <w:color w:val="000000"/>
        </w:rPr>
        <w:t>snapshot, so the ST filter is an approximation. The clean solution is to infer ST</w:t>
      </w:r>
    </w:p>
    <w:p w14:paraId="600FA3BB" w14:textId="77777777" w:rsidR="000048DD" w:rsidRDefault="002B39B7">
      <w:r>
        <w:rPr>
          <w:color w:val="000000"/>
        </w:rPr>
        <w:t>spells from daily price limits (ST stocks have a 5% band) once market data exist.</w:t>
      </w:r>
    </w:p>
    <w:p w14:paraId="53092370" w14:textId="77777777" w:rsidR="000048DD" w:rsidRDefault="002B39B7">
      <w:pPr>
        <w:pStyle w:val="1"/>
        <w:spacing w:before="280" w:after="120"/>
      </w:pPr>
      <w:bookmarkStart w:id="7" w:name="_Toc242216916"/>
      <w:r>
        <w:rPr>
          <w:rFonts w:ascii="Times New Roman" w:eastAsia="Arial" w:hAnsi="Times New Roman"/>
          <w:color w:val="000000"/>
          <w:sz w:val="30"/>
        </w:rPr>
        <w:t>8. Robustness plan</w:t>
      </w:r>
      <w:bookmarkEnd w:id="7"/>
    </w:p>
    <w:p w14:paraId="20A15136" w14:textId="77777777" w:rsidR="000048DD" w:rsidRDefault="002B39B7">
      <w:r>
        <w:rPr>
          <w:color w:val="000000"/>
        </w:rPr>
        <w:t>Sample period with and without 2020 and 2022; alternative authority measures (star,</w:t>
      </w:r>
    </w:p>
    <w:p w14:paraId="67B55011" w14:textId="77777777" w:rsidR="000048DD" w:rsidRDefault="002B39B7">
      <w:r>
        <w:rPr>
          <w:color w:val="000000"/>
        </w:rPr>
        <w:t>seniority, broker tier); alternative windows; excluding limit-hit and suspended events;</w:t>
      </w:r>
    </w:p>
    <w:p w14:paraId="31CD9902" w14:textId="77777777" w:rsidR="000048DD" w:rsidRDefault="002B39B7">
      <w:r>
        <w:rPr>
          <w:color w:val="000000"/>
        </w:rPr>
        <w:t>main board versus ChiNext and STAR; excluding events that coincide with an earnings</w:t>
      </w:r>
    </w:p>
    <w:p w14:paraId="3773ACBB" w14:textId="77777777" w:rsidR="000048DD" w:rsidRDefault="002B39B7">
      <w:r>
        <w:rPr>
          <w:color w:val="000000"/>
        </w:rPr>
        <w:t>announcement. Alternative timing conventions for the star variable are already stored</w:t>
      </w:r>
    </w:p>
    <w:p w14:paraId="6BB654F4" w14:textId="77777777" w:rsidR="000048DD" w:rsidRDefault="002B39B7">
      <w:r>
        <w:rPr>
          <w:color w:val="000000"/>
        </w:rPr>
        <w:t xml:space="preserve">as </w:t>
      </w:r>
      <w:r>
        <w:rPr>
          <w:rFonts w:ascii="Consolas" w:hAnsi="Consolas"/>
          <w:color w:val="000000"/>
          <w:sz w:val="22"/>
        </w:rPr>
        <w:t>star_same</w:t>
      </w:r>
      <w:r>
        <w:rPr>
          <w:color w:val="000000"/>
        </w:rPr>
        <w:t xml:space="preserve">, </w:t>
      </w:r>
      <w:r>
        <w:rPr>
          <w:rFonts w:ascii="Consolas" w:hAnsi="Consolas"/>
          <w:color w:val="000000"/>
          <w:sz w:val="22"/>
        </w:rPr>
        <w:t>star_month</w:t>
      </w:r>
      <w:r>
        <w:rPr>
          <w:color w:val="000000"/>
        </w:rPr>
        <w:t xml:space="preserve"> and </w:t>
      </w:r>
      <w:r>
        <w:rPr>
          <w:rFonts w:ascii="Consolas" w:hAnsi="Consolas"/>
          <w:color w:val="000000"/>
          <w:sz w:val="22"/>
        </w:rPr>
        <w:t>star_lag1</w:t>
      </w:r>
      <w:r>
        <w:rPr>
          <w:color w:val="000000"/>
        </w:rPr>
        <w:t>.</w:t>
      </w:r>
    </w:p>
    <w:p w14:paraId="4CE5F85F" w14:textId="77777777" w:rsidR="000048DD" w:rsidRDefault="002B39B7">
      <w:r>
        <w:rPr>
          <w:color w:val="000000"/>
        </w:rPr>
        <w:t>Standard errors should be clustered. The 2,715 distinct report URLs behind a 3,000-event</w:t>
      </w:r>
    </w:p>
    <w:p w14:paraId="2D76255C" w14:textId="77777777" w:rsidR="000048DD" w:rsidRDefault="002B39B7">
      <w:r>
        <w:rPr>
          <w:color w:val="000000"/>
        </w:rPr>
        <w:t>sample show that one report can carry ratings for several stocks or for several analysts,</w:t>
      </w:r>
    </w:p>
    <w:p w14:paraId="288413E3" w14:textId="77777777" w:rsidR="000048DD" w:rsidRDefault="002B39B7">
      <w:r>
        <w:rPr>
          <w:color w:val="000000"/>
        </w:rPr>
        <w:t>so observations are not independent within a report. Clustering at the report level, and</w:t>
      </w:r>
    </w:p>
    <w:p w14:paraId="6DFBC0A8" w14:textId="77777777" w:rsidR="000048DD" w:rsidRDefault="002B39B7">
      <w:r>
        <w:rPr>
          <w:color w:val="000000"/>
        </w:rPr>
        <w:t xml:space="preserve">reporting the unclustered version beside it, is the honest way to present these tests. The cluster key is the report URL held inside </w:t>
      </w:r>
      <w:r>
        <w:rPr>
          <w:rFonts w:ascii="Consolas" w:hAnsi="Consolas"/>
          <w:color w:val="000000"/>
          <w:sz w:val="22"/>
        </w:rPr>
        <w:t>研报标题</w:t>
      </w:r>
      <w:r>
        <w:rPr>
          <w:color w:val="000000"/>
        </w:rPr>
        <w:t>; stock and date work as a fallback.</w:t>
      </w:r>
    </w:p>
    <w:p w14:paraId="6E1ADB06" w14:textId="77777777" w:rsidR="000048DD" w:rsidRDefault="002B39B7">
      <w:pPr>
        <w:pStyle w:val="1"/>
        <w:spacing w:before="280" w:after="120"/>
      </w:pPr>
      <w:bookmarkStart w:id="8" w:name="_Toc242216917"/>
      <w:r>
        <w:rPr>
          <w:rFonts w:ascii="Times New Roman" w:eastAsia="Arial" w:hAnsi="Times New Roman"/>
          <w:color w:val="000000"/>
          <w:sz w:val="30"/>
        </w:rPr>
        <w:t>9. Division of labour (2 people)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0048DD" w14:paraId="3D117C5F" w14:textId="77777777">
        <w:trPr>
          <w:cantSplit/>
          <w:tblHeader/>
          <w:jc w:val="center"/>
        </w:trPr>
        <w:tc>
          <w:tcPr>
            <w:tcW w:w="4706" w:type="dxa"/>
            <w:shd w:val="clear" w:color="auto" w:fill="F2F2F2"/>
          </w:tcPr>
          <w:p w14:paraId="175167E6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Step</w:t>
            </w:r>
          </w:p>
        </w:tc>
        <w:tc>
          <w:tcPr>
            <w:tcW w:w="4706" w:type="dxa"/>
            <w:shd w:val="clear" w:color="auto" w:fill="F2F2F2"/>
          </w:tcPr>
          <w:p w14:paraId="290B99A1" w14:textId="77777777" w:rsidR="000048DD" w:rsidRDefault="002B39B7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Owner</w:t>
            </w:r>
          </w:p>
        </w:tc>
      </w:tr>
      <w:tr w:rsidR="000048DD" w14:paraId="0F4F64F2" w14:textId="77777777">
        <w:trPr>
          <w:cantSplit/>
          <w:jc w:val="center"/>
        </w:trPr>
        <w:tc>
          <w:tcPr>
            <w:tcW w:w="4706" w:type="dxa"/>
          </w:tcPr>
          <w:p w14:paraId="62DD1BE8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1 Collect recommendation revisions</w:t>
            </w:r>
          </w:p>
        </w:tc>
        <w:tc>
          <w:tcPr>
            <w:tcW w:w="4706" w:type="dxa"/>
          </w:tcPr>
          <w:p w14:paraId="5784737D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A</w:t>
            </w:r>
          </w:p>
        </w:tc>
      </w:tr>
      <w:tr w:rsidR="000048DD" w14:paraId="2A206073" w14:textId="77777777">
        <w:trPr>
          <w:cantSplit/>
          <w:jc w:val="center"/>
        </w:trPr>
        <w:tc>
          <w:tcPr>
            <w:tcW w:w="4706" w:type="dxa"/>
          </w:tcPr>
          <w:p w14:paraId="73E045EB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2 Classify by authority</w:t>
            </w:r>
          </w:p>
        </w:tc>
        <w:tc>
          <w:tcPr>
            <w:tcW w:w="4706" w:type="dxa"/>
          </w:tcPr>
          <w:p w14:paraId="7DE73670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B collects the list and broker tier; A does the matching and seniority</w:t>
            </w:r>
          </w:p>
        </w:tc>
      </w:tr>
      <w:tr w:rsidR="000048DD" w14:paraId="49C0D681" w14:textId="77777777">
        <w:trPr>
          <w:cantSplit/>
          <w:jc w:val="center"/>
        </w:trPr>
        <w:tc>
          <w:tcPr>
            <w:tcW w:w="4706" w:type="dxa"/>
          </w:tcPr>
          <w:p w14:paraId="3720D5B3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lastRenderedPageBreak/>
              <w:t>3 Event study, CAR and abnormal volume</w:t>
            </w:r>
          </w:p>
        </w:tc>
        <w:tc>
          <w:tcPr>
            <w:tcW w:w="4706" w:type="dxa"/>
          </w:tcPr>
          <w:p w14:paraId="01B2F72B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A leads, B independently replicates</w:t>
            </w:r>
          </w:p>
        </w:tc>
      </w:tr>
      <w:tr w:rsidR="000048DD" w14:paraId="33EA826F" w14:textId="77777777">
        <w:trPr>
          <w:cantSplit/>
          <w:jc w:val="center"/>
        </w:trPr>
        <w:tc>
          <w:tcPr>
            <w:tcW w:w="4706" w:type="dxa"/>
          </w:tcPr>
          <w:p w14:paraId="05F20150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4 Six to twelve month post-revision returns</w:t>
            </w:r>
          </w:p>
        </w:tc>
        <w:tc>
          <w:tcPr>
            <w:tcW w:w="4706" w:type="dxa"/>
          </w:tcPr>
          <w:p w14:paraId="30291A81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B leads, A independently replicates</w:t>
            </w:r>
          </w:p>
        </w:tc>
      </w:tr>
      <w:tr w:rsidR="000048DD" w14:paraId="573C6D32" w14:textId="77777777">
        <w:trPr>
          <w:cantSplit/>
          <w:jc w:val="center"/>
        </w:trPr>
        <w:tc>
          <w:tcPr>
            <w:tcW w:w="4706" w:type="dxa"/>
          </w:tcPr>
          <w:p w14:paraId="469A9F4F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5 Visualization and discussion</w:t>
            </w:r>
          </w:p>
        </w:tc>
        <w:tc>
          <w:tcPr>
            <w:tcW w:w="4706" w:type="dxa"/>
          </w:tcPr>
          <w:p w14:paraId="34DE8260" w14:textId="77777777" w:rsidR="000048DD" w:rsidRDefault="002B39B7">
            <w:pPr>
              <w:spacing w:after="40" w:line="276" w:lineRule="auto"/>
            </w:pPr>
            <w:r>
              <w:rPr>
                <w:color w:val="000000"/>
                <w:sz w:val="21"/>
              </w:rPr>
              <w:t>split by slide</w:t>
            </w:r>
          </w:p>
        </w:tc>
      </w:tr>
    </w:tbl>
    <w:p w14:paraId="44360C94" w14:textId="77777777" w:rsidR="000048DD" w:rsidRDefault="000048DD">
      <w:pPr>
        <w:spacing w:after="0"/>
      </w:pPr>
    </w:p>
    <w:p w14:paraId="688D5571" w14:textId="77777777" w:rsidR="000048DD" w:rsidRDefault="002B39B7">
      <w:r>
        <w:rPr>
          <w:color w:val="000000"/>
        </w:rPr>
        <w:t>B also delivers the market data (daily returns, volume, turnover, market cap) and the</w:t>
      </w:r>
    </w:p>
    <w:p w14:paraId="1113BB6D" w14:textId="77777777" w:rsidR="000048DD" w:rsidRDefault="002B39B7">
      <w:r>
        <w:rPr>
          <w:color w:val="000000"/>
        </w:rPr>
        <w:t xml:space="preserve">index series. The required file format is specified in </w:t>
      </w:r>
      <w:r>
        <w:rPr>
          <w:rFonts w:ascii="Consolas" w:hAnsi="Consolas"/>
          <w:color w:val="000000"/>
          <w:sz w:val="22"/>
        </w:rPr>
        <w:t>event_study.py</w:t>
      </w:r>
      <w:r>
        <w:rPr>
          <w:color w:val="000000"/>
        </w:rPr>
        <w:t>.</w:t>
      </w:r>
    </w:p>
    <w:p w14:paraId="3D0A033D" w14:textId="77777777" w:rsidR="000048DD" w:rsidRDefault="002B39B7">
      <w:pPr>
        <w:pStyle w:val="1"/>
        <w:spacing w:before="280" w:after="120"/>
      </w:pPr>
      <w:bookmarkStart w:id="9" w:name="_Toc242216918"/>
      <w:r>
        <w:rPr>
          <w:rFonts w:ascii="Times New Roman" w:eastAsia="Arial" w:hAnsi="Times New Roman"/>
          <w:color w:val="000000"/>
          <w:sz w:val="30"/>
        </w:rPr>
        <w:t>10. Timeline</w:t>
      </w:r>
      <w:bookmarkEnd w:id="9"/>
    </w:p>
    <w:p w14:paraId="442B0F4E" w14:textId="77777777" w:rsidR="000048DD" w:rsidRDefault="002B39B7">
      <w:r>
        <w:rPr>
          <w:color w:val="000000"/>
        </w:rPr>
        <w:t>The presentation is on 27 October 2026 and roughly one effective week is available, so</w:t>
      </w:r>
    </w:p>
    <w:p w14:paraId="42F6FC80" w14:textId="77777777" w:rsidR="000048DD" w:rsidRDefault="002B39B7">
      <w:r>
        <w:rPr>
          <w:color w:val="000000"/>
        </w:rPr>
        <w:t>the work is split into a scatter phase and a sprint week.</w:t>
      </w:r>
    </w:p>
    <w:p w14:paraId="18419A30" w14:textId="77777777" w:rsidR="000048DD" w:rsidRDefault="002B39B7">
      <w:r>
        <w:rPr>
          <w:color w:val="000000"/>
        </w:rPr>
        <w:t>Before 19 October, four half-hour tasks that unblock everything else: confirm the iFinD</w:t>
      </w:r>
    </w:p>
    <w:p w14:paraId="27C4D531" w14:textId="77777777" w:rsidR="000048DD" w:rsidRDefault="002B39B7">
      <w:r>
        <w:rPr>
          <w:color w:val="000000"/>
        </w:rPr>
        <w:t>interface, install the missing Python packages, start collecting the New Fortune list,</w:t>
      </w:r>
    </w:p>
    <w:p w14:paraId="453383A7" w14:textId="77777777" w:rsidR="000048DD" w:rsidRDefault="002B39B7">
      <w:r>
        <w:rPr>
          <w:color w:val="000000"/>
        </w:rPr>
        <w:t>confirm the written-report deadline with the TA.</w:t>
      </w:r>
    </w:p>
    <w:p w14:paraId="644E891D" w14:textId="77777777" w:rsidR="000048DD" w:rsidRDefault="002B39B7">
      <w:r>
        <w:rPr>
          <w:color w:val="000000"/>
        </w:rPr>
        <w:t>Sprint week 20-26 October: pull and clean the data (20-21), main results (22-23),</w:t>
      </w:r>
    </w:p>
    <w:p w14:paraId="33EF0982" w14:textId="77777777" w:rsidR="000048DD" w:rsidRDefault="002B39B7">
      <w:r>
        <w:rPr>
          <w:color w:val="000000"/>
        </w:rPr>
        <w:t>robustness and heterogeneity (24), slides (25), rehearsal with timing (26).</w:t>
      </w:r>
    </w:p>
    <w:p w14:paraId="744C903F" w14:textId="77777777" w:rsidR="000048DD" w:rsidRDefault="002B39B7">
      <w:r>
        <w:rPr>
          <w:color w:val="000000"/>
        </w:rPr>
        <w:t>Survival rules: main results must exist by 23 October, or the sample is cut to 20 stocks</w:t>
      </w:r>
    </w:p>
    <w:p w14:paraId="3846C0CA" w14:textId="77777777" w:rsidR="000048DD" w:rsidRDefault="002B39B7">
      <w:r>
        <w:rPr>
          <w:color w:val="000000"/>
        </w:rPr>
        <w:t>until the pipeline runs end to end; slides freeze on 25 October; rehearse twice with a</w:t>
      </w:r>
    </w:p>
    <w:p w14:paraId="0D5EE19F" w14:textId="77777777" w:rsidR="000048DD" w:rsidRDefault="002B39B7">
      <w:r>
        <w:rPr>
          <w:color w:val="000000"/>
        </w:rPr>
        <w:t>timer and cut content rather than speed up delivery.</w:t>
      </w:r>
    </w:p>
    <w:p w14:paraId="0C025B3E" w14:textId="77777777" w:rsidR="000048DD" w:rsidRDefault="002B39B7">
      <w:pPr>
        <w:pStyle w:val="1"/>
        <w:spacing w:before="280" w:after="120"/>
      </w:pPr>
      <w:bookmarkStart w:id="10" w:name="_Toc242216919"/>
      <w:r>
        <w:rPr>
          <w:rFonts w:ascii="Times New Roman" w:eastAsia="Arial" w:hAnsi="Times New Roman"/>
          <w:color w:val="000000"/>
          <w:sz w:val="30"/>
        </w:rPr>
        <w:t>11. Slide outline (maximum 15)</w:t>
      </w:r>
      <w:bookmarkEnd w:id="10"/>
    </w:p>
    <w:p w14:paraId="51732221" w14:textId="77777777" w:rsidR="000048DD" w:rsidRDefault="002B39B7">
      <w:r>
        <w:rPr>
          <w:color w:val="000000"/>
        </w:rPr>
        <w:t>Hook with a concrete case; institutional background on why China; the Milgram-to-market</w:t>
      </w:r>
    </w:p>
    <w:p w14:paraId="48F12634" w14:textId="77777777" w:rsidR="000048DD" w:rsidRDefault="002B39B7">
      <w:r>
        <w:rPr>
          <w:color w:val="000000"/>
        </w:rPr>
        <w:t>mechanism; the four research questions and the two competing hypotheses; **the mapping</w:t>
      </w:r>
    </w:p>
    <w:p w14:paraId="6653670A" w14:textId="77777777" w:rsidR="000048DD" w:rsidRDefault="002B39B7">
      <w:r>
        <w:rPr>
          <w:color w:val="000000"/>
        </w:rPr>
        <w:t>from each hypothesis to the data that can test it</w:t>
      </w:r>
      <w:r>
        <w:rPr>
          <w:b/>
          <w:color w:val="000000"/>
        </w:rPr>
        <w:t xml:space="preserve">; </w:t>
      </w:r>
      <w:r>
        <w:rPr>
          <w:color w:val="000000"/>
        </w:rPr>
        <w:t>the research pipeline as a flow</w:t>
      </w:r>
    </w:p>
    <w:p w14:paraId="28A4D5C8" w14:textId="77777777" w:rsidR="000048DD" w:rsidRDefault="002B39B7">
      <w:r>
        <w:rPr>
          <w:color w:val="000000"/>
        </w:rPr>
        <w:t>chart**; data sources and sample construction rules; three results slides; heterogeneity;</w:t>
      </w:r>
    </w:p>
    <w:p w14:paraId="56AA29C1" w14:textId="77777777" w:rsidR="000048DD" w:rsidRDefault="002B39B7">
      <w:r>
        <w:rPr>
          <w:color w:val="000000"/>
        </w:rPr>
        <w:t>robustness; conclusion; extensions; appendix and Q&amp;A backup.</w:t>
      </w:r>
    </w:p>
    <w:p w14:paraId="5910B19F" w14:textId="77777777" w:rsidR="000048DD" w:rsidRDefault="002B39B7">
      <w:r>
        <w:rPr>
          <w:color w:val="000000"/>
        </w:rPr>
        <w:t>Two hard requirements from the instructor's feedback on earlier groups: **no limitations</w:t>
      </w:r>
    </w:p>
    <w:p w14:paraId="707AF8CD" w14:textId="77777777" w:rsidR="000048DD" w:rsidRDefault="002B39B7">
      <w:r>
        <w:rPr>
          <w:color w:val="000000"/>
        </w:rPr>
        <w:t>on the slides</w:t>
      </w:r>
      <w:r>
        <w:rPr>
          <w:b/>
          <w:color w:val="000000"/>
        </w:rPr>
        <w:t xml:space="preserve"> (they belong in the written report), and </w:t>
      </w:r>
      <w:r>
        <w:rPr>
          <w:color w:val="000000"/>
        </w:rPr>
        <w:t>show the process and the logic</w:t>
      </w:r>
    </w:p>
    <w:p w14:paraId="38A7BAB9" w14:textId="77777777" w:rsidR="000048DD" w:rsidRDefault="002B39B7">
      <w:r>
        <w:rPr>
          <w:color w:val="000000"/>
        </w:rPr>
        <w:t>chain, not only the final result**.</w:t>
      </w:r>
    </w:p>
    <w:p w14:paraId="15B31491" w14:textId="77777777" w:rsidR="000048DD" w:rsidRDefault="002B39B7">
      <w:pPr>
        <w:pStyle w:val="1"/>
        <w:spacing w:before="280" w:after="120"/>
      </w:pPr>
      <w:bookmarkStart w:id="11" w:name="_Toc242216920"/>
      <w:r>
        <w:rPr>
          <w:rFonts w:ascii="Times New Roman" w:eastAsia="Arial" w:hAnsi="Times New Roman"/>
          <w:color w:val="000000"/>
          <w:sz w:val="30"/>
        </w:rPr>
        <w:t>12. Anticipated questions</w:t>
      </w:r>
      <w:bookmarkEnd w:id="11"/>
    </w:p>
    <w:p w14:paraId="1228AB7C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i/>
          <w:color w:val="000000"/>
        </w:rPr>
        <w:t>Endogeneity</w:t>
      </w:r>
      <w:r>
        <w:rPr>
          <w:color w:val="000000"/>
        </w:rPr>
        <w:t>: star analysts may pick stocks that would have risen anyway. Response:</w:t>
      </w:r>
    </w:p>
    <w:p w14:paraId="3D477F5A" w14:textId="77777777" w:rsidR="000048DD" w:rsidRDefault="002B39B7">
      <w:r>
        <w:rPr>
          <w:color w:val="000000"/>
        </w:rPr>
        <w:t>the 2018 spell without a list, "just outside the list" comparisons, and pre-event</w:t>
      </w:r>
    </w:p>
    <w:p w14:paraId="7AED6839" w14:textId="77777777" w:rsidR="000048DD" w:rsidRDefault="002B39B7">
      <w:r>
        <w:rPr>
          <w:color w:val="000000"/>
        </w:rPr>
        <w:lastRenderedPageBreak/>
        <w:t>controls.</w:t>
      </w:r>
    </w:p>
    <w:p w14:paraId="00C44C52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i/>
          <w:color w:val="000000"/>
        </w:rPr>
        <w:t>Sample selection</w:t>
      </w:r>
      <w:r>
        <w:rPr>
          <w:color w:val="000000"/>
        </w:rPr>
        <w:t>: the list covers only analysts who were voted on. Response: state</w:t>
      </w:r>
    </w:p>
    <w:p w14:paraId="05B091C7" w14:textId="77777777" w:rsidR="000048DD" w:rsidRDefault="002B39B7">
      <w:r>
        <w:rPr>
          <w:color w:val="000000"/>
        </w:rPr>
        <w:t>that the iFinD analyst universe and the voted universe differ, and drop analysts with</w:t>
      </w:r>
    </w:p>
    <w:p w14:paraId="61D5244F" w14:textId="77777777" w:rsidR="000048DD" w:rsidRDefault="002B39B7">
      <w:r>
        <w:rPr>
          <w:color w:val="000000"/>
        </w:rPr>
        <w:t>very few reports.</w:t>
      </w:r>
    </w:p>
    <w:p w14:paraId="48DEC5B2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i/>
          <w:color w:val="000000"/>
        </w:rPr>
        <w:t>Non-behavioural explanations</w:t>
      </w:r>
      <w:r>
        <w:rPr>
          <w:color w:val="000000"/>
        </w:rPr>
        <w:t>: liquidity shocks, index inclusion, media coverage.</w:t>
      </w:r>
    </w:p>
    <w:p w14:paraId="255313D5" w14:textId="77777777" w:rsidR="000048DD" w:rsidRDefault="002B39B7">
      <w:r>
        <w:rPr>
          <w:color w:val="000000"/>
        </w:rPr>
        <w:t>Response: control turnover and size, test whether reversal survives transaction costs.</w:t>
      </w:r>
    </w:p>
    <w:p w14:paraId="7F2CA7DE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i/>
          <w:color w:val="000000"/>
        </w:rPr>
        <w:t>The link between data and topic</w:t>
      </w:r>
      <w:r>
        <w:rPr>
          <w:color w:val="000000"/>
        </w:rPr>
        <w:t>: be ready to show the mapping slide and explain how</w:t>
      </w:r>
    </w:p>
    <w:p w14:paraId="6F30F984" w14:textId="77777777" w:rsidR="000048DD" w:rsidRDefault="002B39B7">
      <w:r>
        <w:rPr>
          <w:color w:val="000000"/>
        </w:rPr>
        <w:t>each variable proxies what it claims to proxy.</w:t>
      </w:r>
    </w:p>
    <w:p w14:paraId="44E11F2F" w14:textId="77777777" w:rsidR="000048DD" w:rsidRDefault="002B39B7">
      <w:pPr>
        <w:pStyle w:val="1"/>
        <w:spacing w:before="280" w:after="120"/>
      </w:pPr>
      <w:bookmarkStart w:id="12" w:name="_Toc242216921"/>
      <w:r>
        <w:rPr>
          <w:rFonts w:ascii="Times New Roman" w:eastAsia="Arial" w:hAnsi="Times New Roman"/>
          <w:color w:val="000000"/>
          <w:sz w:val="30"/>
        </w:rPr>
        <w:t>13. References</w:t>
      </w:r>
      <w:bookmarkEnd w:id="12"/>
    </w:p>
    <w:p w14:paraId="0B762D03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1. Stickel, S. E. (1992). Reputation and Performance Among Security Analysts. </w:t>
      </w:r>
      <w:r>
        <w:rPr>
          <w:i/>
          <w:color w:val="000000"/>
        </w:rPr>
        <w:t>Journal of Finance</w:t>
      </w:r>
      <w:r>
        <w:rPr>
          <w:color w:val="000000"/>
        </w:rPr>
        <w:t>, 47(5), 1811-1836.</w:t>
      </w:r>
    </w:p>
    <w:p w14:paraId="4FA984E3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2. Bonner, S. E., Hugon, A., &amp; Walther, B. R. (2007). Investor Reaction to Celebrity Analysts: The Case of Earnings Forecast Revisions. </w:t>
      </w:r>
      <w:r>
        <w:rPr>
          <w:i/>
          <w:color w:val="000000"/>
        </w:rPr>
        <w:t>Journal of Accounting Research</w:t>
      </w:r>
      <w:r>
        <w:rPr>
          <w:color w:val="000000"/>
        </w:rPr>
        <w:t>, 45(3), 481-513.</w:t>
      </w:r>
    </w:p>
    <w:p w14:paraId="355BC62B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3. Loh, R. K., &amp; Stulz, R. M. (2011). When Are Analyst Recommendation Changes Influential? </w:t>
      </w:r>
      <w:r>
        <w:rPr>
          <w:i/>
          <w:color w:val="000000"/>
        </w:rPr>
        <w:t>Review of Financial Studies</w:t>
      </w:r>
      <w:r>
        <w:rPr>
          <w:color w:val="000000"/>
        </w:rPr>
        <w:t>, 24(2), 593-627.</w:t>
      </w:r>
    </w:p>
    <w:p w14:paraId="1CCE20F6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4. Fang, L. H., &amp; Yasuda, A. (2009). The Effectiveness of Reputation as a Disciplinary Mechanism in Sell-Side Research. </w:t>
      </w:r>
      <w:r>
        <w:rPr>
          <w:i/>
          <w:color w:val="000000"/>
        </w:rPr>
        <w:t>Review of Financial Studies</w:t>
      </w:r>
      <w:r>
        <w:rPr>
          <w:color w:val="000000"/>
        </w:rPr>
        <w:t>, 22(9), 3735-3777.</w:t>
      </w:r>
    </w:p>
    <w:p w14:paraId="2AD33FD5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5. Fang, L. H., &amp; Yasuda, A. (2014). Are Stars' Opinions Worth More? The Relation Between Analyst Reputation and Recommendation Values. </w:t>
      </w:r>
      <w:r>
        <w:rPr>
          <w:i/>
          <w:color w:val="000000"/>
        </w:rPr>
        <w:t>Journal of Financial Services Research</w:t>
      </w:r>
      <w:r>
        <w:rPr>
          <w:color w:val="000000"/>
        </w:rPr>
        <w:t>, 46(3), 235-269.</w:t>
      </w:r>
    </w:p>
    <w:p w14:paraId="05448648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6. Milgram, S. (1963). Behavioral Study of Obedience. </w:t>
      </w:r>
      <w:r>
        <w:rPr>
          <w:i/>
          <w:color w:val="000000"/>
        </w:rPr>
        <w:t>Journal of Abnormal and Social Psychology</w:t>
      </w:r>
      <w:r>
        <w:rPr>
          <w:color w:val="000000"/>
        </w:rPr>
        <w:t>, 67(4), 371-378.</w:t>
      </w:r>
    </w:p>
    <w:p w14:paraId="30E0189A" w14:textId="77777777" w:rsidR="000048DD" w:rsidRDefault="002B39B7">
      <w:pPr>
        <w:spacing w:after="80"/>
        <w:ind w:left="425" w:hanging="425"/>
      </w:pPr>
      <w:r>
        <w:rPr>
          <w:color w:val="000000"/>
        </w:rPr>
        <w:t xml:space="preserve">7. </w:t>
      </w:r>
      <w:r>
        <w:rPr>
          <w:color w:val="000000"/>
        </w:rPr>
        <w:t>李勇</w:t>
      </w:r>
      <w:r>
        <w:rPr>
          <w:color w:val="000000"/>
        </w:rPr>
        <w:t xml:space="preserve">, </w:t>
      </w:r>
      <w:r>
        <w:rPr>
          <w:color w:val="000000"/>
        </w:rPr>
        <w:t>王莉</w:t>
      </w:r>
      <w:r>
        <w:rPr>
          <w:color w:val="000000"/>
        </w:rPr>
        <w:t xml:space="preserve">, </w:t>
      </w:r>
      <w:r>
        <w:rPr>
          <w:color w:val="000000"/>
        </w:rPr>
        <w:t>王满仓</w:t>
      </w:r>
      <w:r>
        <w:rPr>
          <w:color w:val="000000"/>
        </w:rPr>
        <w:t xml:space="preserve"> (2015). </w:t>
      </w:r>
      <w:r>
        <w:rPr>
          <w:color w:val="000000"/>
        </w:rPr>
        <w:t>明星分析师的推荐评级更具价值吗</w:t>
      </w:r>
      <w:r>
        <w:rPr>
          <w:color w:val="000000"/>
        </w:rPr>
        <w:t xml:space="preserve">. </w:t>
      </w:r>
      <w:r>
        <w:rPr>
          <w:color w:val="000000"/>
        </w:rPr>
        <w:t>《投资研究》</w:t>
      </w:r>
      <w:r>
        <w:rPr>
          <w:color w:val="000000"/>
        </w:rPr>
        <w:t>, 34(5), 143-160.</w:t>
      </w:r>
    </w:p>
    <w:p w14:paraId="201C9860" w14:textId="77777777" w:rsidR="000048DD" w:rsidRDefault="002B39B7">
      <w:pPr>
        <w:pStyle w:val="1"/>
        <w:spacing w:before="280" w:after="120"/>
      </w:pPr>
      <w:bookmarkStart w:id="13" w:name="_Toc242216922"/>
      <w:r>
        <w:rPr>
          <w:rFonts w:ascii="Times New Roman" w:eastAsia="Arial" w:hAnsi="Times New Roman"/>
          <w:color w:val="000000"/>
          <w:sz w:val="30"/>
        </w:rPr>
        <w:t>14. Known limitations to disclose</w:t>
      </w:r>
      <w:bookmarkEnd w:id="13"/>
    </w:p>
    <w:p w14:paraId="040E58D8" w14:textId="77777777" w:rsidR="000048DD" w:rsidRDefault="002B39B7">
      <w:pPr>
        <w:pStyle w:val="a0"/>
        <w:spacing w:after="60"/>
      </w:pPr>
      <w:r>
        <w:rPr>
          <w:color w:val="000000"/>
        </w:rPr>
        <w:t>The 2018 New Fortune list had to be reconstructed from the 2017 ranking; it is an</w:t>
      </w:r>
    </w:p>
    <w:p w14:paraId="35731243" w14:textId="77777777" w:rsidR="000048DD" w:rsidRDefault="002B39B7">
      <w:r>
        <w:rPr>
          <w:color w:val="000000"/>
        </w:rPr>
        <w:t>inference, not a published 2018 list.</w:t>
      </w:r>
    </w:p>
    <w:p w14:paraId="1A906C3C" w14:textId="77777777" w:rsidR="000048DD" w:rsidRDefault="002B39B7">
      <w:pPr>
        <w:pStyle w:val="a0"/>
        <w:spacing w:after="60"/>
      </w:pPr>
      <w:r>
        <w:rPr>
          <w:color w:val="000000"/>
        </w:rPr>
        <w:t>CICC (</w:t>
      </w:r>
      <w:r>
        <w:rPr>
          <w:color w:val="000000"/>
        </w:rPr>
        <w:t>中金公司</w:t>
      </w:r>
      <w:r>
        <w:rPr>
          <w:color w:val="000000"/>
        </w:rPr>
        <w:t>) has no records at all in the iFinD rating detail, so its analysts can</w:t>
      </w:r>
    </w:p>
    <w:p w14:paraId="3194EFBF" w14:textId="77777777" w:rsidR="000048DD" w:rsidRDefault="002B39B7">
      <w:r>
        <w:rPr>
          <w:color w:val="000000"/>
        </w:rPr>
        <w:t xml:space="preserve">never be matched. The 237 hits for </w:t>
      </w:r>
      <w:r>
        <w:rPr>
          <w:color w:val="000000"/>
        </w:rPr>
        <w:t>中金公司</w:t>
      </w:r>
      <w:r>
        <w:rPr>
          <w:color w:val="000000"/>
        </w:rPr>
        <w:t xml:space="preserve"> across the extracts are all the stock</w:t>
      </w:r>
    </w:p>
    <w:p w14:paraId="39BE43D6" w14:textId="77777777" w:rsidR="000048DD" w:rsidRDefault="002B39B7">
      <w:r>
        <w:rPr>
          <w:color w:val="000000"/>
        </w:rPr>
        <w:t>601995.SH, not the broker. Its ranked entries are all fixed income, ranked 1st in</w:t>
      </w:r>
    </w:p>
    <w:p w14:paraId="533D2D3A" w14:textId="77777777" w:rsidR="000048DD" w:rsidRDefault="002B39B7">
      <w:r>
        <w:rPr>
          <w:color w:val="000000"/>
        </w:rPr>
        <w:t>2017, 3rd in 2019 and 4th in 2020, and those teams file no stock recommendations.</w:t>
      </w:r>
    </w:p>
    <w:p w14:paraId="6CFCE4A8" w14:textId="77777777" w:rsidR="000048DD" w:rsidRDefault="002B39B7">
      <w:pPr>
        <w:pStyle w:val="a0"/>
        <w:spacing w:after="60"/>
      </w:pPr>
      <w:r>
        <w:rPr>
          <w:color w:val="000000"/>
        </w:rPr>
        <w:lastRenderedPageBreak/>
        <w:t>The ST filter is an approximation because historical ST status is unobtainable.</w:t>
      </w:r>
    </w:p>
    <w:p w14:paraId="3CDCF206" w14:textId="77777777" w:rsidR="000048DD" w:rsidRDefault="002B39B7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资历</w:t>
      </w:r>
      <w:r>
        <w:rPr>
          <w:color w:val="000000"/>
        </w:rPr>
        <w:t xml:space="preserve"> is censored at the source floor. The analyst rating detail begins in June 2009,</w:t>
      </w:r>
    </w:p>
    <w:p w14:paraId="033DA6BA" w14:textId="77777777" w:rsidR="000048DD" w:rsidRDefault="002B39B7">
      <w:r>
        <w:rPr>
          <w:color w:val="000000"/>
        </w:rPr>
        <w:t>so the 18.8% of analysts whose first report sits at that boundary cannot be ranked</w:t>
      </w:r>
    </w:p>
    <w:p w14:paraId="6F31D92D" w14:textId="77777777" w:rsidR="000048DD" w:rsidRDefault="002B39B7">
      <w:r>
        <w:rPr>
          <w:color w:val="000000"/>
        </w:rPr>
        <w:t>against one another, and December 2012 is absent from the source. Neither gap can be</w:t>
      </w:r>
    </w:p>
    <w:p w14:paraId="6665889C" w14:textId="77777777" w:rsidR="000048DD" w:rsidRDefault="002B39B7">
      <w:r>
        <w:rPr>
          <w:color w:val="000000"/>
        </w:rPr>
        <w:t>closed with this data. Correlation with the event year is 0.130, so year fixed effects</w:t>
      </w:r>
    </w:p>
    <w:p w14:paraId="6036C3C7" w14:textId="77777777" w:rsidR="000048DD" w:rsidRDefault="002B39B7">
      <w:r>
        <w:rPr>
          <w:color w:val="000000"/>
        </w:rPr>
        <w:t>remain advisable but the variable no longer merely counts calendar time. For the censored</w:t>
      </w:r>
    </w:p>
    <w:p w14:paraId="300193D8" w14:textId="77777777" w:rsidR="000048DD" w:rsidRDefault="002B39B7">
      <w:r>
        <w:rPr>
          <w:color w:val="000000"/>
        </w:rPr>
        <w:t>group the value is a lower bound on true tenure, so the seniority coefficient is</w:t>
      </w:r>
    </w:p>
    <w:p w14:paraId="4791842F" w14:textId="77777777" w:rsidR="000048DD" w:rsidRDefault="002B39B7">
      <w:r>
        <w:rPr>
          <w:color w:val="000000"/>
        </w:rPr>
        <w:t>attenuated rather than inflated, and a robustness run drops those events.</w:t>
      </w:r>
    </w:p>
    <w:p w14:paraId="3488DA30" w14:textId="77777777" w:rsidR="000048DD" w:rsidRDefault="002B39B7">
      <w:pPr>
        <w:pStyle w:val="a0"/>
        <w:spacing w:after="60"/>
      </w:pPr>
      <w:r>
        <w:rPr>
          <w:color w:val="000000"/>
        </w:rPr>
        <w:t>The broker tier is a self-constructed proxy based on research output, not an external</w:t>
      </w:r>
    </w:p>
    <w:p w14:paraId="0127387C" w14:textId="77777777" w:rsidR="000048DD" w:rsidRDefault="002B39B7">
      <w:r>
        <w:rPr>
          <w:color w:val="000000"/>
        </w:rPr>
        <w:t>ranking.</w:t>
      </w:r>
    </w:p>
    <w:p w14:paraId="58AEA6BE" w14:textId="77777777" w:rsidR="000048DD" w:rsidRDefault="002B39B7">
      <w:pPr>
        <w:pStyle w:val="a0"/>
        <w:spacing w:after="60"/>
      </w:pPr>
      <w:r>
        <w:rPr>
          <w:color w:val="000000"/>
        </w:rPr>
        <w:t>Broker names needed canonicalising before matching (</w:t>
      </w:r>
      <w:r>
        <w:rPr>
          <w:color w:val="000000"/>
        </w:rPr>
        <w:t>中信建投</w:t>
      </w:r>
      <w:r>
        <w:rPr>
          <w:color w:val="000000"/>
        </w:rPr>
        <w:t xml:space="preserve"> / </w:t>
      </w:r>
      <w:r>
        <w:rPr>
          <w:color w:val="000000"/>
        </w:rPr>
        <w:t>中信建投证券</w:t>
      </w:r>
      <w:r>
        <w:rPr>
          <w:color w:val="000000"/>
        </w:rPr>
        <w:t xml:space="preserve">, </w:t>
      </w:r>
      <w:r>
        <w:rPr>
          <w:color w:val="000000"/>
        </w:rPr>
        <w:t>中国银河</w:t>
      </w:r>
      <w:r>
        <w:rPr>
          <w:color w:val="000000"/>
        </w:rPr>
        <w:t xml:space="preserve"> /</w:t>
      </w:r>
    </w:p>
    <w:p w14:paraId="3F3F9B9E" w14:textId="77777777" w:rsidR="000048DD" w:rsidRDefault="002B39B7">
      <w:r>
        <w:rPr>
          <w:color w:val="000000"/>
        </w:rPr>
        <w:t>中国银河证券</w:t>
      </w:r>
      <w:r>
        <w:rPr>
          <w:color w:val="000000"/>
        </w:rPr>
        <w:t xml:space="preserve">, </w:t>
      </w:r>
      <w:r>
        <w:rPr>
          <w:color w:val="000000"/>
        </w:rPr>
        <w:t>中银证券</w:t>
      </w:r>
      <w:r>
        <w:rPr>
          <w:color w:val="000000"/>
        </w:rPr>
        <w:t xml:space="preserve"> / </w:t>
      </w:r>
      <w:r>
        <w:rPr>
          <w:color w:val="000000"/>
        </w:rPr>
        <w:t>中银国际证券</w:t>
      </w:r>
      <w:r>
        <w:rPr>
          <w:color w:val="000000"/>
        </w:rPr>
        <w:t xml:space="preserve">, and the renames </w:t>
      </w:r>
      <w:r>
        <w:rPr>
          <w:color w:val="000000"/>
        </w:rPr>
        <w:t>联讯证券</w:t>
      </w:r>
      <w:r>
        <w:rPr>
          <w:color w:val="000000"/>
        </w:rPr>
        <w:t xml:space="preserve"> to </w:t>
      </w:r>
      <w:r>
        <w:rPr>
          <w:color w:val="000000"/>
        </w:rPr>
        <w:t>粤开证券</w:t>
      </w:r>
      <w:r>
        <w:rPr>
          <w:color w:val="000000"/>
        </w:rPr>
        <w:t xml:space="preserve"> and </w:t>
      </w:r>
      <w:r>
        <w:rPr>
          <w:color w:val="000000"/>
        </w:rPr>
        <w:t>财富证券</w:t>
      </w:r>
    </w:p>
    <w:p w14:paraId="0641E47A" w14:textId="77777777" w:rsidR="000048DD" w:rsidRDefault="002B39B7">
      <w:r>
        <w:rPr>
          <w:color w:val="000000"/>
        </w:rPr>
        <w:t xml:space="preserve">to </w:t>
      </w:r>
      <w:r>
        <w:rPr>
          <w:color w:val="000000"/>
        </w:rPr>
        <w:t>财信证券</w:t>
      </w:r>
      <w:r>
        <w:rPr>
          <w:color w:val="000000"/>
        </w:rPr>
        <w:t xml:space="preserve">). Matching on the raw string understated </w:t>
      </w:r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 xml:space="preserve"> by 87 events, and it</w:t>
      </w:r>
    </w:p>
    <w:p w14:paraId="28E6DB43" w14:textId="77777777" w:rsidR="000048DD" w:rsidRDefault="002B39B7">
      <w:r>
        <w:rPr>
          <w:color w:val="000000"/>
        </w:rPr>
        <w:t xml:space="preserve">split </w:t>
      </w:r>
      <w:r>
        <w:rPr>
          <w:color w:val="000000"/>
        </w:rPr>
        <w:t>中信建投</w:t>
      </w:r>
      <w:r>
        <w:rPr>
          <w:color w:val="000000"/>
        </w:rPr>
        <w:t>'s record count, which had placed the firm in the wrong tier. Merging</w:t>
      </w:r>
    </w:p>
    <w:p w14:paraId="3B7662FF" w14:textId="77777777" w:rsidR="000048DD" w:rsidRDefault="002B39B7">
      <w:r>
        <w:rPr>
          <w:color w:val="000000"/>
        </w:rPr>
        <w:t>the names moves 1,370 events (6.5%) to a different tier.</w:t>
      </w:r>
    </w:p>
    <w:p w14:paraId="47C09951" w14:textId="77777777" w:rsidR="000048DD" w:rsidRDefault="002B39B7">
      <w:pPr>
        <w:pStyle w:val="a0"/>
        <w:spacing w:after="60"/>
      </w:pPr>
      <w:r>
        <w:rPr>
          <w:color w:val="000000"/>
        </w:rPr>
        <w:t>Events tagged to a subsidiary (</w:t>
      </w:r>
      <w:r>
        <w:rPr>
          <w:color w:val="000000"/>
        </w:rPr>
        <w:t>华泰金融</w:t>
      </w:r>
      <w:r>
        <w:rPr>
          <w:color w:val="000000"/>
        </w:rPr>
        <w:t xml:space="preserve">(HK), </w:t>
      </w:r>
      <w:r>
        <w:rPr>
          <w:color w:val="000000"/>
        </w:rPr>
        <w:t>海通国际</w:t>
      </w:r>
      <w:r>
        <w:rPr>
          <w:color w:val="000000"/>
        </w:rPr>
        <w:t xml:space="preserve">, </w:t>
      </w:r>
      <w:r>
        <w:rPr>
          <w:color w:val="000000"/>
        </w:rPr>
        <w:t>群益证券</w:t>
      </w:r>
      <w:r>
        <w:rPr>
          <w:color w:val="000000"/>
        </w:rPr>
        <w:t>(</w:t>
      </w:r>
      <w:r>
        <w:rPr>
          <w:color w:val="000000"/>
        </w:rPr>
        <w:t>香港</w:t>
      </w:r>
      <w:r>
        <w:rPr>
          <w:color w:val="000000"/>
        </w:rPr>
        <w:t>) and similar) can</w:t>
      </w:r>
    </w:p>
    <w:p w14:paraId="42C6999C" w14:textId="77777777" w:rsidR="000048DD" w:rsidRDefault="002B39B7">
      <w:r>
        <w:rPr>
          <w:color w:val="000000"/>
        </w:rPr>
        <w:t xml:space="preserve">never be </w:t>
      </w:r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>, because the ranked analysts sit at the parent firm.</w:t>
      </w:r>
    </w:p>
    <w:p w14:paraId="57FFBFB3" w14:textId="77777777" w:rsidR="000048DD" w:rsidRDefault="002B39B7">
      <w:pPr>
        <w:pStyle w:val="a0"/>
        <w:spacing w:after="60"/>
      </w:pPr>
      <w:r>
        <w:rPr>
          <w:color w:val="000000"/>
        </w:rPr>
        <w:t>Twenty events (0.1%) have no analyst name in the source, so they can be neither matched</w:t>
      </w:r>
    </w:p>
    <w:p w14:paraId="096A218E" w14:textId="77777777" w:rsidR="000048DD" w:rsidRDefault="002B39B7">
      <w:r>
        <w:rPr>
          <w:color w:val="000000"/>
        </w:rPr>
        <w:t xml:space="preserve">to the list nor dated. They keep their broker and are coded </w:t>
      </w:r>
      <w:r>
        <w:rPr>
          <w:rFonts w:ascii="Consolas" w:hAnsi="Consolas"/>
          <w:color w:val="000000"/>
          <w:sz w:val="22"/>
        </w:rPr>
        <w:t>star = 0</w:t>
      </w:r>
      <w:r>
        <w:rPr>
          <w:color w:val="000000"/>
        </w:rPr>
        <w:t>.</w:t>
      </w:r>
    </w:p>
    <w:p w14:paraId="4795EACD" w14:textId="77777777" w:rsidR="000048DD" w:rsidRDefault="002B39B7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资历</w:t>
      </w:r>
      <w:r>
        <w:rPr>
          <w:color w:val="000000"/>
        </w:rPr>
        <w:t xml:space="preserve"> is keyed on the analyst name alone, so an analyst who shares a name with a veteran</w:t>
      </w:r>
    </w:p>
    <w:p w14:paraId="5D5D8660" w14:textId="77777777" w:rsidR="000048DD" w:rsidRDefault="002B39B7">
      <w:r>
        <w:rPr>
          <w:color w:val="000000"/>
        </w:rPr>
        <w:t>inherits that veteran's first report date and the seniority is overstated. The report</w:t>
      </w:r>
    </w:p>
    <w:p w14:paraId="67F8EAC9" w14:textId="77777777" w:rsidR="000048DD" w:rsidRDefault="002B39B7">
      <w:r>
        <w:rPr>
          <w:color w:val="000000"/>
        </w:rPr>
        <w:t>counts show such names exist: the largest reach 6,805 records, which no one person files.</w:t>
      </w:r>
    </w:p>
    <w:sectPr w:rsidR="000048DD" w:rsidSect="00034616">
      <w:footerReference w:type="default" r:id="rId8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339D" w14:textId="77777777" w:rsidR="002B39B7" w:rsidRDefault="002B39B7">
      <w:pPr>
        <w:spacing w:after="0" w:line="240" w:lineRule="auto"/>
      </w:pPr>
      <w:r>
        <w:separator/>
      </w:r>
    </w:p>
  </w:endnote>
  <w:endnote w:type="continuationSeparator" w:id="0">
    <w:p w14:paraId="3AE45A68" w14:textId="77777777" w:rsidR="002B39B7" w:rsidRDefault="002B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9DE7" w14:textId="77777777" w:rsidR="000048DD" w:rsidRDefault="002B39B7">
    <w:pPr>
      <w:pStyle w:val="a7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EB36EF">
      <w:rPr>
        <w:color w:val="808080"/>
        <w:sz w:val="18"/>
      </w:rPr>
      <w:fldChar w:fldCharType="separate"/>
    </w:r>
    <w:r w:rsidR="00EB36EF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8F2DD" w14:textId="77777777" w:rsidR="002B39B7" w:rsidRDefault="002B39B7">
      <w:pPr>
        <w:spacing w:after="0" w:line="240" w:lineRule="auto"/>
      </w:pPr>
      <w:r>
        <w:separator/>
      </w:r>
    </w:p>
  </w:footnote>
  <w:footnote w:type="continuationSeparator" w:id="0">
    <w:p w14:paraId="63982880" w14:textId="77777777" w:rsidR="002B39B7" w:rsidRDefault="002B3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204532">
    <w:abstractNumId w:val="8"/>
  </w:num>
  <w:num w:numId="2" w16cid:durableId="573976477">
    <w:abstractNumId w:val="6"/>
  </w:num>
  <w:num w:numId="3" w16cid:durableId="1798571884">
    <w:abstractNumId w:val="5"/>
  </w:num>
  <w:num w:numId="4" w16cid:durableId="1496187695">
    <w:abstractNumId w:val="4"/>
  </w:num>
  <w:num w:numId="5" w16cid:durableId="1041856606">
    <w:abstractNumId w:val="7"/>
  </w:num>
  <w:num w:numId="6" w16cid:durableId="1678923084">
    <w:abstractNumId w:val="3"/>
  </w:num>
  <w:num w:numId="7" w16cid:durableId="840656680">
    <w:abstractNumId w:val="2"/>
  </w:num>
  <w:num w:numId="8" w16cid:durableId="398097432">
    <w:abstractNumId w:val="1"/>
  </w:num>
  <w:num w:numId="9" w16cid:durableId="128708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DD"/>
    <w:rsid w:val="00034616"/>
    <w:rsid w:val="0006063C"/>
    <w:rsid w:val="0015074B"/>
    <w:rsid w:val="0029639D"/>
    <w:rsid w:val="002B39B7"/>
    <w:rsid w:val="00326F90"/>
    <w:rsid w:val="005E13AB"/>
    <w:rsid w:val="00AA1D8D"/>
    <w:rsid w:val="00B47730"/>
    <w:rsid w:val="00CB0664"/>
    <w:rsid w:val="00EB3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9483E4"/>
  <w14:defaultImageDpi w14:val="300"/>
  <w15:docId w15:val="{34E17C8C-08FE-45E9-9F4A-74981A30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7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B36EF"/>
  </w:style>
  <w:style w:type="character" w:styleId="aff9">
    <w:name w:val="Hyperlink"/>
    <w:basedOn w:val="a2"/>
    <w:uiPriority w:val="99"/>
    <w:unhideWhenUsed/>
    <w:rsid w:val="00EB36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2278</Words>
  <Characters>12989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Aoning Ye (SME,124020418)</cp:lastModifiedBy>
  <cp:revision>2</cp:revision>
  <dcterms:created xsi:type="dcterms:W3CDTF">2013-12-23T23:15:00Z</dcterms:created>
  <dcterms:modified xsi:type="dcterms:W3CDTF">2026-10-06T14:07:00Z</dcterms:modified>
  <cp:category/>
</cp:coreProperties>
</file>