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24BFA" w14:textId="77777777" w:rsidR="00FE1AD6" w:rsidRDefault="001C3110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14999296" w14:textId="77777777" w:rsidR="00FE1AD6" w:rsidRDefault="001C3110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62993305" w14:textId="77777777" w:rsidR="00FE1AD6" w:rsidRDefault="001C3110">
      <w:r>
        <w:rPr>
          <w:color w:val="000000"/>
        </w:rPr>
        <w:t>FIN4080 Behavioral Finance · The Chinese University of Hong Kong, Shenzhen</w:t>
      </w:r>
    </w:p>
    <w:p w14:paraId="2A473F4E" w14:textId="77777777" w:rsidR="00FE1AD6" w:rsidRDefault="001C3110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0A5449D0" w14:textId="77777777" w:rsidR="00FE1AD6" w:rsidRDefault="001C3110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5EA0660F" w14:textId="77777777" w:rsidR="00FE1AD6" w:rsidRDefault="001C3110">
      <w:r>
        <w:rPr>
          <w:color w:val="000000"/>
        </w:rPr>
        <w:t>Status as of: 18 October 2026</w:t>
      </w:r>
    </w:p>
    <w:p w14:paraId="4A7841D0" w14:textId="77777777" w:rsidR="00FE1AD6" w:rsidRDefault="001C3110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0281A5C7" w14:textId="77777777" w:rsidR="00FE1AD6" w:rsidRDefault="00FE1AD6">
      <w:pPr>
        <w:pBdr>
          <w:bottom w:val="single" w:sz="6" w:space="1" w:color="BFBFBF"/>
        </w:pBdr>
        <w:spacing w:before="40" w:after="40"/>
      </w:pPr>
    </w:p>
    <w:p w14:paraId="42C17545" w14:textId="77777777" w:rsidR="00FE1AD6" w:rsidRDefault="001C3110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350508DF" w14:textId="588CC1EB" w:rsidR="003B0E60" w:rsidRDefault="001C311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4993" w:history="1">
        <w:r w:rsidR="003B0E60" w:rsidRPr="00054513">
          <w:rPr>
            <w:rStyle w:val="aff9"/>
            <w:rFonts w:eastAsia="Arial"/>
            <w:noProof/>
          </w:rPr>
          <w:t>1. Research question</w:t>
        </w:r>
        <w:r w:rsidR="003B0E60">
          <w:rPr>
            <w:rFonts w:hint="eastAsia"/>
            <w:noProof/>
            <w:webHidden/>
          </w:rPr>
          <w:tab/>
        </w:r>
        <w:r w:rsidR="003B0E60">
          <w:rPr>
            <w:rFonts w:hint="eastAsia"/>
            <w:noProof/>
            <w:webHidden/>
          </w:rPr>
          <w:fldChar w:fldCharType="begin"/>
        </w:r>
        <w:r w:rsidR="003B0E60">
          <w:rPr>
            <w:rFonts w:hint="eastAsia"/>
            <w:noProof/>
            <w:webHidden/>
          </w:rPr>
          <w:instrText xml:space="preserve"> </w:instrText>
        </w:r>
        <w:r w:rsidR="003B0E60">
          <w:rPr>
            <w:noProof/>
            <w:webHidden/>
          </w:rPr>
          <w:instrText>PAGEREF _Toc243234993 \h</w:instrText>
        </w:r>
        <w:r w:rsidR="003B0E60">
          <w:rPr>
            <w:rFonts w:hint="eastAsia"/>
            <w:noProof/>
            <w:webHidden/>
          </w:rPr>
          <w:instrText xml:space="preserve"> </w:instrText>
        </w:r>
        <w:r w:rsidR="003B0E60">
          <w:rPr>
            <w:rFonts w:hint="eastAsia"/>
            <w:noProof/>
            <w:webHidden/>
          </w:rPr>
        </w:r>
        <w:r w:rsidR="003B0E60">
          <w:rPr>
            <w:rFonts w:hint="eastAsia"/>
            <w:noProof/>
            <w:webHidden/>
          </w:rPr>
          <w:fldChar w:fldCharType="separate"/>
        </w:r>
        <w:r w:rsidR="003B0E60">
          <w:rPr>
            <w:noProof/>
            <w:webHidden/>
          </w:rPr>
          <w:t>1</w:t>
        </w:r>
        <w:r w:rsidR="003B0E60">
          <w:rPr>
            <w:rFonts w:hint="eastAsia"/>
            <w:noProof/>
            <w:webHidden/>
          </w:rPr>
          <w:fldChar w:fldCharType="end"/>
        </w:r>
      </w:hyperlink>
    </w:p>
    <w:p w14:paraId="1D322D3A" w14:textId="0D62472E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4" w:history="1">
        <w:r w:rsidRPr="00054513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DD839" w14:textId="66733649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5" w:history="1">
        <w:r w:rsidRPr="00054513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CC77E" w14:textId="456473B4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6" w:history="1">
        <w:r w:rsidRPr="00054513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5DFCDF" w14:textId="54D54D65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7" w:history="1">
        <w:r w:rsidRPr="00054513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BAD785" w14:textId="277B8C3F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8" w:history="1">
        <w:r w:rsidRPr="00054513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EAE15B" w14:textId="6B0AC5B5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999" w:history="1">
        <w:r w:rsidRPr="00054513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44A4F" w14:textId="6395A32B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0" w:history="1">
        <w:r w:rsidRPr="00054513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33820F" w14:textId="1769BFC5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1" w:history="1">
        <w:r w:rsidRPr="00054513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112642" w14:textId="373AB1C0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2" w:history="1">
        <w:r w:rsidRPr="00054513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57D47" w14:textId="64E0CE15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3" w:history="1">
        <w:r w:rsidRPr="00054513">
          <w:rPr>
            <w:rStyle w:val="aff9"/>
            <w:rFonts w:eastAsia="Arial"/>
            <w:noProof/>
          </w:rPr>
          <w:t>11. Presentation and written report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D3FBB0" w14:textId="2F856113" w:rsidR="003B0E60" w:rsidRDefault="003B0E60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4" w:history="1">
        <w:r w:rsidRPr="00054513">
          <w:rPr>
            <w:rStyle w:val="aff9"/>
            <w:rFonts w:eastAsia="Arial"/>
            <w:noProof/>
          </w:rPr>
          <w:t>11.1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6B622F" w14:textId="6BCD1BA0" w:rsidR="003B0E60" w:rsidRDefault="003B0E60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5" w:history="1">
        <w:r w:rsidRPr="00054513">
          <w:rPr>
            <w:rStyle w:val="aff9"/>
            <w:rFonts w:eastAsia="Arial"/>
            <w:noProof/>
          </w:rPr>
          <w:t>11.2 Written report outline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A27759" w14:textId="266A5DA2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6" w:history="1">
        <w:r w:rsidRPr="00054513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C955BE" w14:textId="09CD084D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7" w:history="1">
        <w:r w:rsidRPr="00054513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EB2DA4" w14:textId="14B82022" w:rsidR="003B0E60" w:rsidRDefault="003B0E6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08" w:history="1">
        <w:r w:rsidRPr="00054513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BCB7D5" w14:textId="7342E1B0" w:rsidR="00FE1AD6" w:rsidRDefault="001C3110">
      <w:r>
        <w:rPr>
          <w:color w:val="000000"/>
        </w:rPr>
        <w:fldChar w:fldCharType="end"/>
      </w:r>
    </w:p>
    <w:p w14:paraId="6CE50FBD" w14:textId="77777777" w:rsidR="00FE1AD6" w:rsidRDefault="001C3110">
      <w:pPr>
        <w:pStyle w:val="1"/>
        <w:spacing w:before="280" w:after="120"/>
      </w:pPr>
      <w:bookmarkStart w:id="0" w:name="_Toc243234993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2A99A9B1" w14:textId="77777777" w:rsidR="00FE1AD6" w:rsidRDefault="001C3110">
      <w:r>
        <w:rPr>
          <w:color w:val="000000"/>
        </w:rPr>
        <w:t>Milgram's obedience experiments show that people comply with authority even against</w:t>
      </w:r>
    </w:p>
    <w:p w14:paraId="640FB1A8" w14:textId="77777777" w:rsidR="00FE1AD6" w:rsidRDefault="001C3110">
      <w:r>
        <w:rPr>
          <w:color w:val="000000"/>
        </w:rPr>
        <w:lastRenderedPageBreak/>
        <w:t>their own judgement. This project measures how the market responds to authority rather</w:t>
      </w:r>
    </w:p>
    <w:p w14:paraId="491F6960" w14:textId="77777777" w:rsidR="00FE1AD6" w:rsidRDefault="001C3110">
      <w:r>
        <w:rPr>
          <w:color w:val="000000"/>
        </w:rPr>
        <w:t>than surveying investors: how do prices, volume and subsequent returns respond to</w:t>
      </w:r>
    </w:p>
    <w:p w14:paraId="551A5E91" w14:textId="77777777" w:rsidR="00FE1AD6" w:rsidRDefault="001C3110">
      <w:r>
        <w:rPr>
          <w:color w:val="000000"/>
        </w:rPr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6FAAC095" w14:textId="77777777" w:rsidR="00FE1AD6" w:rsidRDefault="001C3110">
      <w:r>
        <w:rPr>
          <w:color w:val="000000"/>
        </w:rPr>
        <w:t>The assignment poses four questions that must each be answered:</w:t>
      </w:r>
    </w:p>
    <w:p w14:paraId="04AB0127" w14:textId="77777777" w:rsidR="00FE1AD6" w:rsidRDefault="001C3110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2F57F3BC" w14:textId="77777777" w:rsidR="00FE1AD6" w:rsidRDefault="001C3110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5C2E4079" w14:textId="77777777" w:rsidR="00FE1AD6" w:rsidRDefault="001C3110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756C3F3D" w14:textId="77777777" w:rsidR="00FE1AD6" w:rsidRDefault="001C3110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54C30CD5" w14:textId="77777777" w:rsidR="00FE1AD6" w:rsidRDefault="001C3110">
      <w:r>
        <w:rPr>
          <w:color w:val="000000"/>
        </w:rPr>
        <w:t xml:space="preserve">Question 3 is the key question: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59D02304" w14:textId="77777777" w:rsidR="00FE1AD6" w:rsidRDefault="001C3110">
      <w:r>
        <w:rPr>
          <w:color w:val="000000"/>
        </w:rPr>
        <w:t>hypothesis** make opposite predictions for it,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E1AD6" w14:paraId="52B1264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0DC2FEA" w14:textId="77777777" w:rsidR="00FE1AD6" w:rsidRDefault="00FE1AD6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3A26E738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1812690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FE1AD6" w14:paraId="0B3F7CE2" w14:textId="77777777">
        <w:trPr>
          <w:cantSplit/>
          <w:jc w:val="center"/>
        </w:trPr>
        <w:tc>
          <w:tcPr>
            <w:tcW w:w="3137" w:type="dxa"/>
          </w:tcPr>
          <w:p w14:paraId="71161B9A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782DD5E2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1173318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FE1AD6" w14:paraId="79AF98CC" w14:textId="77777777">
        <w:trPr>
          <w:cantSplit/>
          <w:jc w:val="center"/>
        </w:trPr>
        <w:tc>
          <w:tcPr>
            <w:tcW w:w="3137" w:type="dxa"/>
          </w:tcPr>
          <w:p w14:paraId="1DA69B1B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1B992CB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5E54E3A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FE1AD6" w14:paraId="60C34FDD" w14:textId="77777777">
        <w:trPr>
          <w:cantSplit/>
          <w:jc w:val="center"/>
        </w:trPr>
        <w:tc>
          <w:tcPr>
            <w:tcW w:w="3137" w:type="dxa"/>
          </w:tcPr>
          <w:p w14:paraId="6085BD5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05BDE743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615DA65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FE1AD6" w14:paraId="42EA1ABB" w14:textId="77777777">
        <w:trPr>
          <w:cantSplit/>
          <w:jc w:val="center"/>
        </w:trPr>
        <w:tc>
          <w:tcPr>
            <w:tcW w:w="3137" w:type="dxa"/>
          </w:tcPr>
          <w:p w14:paraId="3FDBBF9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6C5178F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0C9B752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2A104F4D" w14:textId="77777777" w:rsidR="00FE1AD6" w:rsidRDefault="00FE1AD6">
      <w:pPr>
        <w:spacing w:after="0"/>
      </w:pPr>
    </w:p>
    <w:p w14:paraId="4EBF0EDE" w14:textId="77777777" w:rsidR="00FE1AD6" w:rsidRDefault="001C3110">
      <w:pPr>
        <w:pStyle w:val="1"/>
        <w:spacing w:before="280" w:after="120"/>
      </w:pPr>
      <w:bookmarkStart w:id="1" w:name="_Toc243234994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12AA48F2" w14:textId="77777777" w:rsidR="00FE1AD6" w:rsidRDefault="001C3110">
      <w:r>
        <w:rPr>
          <w:color w:val="000000"/>
        </w:rPr>
        <w:t>Presentation slides (PDF), raw data files, reproducible analysis code, at least one</w:t>
      </w:r>
    </w:p>
    <w:p w14:paraId="29BD2DC7" w14:textId="77777777" w:rsidR="00FE1AD6" w:rsidRDefault="001C3110">
      <w:r>
        <w:rPr>
          <w:color w:val="000000"/>
        </w:rPr>
        <w:t>original visualization, a one-page data provenance statement, and at least three</w:t>
      </w:r>
    </w:p>
    <w:p w14:paraId="5991F82B" w14:textId="77777777" w:rsidR="00FE1AD6" w:rsidRDefault="001C3110">
      <w:r>
        <w:rPr>
          <w:color w:val="000000"/>
        </w:rPr>
        <w:t>academic papers or news items not on the syllabus. The TA audits the raw data and</w:t>
      </w:r>
    </w:p>
    <w:p w14:paraId="4FEA7165" w14:textId="77777777" w:rsidR="00FE1AD6" w:rsidRDefault="001C3110">
      <w:r>
        <w:rPr>
          <w:color w:val="000000"/>
        </w:rPr>
        <w:t>the code. Everything for the course is produced in English.</w:t>
      </w:r>
    </w:p>
    <w:p w14:paraId="700D1F7B" w14:textId="77777777" w:rsidR="00FE1AD6" w:rsidRDefault="001C3110">
      <w:pPr>
        <w:pStyle w:val="1"/>
        <w:spacing w:before="280" w:after="120"/>
      </w:pPr>
      <w:bookmarkStart w:id="2" w:name="_Toc243234995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427DB230" w14:textId="77777777" w:rsidR="00FE1AD6" w:rsidRDefault="001C3110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6B29A2B1" w14:textId="77777777" w:rsidR="00FE1AD6" w:rsidRDefault="001C3110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3753568A" w14:textId="77777777" w:rsidR="00FE1AD6" w:rsidRDefault="001C3110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132BB7E3" w14:textId="77777777" w:rsidR="00FE1AD6" w:rsidRDefault="001C3110">
      <w:r>
        <w:rPr>
          <w:color w:val="000000"/>
        </w:rPr>
        <w:t>otherwise. An open terminal alone is not enough.</w:t>
      </w:r>
    </w:p>
    <w:p w14:paraId="0F3A4B72" w14:textId="77777777" w:rsidR="00FE1AD6" w:rsidRDefault="001C3110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4A6D0EEF" w14:textId="77777777" w:rsidR="00FE1AD6" w:rsidRDefault="001C3110">
      <w:r>
        <w:rPr>
          <w:color w:val="000000"/>
        </w:rPr>
        <w:t>TA209 lab machines, with no personal account, no remote access and no API.</w:t>
      </w:r>
    </w:p>
    <w:p w14:paraId="54E2BB58" w14:textId="77777777" w:rsidR="00FE1AD6" w:rsidRDefault="001C3110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1939F49D" w14:textId="77777777" w:rsidR="00FE1AD6" w:rsidRDefault="001C3110">
      <w:r>
        <w:rPr>
          <w:color w:val="000000"/>
        </w:rPr>
        <w:t>contain no Chinese star-ranking information. Making the project a US study would</w:t>
      </w:r>
    </w:p>
    <w:p w14:paraId="5F69F61D" w14:textId="77777777" w:rsidR="00FE1AD6" w:rsidRDefault="001C3110">
      <w:r>
        <w:rPr>
          <w:color w:val="000000"/>
        </w:rPr>
        <w:t>mean giving up the China-specific contribution.</w:t>
      </w:r>
    </w:p>
    <w:p w14:paraId="7F139085" w14:textId="77777777" w:rsidR="00FE1AD6" w:rsidRDefault="001C3110">
      <w:r>
        <w:rPr>
          <w:color w:val="000000"/>
        </w:rPr>
        <w:t>Analyst rating detail was retrieved for 2018-2024 with the following fields:</w:t>
      </w:r>
    </w:p>
    <w:p w14:paraId="2C9C444A" w14:textId="77777777" w:rsidR="00FE1AD6" w:rsidRDefault="001C3110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01F49C09" w14:textId="77777777" w:rsidR="00FE1AD6" w:rsidRDefault="001C3110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2012ADE2" w14:textId="77777777" w:rsidR="00FE1AD6" w:rsidRDefault="001C3110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07A57BD1" w14:textId="77777777" w:rsidR="00FE1AD6" w:rsidRDefault="001C3110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728BBAB1" w14:textId="77777777" w:rsidR="00FE1AD6" w:rsidRDefault="001C3110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75861A39" w14:textId="77777777" w:rsidR="00FE1AD6" w:rsidRDefault="001C3110">
      <w:r>
        <w:rPr>
          <w:color w:val="000000"/>
        </w:rPr>
        <w:t>rating scale, so no broker-by-broker manual mapping is needed.</w:t>
      </w:r>
    </w:p>
    <w:p w14:paraId="34A8FBB6" w14:textId="77777777" w:rsidR="00FE1AD6" w:rsidRDefault="001C3110">
      <w:r>
        <w:rPr>
          <w:b/>
          <w:color w:val="000000"/>
        </w:rPr>
        <w:t>Market returns.</w:t>
      </w:r>
      <w:r>
        <w:rPr>
          <w:color w:val="000000"/>
        </w:rPr>
        <w:t xml:space="preserve"> The event study uses the cleaned total-return series: stock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in</w:t>
      </w:r>
    </w:p>
    <w:p w14:paraId="51CD4A76" w14:textId="77777777" w:rsidR="00FE1AD6" w:rsidRDefault="001C3110">
      <w:r>
        <w:rPr>
          <w:rFonts w:ascii="Consolas" w:hAnsi="Consolas"/>
          <w:color w:val="000000"/>
          <w:sz w:val="22"/>
        </w:rPr>
        <w:t>data/stock_returns_dretwd.csv</w:t>
      </w:r>
      <w:r>
        <w:rPr>
          <w:color w:val="000000"/>
        </w:rPr>
        <w:t xml:space="preserve"> and the CSI 300 total-return index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 xml:space="preserve"> in</w:t>
      </w:r>
    </w:p>
    <w:p w14:paraId="4BAE666F" w14:textId="77777777" w:rsidR="00FE1AD6" w:rsidRDefault="001C3110">
      <w:r>
        <w:rPr>
          <w:rFonts w:ascii="Consolas" w:hAnsi="Consolas"/>
          <w:color w:val="000000"/>
          <w:sz w:val="22"/>
        </w:rPr>
        <w:t>data/market_returns_h00300.csv</w:t>
      </w:r>
      <w:r>
        <w:rPr>
          <w:color w:val="000000"/>
        </w:rPr>
        <w:t>. Both are decimal returns and are converted to percentage</w:t>
      </w:r>
    </w:p>
    <w:p w14:paraId="7C9C9ACB" w14:textId="77777777" w:rsidR="00FE1AD6" w:rsidRDefault="001C3110">
      <w:r>
        <w:rPr>
          <w:color w:val="000000"/>
        </w:rPr>
        <w:t xml:space="preserve">points by </w:t>
      </w:r>
      <w:r>
        <w:rPr>
          <w:rFonts w:ascii="Consolas" w:hAnsi="Consolas"/>
          <w:color w:val="000000"/>
          <w:sz w:val="22"/>
        </w:rPr>
        <w:t>market_data_adapter.py</w:t>
      </w:r>
      <w:r>
        <w:rPr>
          <w:color w:val="000000"/>
        </w:rPr>
        <w:t>. Suspension rows are omitted rather than filled with</w:t>
      </w:r>
    </w:p>
    <w:p w14:paraId="1EEB6239" w14:textId="77777777" w:rsidR="00FE1AD6" w:rsidRDefault="001C3110">
      <w:r>
        <w:rPr>
          <w:color w:val="000000"/>
        </w:rPr>
        <w:t>zero, holiday filler rows are removed, and old and new stock codes are unified. Volume</w:t>
      </w:r>
    </w:p>
    <w:p w14:paraId="4723DD94" w14:textId="77777777" w:rsidR="00FE1AD6" w:rsidRDefault="001C3110">
      <w:r>
        <w:rPr>
          <w:color w:val="000000"/>
        </w:rPr>
        <w:t xml:space="preserve">and event-day closing prices still come from the earlier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.</w:t>
      </w:r>
    </w:p>
    <w:p w14:paraId="45F84B6F" w14:textId="77777777" w:rsidR="00FE1AD6" w:rsidRDefault="001C3110">
      <w:pPr>
        <w:pStyle w:val="1"/>
        <w:spacing w:before="280" w:after="120"/>
      </w:pPr>
      <w:bookmarkStart w:id="3" w:name="_Toc243234996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6172C4E7" w14:textId="77777777" w:rsidR="00FE1AD6" w:rsidRDefault="001C3110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0AF8BB1F" w14:textId="77777777" w:rsidR="00FE1AD6" w:rsidRDefault="001C3110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032F48A4" w14:textId="77777777" w:rsidR="00FE1AD6" w:rsidRDefault="001C3110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E1AD6" w14:paraId="20E77BB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8026DC8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03A5FF6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A8023B9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FE1AD6" w14:paraId="249EBC4A" w14:textId="77777777">
        <w:trPr>
          <w:cantSplit/>
          <w:jc w:val="center"/>
        </w:trPr>
        <w:tc>
          <w:tcPr>
            <w:tcW w:w="3137" w:type="dxa"/>
          </w:tcPr>
          <w:p w14:paraId="6B824A7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006E898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B9F9834" w14:textId="77777777" w:rsidR="00FE1AD6" w:rsidRDefault="00FE1AD6">
            <w:pPr>
              <w:spacing w:after="40" w:line="276" w:lineRule="auto"/>
            </w:pPr>
          </w:p>
        </w:tc>
      </w:tr>
      <w:tr w:rsidR="00FE1AD6" w14:paraId="71ED00A6" w14:textId="77777777">
        <w:trPr>
          <w:cantSplit/>
          <w:jc w:val="center"/>
        </w:trPr>
        <w:tc>
          <w:tcPr>
            <w:tcW w:w="3137" w:type="dxa"/>
          </w:tcPr>
          <w:p w14:paraId="78AA271A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32AB0C31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66FF79B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FE1AD6" w14:paraId="01736A9E" w14:textId="77777777">
        <w:trPr>
          <w:cantSplit/>
          <w:jc w:val="center"/>
        </w:trPr>
        <w:tc>
          <w:tcPr>
            <w:tcW w:w="3137" w:type="dxa"/>
          </w:tcPr>
          <w:p w14:paraId="2C3ECFB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00B3C9F2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0C57054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FE1AD6" w14:paraId="7EB97AB8" w14:textId="77777777">
        <w:trPr>
          <w:cantSplit/>
          <w:jc w:val="center"/>
        </w:trPr>
        <w:tc>
          <w:tcPr>
            <w:tcW w:w="3137" w:type="dxa"/>
          </w:tcPr>
          <w:p w14:paraId="43CDCFE1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49ACCDD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5613EF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FE1AD6" w14:paraId="0668B5F5" w14:textId="77777777">
        <w:trPr>
          <w:cantSplit/>
          <w:jc w:val="center"/>
        </w:trPr>
        <w:tc>
          <w:tcPr>
            <w:tcW w:w="3137" w:type="dxa"/>
          </w:tcPr>
          <w:p w14:paraId="2CA5E1C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72D254CB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0A0BEBFB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7A192D33" w14:textId="77777777" w:rsidR="00FE1AD6" w:rsidRDefault="00FE1AD6">
      <w:pPr>
        <w:spacing w:after="0"/>
      </w:pPr>
    </w:p>
    <w:p w14:paraId="32E7FC62" w14:textId="77777777" w:rsidR="00FE1AD6" w:rsidRDefault="001C3110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08CA0303" w14:textId="77777777" w:rsidR="00FE1AD6" w:rsidRDefault="001C3110">
      <w:r>
        <w:rPr>
          <w:color w:val="000000"/>
        </w:rPr>
        <w:t>2018-2024. Upgrades 12,131; downgrades 8,849. The buy skew is expected and matches the</w:t>
      </w:r>
    </w:p>
    <w:p w14:paraId="48E24189" w14:textId="77777777" w:rsidR="00FE1AD6" w:rsidRDefault="001C3110">
      <w:r>
        <w:rPr>
          <w:color w:val="000000"/>
        </w:rPr>
        <w:t>documented optimism bias of sell-side research.</w:t>
      </w:r>
    </w:p>
    <w:p w14:paraId="2AF90E7F" w14:textId="77777777" w:rsidR="00FE1AD6" w:rsidRDefault="001C3110">
      <w:pPr>
        <w:pStyle w:val="1"/>
        <w:spacing w:before="280" w:after="120"/>
      </w:pPr>
      <w:bookmarkStart w:id="4" w:name="_Toc243234997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2FADDCEE" w14:textId="77777777" w:rsidR="00FE1AD6" w:rsidRDefault="001C3110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E1AD6" w14:paraId="1F91A39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C01522E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19BA7FA3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22BF4A49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FE1AD6" w14:paraId="54989BA2" w14:textId="77777777">
        <w:trPr>
          <w:cantSplit/>
          <w:jc w:val="center"/>
        </w:trPr>
        <w:tc>
          <w:tcPr>
            <w:tcW w:w="3137" w:type="dxa"/>
          </w:tcPr>
          <w:p w14:paraId="313DC63A" w14:textId="77777777" w:rsidR="00FE1AD6" w:rsidRDefault="001C311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9EA67E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20A0D1A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FE1AD6" w14:paraId="1F9CC3F1" w14:textId="77777777">
        <w:trPr>
          <w:cantSplit/>
          <w:jc w:val="center"/>
        </w:trPr>
        <w:tc>
          <w:tcPr>
            <w:tcW w:w="3137" w:type="dxa"/>
          </w:tcPr>
          <w:p w14:paraId="7D97821F" w14:textId="77777777" w:rsidR="00FE1AD6" w:rsidRDefault="001C311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3867CB2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00E9ACF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FE1AD6" w14:paraId="549B2F4A" w14:textId="77777777">
        <w:trPr>
          <w:cantSplit/>
          <w:jc w:val="center"/>
        </w:trPr>
        <w:tc>
          <w:tcPr>
            <w:tcW w:w="3137" w:type="dxa"/>
          </w:tcPr>
          <w:p w14:paraId="5C15A9F9" w14:textId="77777777" w:rsidR="00FE1AD6" w:rsidRDefault="001C311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4626AE5B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canonicalised; 13 / 26 / 85 of 124 houses. Stable identities use the name in force at the start of the sample; later names are display-only</w:t>
            </w:r>
          </w:p>
        </w:tc>
        <w:tc>
          <w:tcPr>
            <w:tcW w:w="3137" w:type="dxa"/>
          </w:tcPr>
          <w:p w14:paraId="54FBA2A3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60720F2F" w14:textId="77777777" w:rsidR="00FE1AD6" w:rsidRDefault="00FE1AD6">
      <w:pPr>
        <w:spacing w:after="0"/>
      </w:pPr>
    </w:p>
    <w:p w14:paraId="12BD6E18" w14:textId="77777777" w:rsidR="00FE1AD6" w:rsidRDefault="001C3110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2,774 of 20,980 events (13.2%), and the share is stable across years:</w:t>
      </w:r>
    </w:p>
    <w:p w14:paraId="08355767" w14:textId="77777777" w:rsidR="00FE1AD6" w:rsidRDefault="001C3110">
      <w:r>
        <w:rPr>
          <w:color w:val="000000"/>
        </w:rPr>
        <w:t>13.4%, 14.5%, 13.5%, 13.6%, 13.6%, 11.9%, 11.7% for 2018-2024.</w:t>
      </w:r>
    </w:p>
    <w:p w14:paraId="0166C53E" w14:textId="77777777" w:rsidR="00FE1AD6" w:rsidRDefault="001C3110">
      <w:r>
        <w:rPr>
          <w:b/>
          <w:color w:val="000000"/>
        </w:rPr>
        <w:t>Broker identities over time.</w:t>
      </w:r>
      <w:r>
        <w:rPr>
          <w:color w:val="000000"/>
        </w:rPr>
        <w:t xml:space="preserve"> Renames and mergers are resolved into one stable</w:t>
      </w:r>
    </w:p>
    <w:p w14:paraId="5EA97F30" w14:textId="77777777" w:rsidR="00FE1AD6" w:rsidRDefault="001C3110">
      <w:r>
        <w:rPr>
          <w:color w:val="000000"/>
        </w:rPr>
        <w:t>identity per research entity, named after the name in force at the start of the sample:</w:t>
      </w:r>
    </w:p>
    <w:p w14:paraId="27813FF6" w14:textId="77777777" w:rsidR="00FE1AD6" w:rsidRDefault="001C3110">
      <w:r>
        <w:rPr>
          <w:color w:val="000000"/>
        </w:rPr>
        <w:t>国泰君安</w:t>
      </w:r>
      <w:r>
        <w:rPr>
          <w:color w:val="000000"/>
        </w:rPr>
        <w:t xml:space="preserve"> (not </w:t>
      </w:r>
      <w:r>
        <w:rPr>
          <w:color w:val="000000"/>
        </w:rPr>
        <w:t>国泰海通</w:t>
      </w:r>
      <w:r>
        <w:rPr>
          <w:color w:val="000000"/>
        </w:rPr>
        <w:t xml:space="preserve"> until 2025), </w:t>
      </w:r>
      <w:r>
        <w:rPr>
          <w:color w:val="000000"/>
        </w:rPr>
        <w:t>安信证券</w:t>
      </w:r>
      <w:r>
        <w:rPr>
          <w:color w:val="000000"/>
        </w:rPr>
        <w:t xml:space="preserve"> (not </w:t>
      </w:r>
      <w:r>
        <w:rPr>
          <w:color w:val="000000"/>
        </w:rPr>
        <w:t>国投证券</w:t>
      </w:r>
      <w:r>
        <w:rPr>
          <w:color w:val="000000"/>
        </w:rPr>
        <w:t xml:space="preserve"> until 2024), </w:t>
      </w:r>
      <w:r>
        <w:rPr>
          <w:color w:val="000000"/>
        </w:rPr>
        <w:t>国联证券</w:t>
      </w:r>
      <w:r>
        <w:rPr>
          <w:color w:val="000000"/>
        </w:rPr>
        <w:t xml:space="preserve"> (not</w:t>
      </w:r>
    </w:p>
    <w:p w14:paraId="247F9869" w14:textId="77777777" w:rsidR="00FE1AD6" w:rsidRDefault="001C3110">
      <w:r>
        <w:rPr>
          <w:color w:val="000000"/>
        </w:rPr>
        <w:t>国联民生</w:t>
      </w:r>
      <w:r>
        <w:rPr>
          <w:color w:val="000000"/>
        </w:rPr>
        <w:t xml:space="preserve"> until 2025), </w:t>
      </w:r>
      <w:r>
        <w:rPr>
          <w:color w:val="000000"/>
        </w:rPr>
        <w:t>华菁证券</w:t>
      </w:r>
      <w:r>
        <w:rPr>
          <w:color w:val="000000"/>
        </w:rPr>
        <w:t xml:space="preserve"> (not </w:t>
      </w:r>
      <w:r>
        <w:rPr>
          <w:color w:val="000000"/>
        </w:rPr>
        <w:t>华兴证券</w:t>
      </w:r>
      <w:r>
        <w:rPr>
          <w:color w:val="000000"/>
        </w:rPr>
        <w:t xml:space="preserve"> until 2021), </w:t>
      </w:r>
      <w:r>
        <w:rPr>
          <w:color w:val="000000"/>
        </w:rPr>
        <w:t>新时代证券</w:t>
      </w:r>
      <w:r>
        <w:rPr>
          <w:color w:val="000000"/>
        </w:rPr>
        <w:t xml:space="preserve"> (not </w:t>
      </w:r>
      <w:r>
        <w:rPr>
          <w:color w:val="000000"/>
        </w:rPr>
        <w:t>诚通证券</w:t>
      </w:r>
      <w:r>
        <w:rPr>
          <w:color w:val="000000"/>
        </w:rPr>
        <w:t xml:space="preserve"> until</w:t>
      </w:r>
    </w:p>
    <w:p w14:paraId="4E06B807" w14:textId="77777777" w:rsidR="00FE1AD6" w:rsidRDefault="001C3110">
      <w:r>
        <w:rPr>
          <w:color w:val="000000"/>
        </w:rPr>
        <w:t xml:space="preserve">2022), </w:t>
      </w:r>
      <w:r>
        <w:rPr>
          <w:color w:val="000000"/>
        </w:rPr>
        <w:t>联讯证券</w:t>
      </w:r>
      <w:r>
        <w:rPr>
          <w:color w:val="000000"/>
        </w:rPr>
        <w:t xml:space="preserve"> (not </w:t>
      </w:r>
      <w:r>
        <w:rPr>
          <w:color w:val="000000"/>
        </w:rPr>
        <w:t>粤开证券</w:t>
      </w:r>
      <w:r>
        <w:rPr>
          <w:color w:val="000000"/>
        </w:rPr>
        <w:t xml:space="preserve"> until 2020), </w:t>
      </w:r>
      <w:r>
        <w:rPr>
          <w:color w:val="000000"/>
        </w:rPr>
        <w:t>财富证券</w:t>
      </w:r>
      <w:r>
        <w:rPr>
          <w:color w:val="000000"/>
        </w:rPr>
        <w:t xml:space="preserve"> (not </w:t>
      </w:r>
      <w:r>
        <w:rPr>
          <w:color w:val="000000"/>
        </w:rPr>
        <w:t>财信证券</w:t>
      </w:r>
      <w:r>
        <w:rPr>
          <w:color w:val="000000"/>
        </w:rPr>
        <w:t xml:space="preserve"> until 2020). Event-level</w:t>
      </w:r>
    </w:p>
    <w:p w14:paraId="72CED41C" w14:textId="77777777" w:rsidR="00FE1AD6" w:rsidRDefault="001C3110">
      <w:r>
        <w:rPr>
          <w:color w:val="000000"/>
        </w:rPr>
        <w:t>display uses the in-year name, so a 2018 Guotai Junan report is never written as Guotai</w:t>
      </w:r>
    </w:p>
    <w:p w14:paraId="03AC21C6" w14:textId="77777777" w:rsidR="00FE1AD6" w:rsidRDefault="001C3110">
      <w:r>
        <w:rPr>
          <w:color w:val="000000"/>
        </w:rPr>
        <w:t>Haitong. The tier is built on the stable identities.</w:t>
      </w:r>
    </w:p>
    <w:p w14:paraId="7D98561C" w14:textId="77777777" w:rsidR="00FE1AD6" w:rsidRDefault="001C3110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582C5E51" w14:textId="77777777" w:rsidR="00FE1AD6" w:rsidRDefault="001C3110">
      <w:r>
        <w:rPr>
          <w:color w:val="000000"/>
        </w:rPr>
        <w:t>2018, and the page labelled 2018 on the public source is a compilation of anniversary</w:t>
      </w:r>
    </w:p>
    <w:p w14:paraId="392B23DD" w14:textId="77777777" w:rsidR="00FE1AD6" w:rsidRDefault="001C3110">
      <w:r>
        <w:rPr>
          <w:color w:val="000000"/>
        </w:rPr>
        <w:t>special awards, not an annual industry ranking. Evidence: 34.7% of its names appear</w:t>
      </w:r>
    </w:p>
    <w:p w14:paraId="470BB857" w14:textId="77777777" w:rsidR="00FE1AD6" w:rsidRDefault="001C3110">
      <w:r>
        <w:rPr>
          <w:color w:val="000000"/>
        </w:rPr>
        <w:t>in no other year, against 8.1-17.7% for 2019-2023 (the boundary years 2017 and 2024</w:t>
      </w:r>
    </w:p>
    <w:p w14:paraId="27ABC064" w14:textId="77777777" w:rsidR="00FE1AD6" w:rsidRDefault="001C3110">
      <w:r>
        <w:rPr>
          <w:color w:val="000000"/>
        </w:rPr>
        <w:t>run higher for mechanical reasons); its name overlap with 2019 is Jaccard 0.10,</w:t>
      </w:r>
    </w:p>
    <w:p w14:paraId="03008D8E" w14:textId="77777777" w:rsidR="00FE1AD6" w:rsidRDefault="001C3110">
      <w:r>
        <w:rPr>
          <w:color w:val="000000"/>
        </w:rPr>
        <w:t>against 0.42-0.52 for other adjacent pairs; and under the same name-and-broker match</w:t>
      </w:r>
    </w:p>
    <w:p w14:paraId="4743302A" w14:textId="77777777" w:rsidR="00FE1AD6" w:rsidRDefault="001C3110">
      <w:r>
        <w:rPr>
          <w:color w:val="000000"/>
        </w:rPr>
        <w:t>used for the star variable it reaches only 4.0% of that year's events, against</w:t>
      </w:r>
    </w:p>
    <w:p w14:paraId="779BA235" w14:textId="77777777" w:rsidR="00FE1AD6" w:rsidRDefault="001C3110">
      <w:r>
        <w:rPr>
          <w:color w:val="000000"/>
        </w:rPr>
        <w:t>12.1-14.0% for every other list-year. It is therefore excluded, and 2018 events</w:t>
      </w:r>
    </w:p>
    <w:p w14:paraId="28AAD220" w14:textId="77777777" w:rsidR="00FE1AD6" w:rsidRDefault="001C3110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3C4BEDAB" w14:textId="77777777" w:rsidR="00FE1AD6" w:rsidRDefault="001C3110">
      <w:r>
        <w:rPr>
          <w:color w:val="000000"/>
        </w:rPr>
        <w:t>This is the same "list in force" rule applied to every year, so there is no</w:t>
      </w:r>
    </w:p>
    <w:p w14:paraId="47E97D02" w14:textId="77777777" w:rsidR="00FE1AD6" w:rsidRDefault="001C3110">
      <w:r>
        <w:rPr>
          <w:color w:val="000000"/>
        </w:rPr>
        <w:t>special-casing and no look-ahead. The rule restores 2018 to the normal range (13.4%),</w:t>
      </w:r>
    </w:p>
    <w:p w14:paraId="636D7EEE" w14:textId="77777777" w:rsidR="00FE1AD6" w:rsidRDefault="001C3110">
      <w:r>
        <w:rPr>
          <w:color w:val="000000"/>
        </w:rPr>
        <w:t>which is why the full 2018-2024 sample is usable.</w:t>
      </w:r>
    </w:p>
    <w:p w14:paraId="7AAB5C0E" w14:textId="77777777" w:rsidR="00FE1AD6" w:rsidRDefault="001C3110">
      <w:pPr>
        <w:pStyle w:val="1"/>
        <w:spacing w:before="280" w:after="120"/>
      </w:pPr>
      <w:bookmarkStart w:id="5" w:name="_Toc243234998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1AF77EFF" w14:textId="77777777" w:rsidR="00FE1AD6" w:rsidRDefault="001C3110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23CFC47F" w14:textId="77777777" w:rsidR="00FE1AD6" w:rsidRDefault="001C3110">
      <w:r>
        <w:rPr>
          <w:color w:val="000000"/>
        </w:rPr>
        <w:t>[-1,+5] and [-5,+5] as robustness. Dependent variables are CAR and abnormal volume.</w:t>
      </w:r>
    </w:p>
    <w:p w14:paraId="74B1F707" w14:textId="77777777" w:rsidR="00FE1AD6" w:rsidRDefault="001C3110">
      <w:r>
        <w:rPr>
          <w:color w:val="000000"/>
        </w:rPr>
        <w:t>Controls: size of the rating change, whether an EPS forecast moved at the same time,</w:t>
      </w:r>
    </w:p>
    <w:p w14:paraId="6A5EBEE7" w14:textId="77777777" w:rsidR="00FE1AD6" w:rsidRDefault="001C3110">
      <w:r>
        <w:rPr>
          <w:color w:val="000000"/>
        </w:rPr>
        <w:t>firm size, pre-event momentum, turnover, institutional ownership, ownership type,</w:t>
      </w:r>
    </w:p>
    <w:p w14:paraId="4FCE8B65" w14:textId="77777777" w:rsidR="00FE1AD6" w:rsidRDefault="001C3110">
      <w:r>
        <w:rPr>
          <w:color w:val="000000"/>
        </w:rPr>
        <w:t>board. Industry × month fixed effects.</w:t>
      </w:r>
    </w:p>
    <w:p w14:paraId="41C6759C" w14:textId="77777777" w:rsidR="00FE1AD6" w:rsidRDefault="001C3110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759ACC4B" w14:textId="77777777" w:rsidR="00FE1AD6" w:rsidRDefault="001C3110">
      <w:r>
        <w:rPr>
          <w:color w:val="000000"/>
        </w:rPr>
        <w:t>signed by the direction of the recommendation. This is where information and</w:t>
      </w:r>
    </w:p>
    <w:p w14:paraId="4E9C454B" w14:textId="77777777" w:rsidR="00FE1AD6" w:rsidRDefault="001C3110">
      <w:r>
        <w:rPr>
          <w:color w:val="000000"/>
        </w:rPr>
        <w:t>influence separate: reversal implies investors over-followed.</w:t>
      </w:r>
    </w:p>
    <w:p w14:paraId="5C1B2563" w14:textId="77777777" w:rsidR="00FE1AD6" w:rsidRDefault="001C3110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18762A53" w14:textId="77777777" w:rsidR="00FE1AD6" w:rsidRDefault="001C3110">
      <w:r>
        <w:rPr>
          <w:color w:val="000000"/>
        </w:rPr>
        <w:t>absolute EPS forecast error scaled by price; hit rate. If stars are larger in step 1</w:t>
      </w:r>
    </w:p>
    <w:p w14:paraId="08426016" w14:textId="77777777" w:rsidR="00FE1AD6" w:rsidRDefault="001C3110">
      <w:r>
        <w:rPr>
          <w:color w:val="000000"/>
        </w:rPr>
        <w:t>but indistinguishable here, the conclusion is "merely more influential".</w:t>
      </w:r>
    </w:p>
    <w:p w14:paraId="756CECBA" w14:textId="77777777" w:rsidR="00FE1AD6" w:rsidRDefault="001C3110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6EC2995F" w14:textId="77777777" w:rsidR="00FE1AD6" w:rsidRDefault="001C3110">
      <w:r>
        <w:rPr>
          <w:color w:val="000000"/>
        </w:rPr>
        <w:t>and STAR.</w:t>
      </w:r>
    </w:p>
    <w:p w14:paraId="3A82D0D1" w14:textId="77777777" w:rsidR="00FE1AD6" w:rsidRDefault="001C3110">
      <w:r>
        <w:rPr>
          <w:b/>
          <w:color w:val="000000"/>
        </w:rPr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4791ACC7" w14:textId="77777777" w:rsidR="00FE1AD6" w:rsidRDefault="001C3110">
      <w:r>
        <w:rPr>
          <w:color w:val="000000"/>
        </w:rPr>
        <w:t>buying in the event window; the subsample of events that hit the daily price limit.</w:t>
      </w:r>
    </w:p>
    <w:p w14:paraId="3A9E39BE" w14:textId="77777777" w:rsidR="00FE1AD6" w:rsidRDefault="001C3110">
      <w:pPr>
        <w:pStyle w:val="1"/>
        <w:spacing w:before="280" w:after="120"/>
      </w:pPr>
      <w:bookmarkStart w:id="6" w:name="_Toc243234999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6319F3A1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75A45DDF" w14:textId="77777777" w:rsidR="00FE1AD6" w:rsidRDefault="001C3110">
      <w:r>
        <w:rPr>
          <w:color w:val="000000"/>
        </w:rPr>
        <w:t>event windows truncate CARs. Limit-hits must be flagged and the share reported, with</w:t>
      </w:r>
    </w:p>
    <w:p w14:paraId="3DB233EA" w14:textId="77777777" w:rsidR="00FE1AD6" w:rsidRDefault="001C3110">
      <w:r>
        <w:rPr>
          <w:color w:val="000000"/>
        </w:rPr>
        <w:t>a robustness run excluding them.</w:t>
      </w:r>
    </w:p>
    <w:p w14:paraId="787E743E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263E5F5E" w14:textId="77777777" w:rsidR="00FE1AD6" w:rsidRDefault="001C3110">
      <w:r>
        <w:rPr>
          <w:color w:val="000000"/>
        </w:rPr>
        <w:t>trading-day alignment.</w:t>
      </w:r>
    </w:p>
    <w:p w14:paraId="41DD61E7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6501C311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0FA54F73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53E5B44F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2E432A1E" w14:textId="77777777" w:rsidR="00FE1AD6" w:rsidRDefault="001C3110">
      <w:r>
        <w:rPr>
          <w:color w:val="000000"/>
        </w:rPr>
        <w:t>snapshot, so the ST filter is an approximation. The clean solution is to infer ST</w:t>
      </w:r>
    </w:p>
    <w:p w14:paraId="61B39E8F" w14:textId="77777777" w:rsidR="00FE1AD6" w:rsidRDefault="001C3110">
      <w:r>
        <w:rPr>
          <w:color w:val="000000"/>
        </w:rPr>
        <w:t>spells from daily price limits (ST stocks have a 5% band) once market data exist.</w:t>
      </w:r>
    </w:p>
    <w:p w14:paraId="42D6AFBD" w14:textId="77777777" w:rsidR="00FE1AD6" w:rsidRDefault="001C3110">
      <w:pPr>
        <w:pStyle w:val="1"/>
        <w:spacing w:before="280" w:after="120"/>
      </w:pPr>
      <w:bookmarkStart w:id="7" w:name="_Toc243235000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4120ACB1" w14:textId="77777777" w:rsidR="00FE1AD6" w:rsidRDefault="001C3110">
      <w:r>
        <w:rPr>
          <w:color w:val="000000"/>
        </w:rPr>
        <w:t>Sample period with and without 2020 and 2022; alternative authority measures (star,</w:t>
      </w:r>
    </w:p>
    <w:p w14:paraId="1D8DE3A3" w14:textId="77777777" w:rsidR="00FE1AD6" w:rsidRDefault="001C3110">
      <w:r>
        <w:rPr>
          <w:color w:val="000000"/>
        </w:rPr>
        <w:t>seniority, broker tier); alternative windows; excluding limit-hit and suspended events;</w:t>
      </w:r>
    </w:p>
    <w:p w14:paraId="676295D1" w14:textId="77777777" w:rsidR="00FE1AD6" w:rsidRDefault="001C3110">
      <w:r>
        <w:rPr>
          <w:color w:val="000000"/>
        </w:rPr>
        <w:t>main board versus ChiNext and STAR; excluding events that coincide with an earnings</w:t>
      </w:r>
    </w:p>
    <w:p w14:paraId="4C1A5635" w14:textId="77777777" w:rsidR="00FE1AD6" w:rsidRDefault="001C3110">
      <w:r>
        <w:rPr>
          <w:color w:val="000000"/>
        </w:rPr>
        <w:t>announcement. Alternative timing conventions for the star variable are already stored</w:t>
      </w:r>
    </w:p>
    <w:p w14:paraId="2969FC95" w14:textId="77777777" w:rsidR="00FE1AD6" w:rsidRDefault="001C3110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620BA4FC" w14:textId="77777777" w:rsidR="00FE1AD6" w:rsidRDefault="001C3110">
      <w:r>
        <w:rPr>
          <w:color w:val="000000"/>
        </w:rPr>
        <w:t>Already implemented: clustered errors, a suspension robustness check, price-limit and</w:t>
      </w:r>
    </w:p>
    <w:p w14:paraId="73C554F9" w14:textId="77777777" w:rsidR="00FE1AD6" w:rsidRDefault="001C3110">
      <w:r>
        <w:rPr>
          <w:color w:val="000000"/>
        </w:rPr>
        <w:t>ST-proxy robustness, an independent replication, and a backward-looking rolling tier.</w:t>
      </w:r>
    </w:p>
    <w:p w14:paraId="7459D734" w14:textId="77777777" w:rsidR="00FE1AD6" w:rsidRDefault="001C3110">
      <w:r>
        <w:rPr>
          <w:color w:val="000000"/>
        </w:rPr>
        <w:t>Price-limit robustness shows that the upgrade premium is concentrated in limit-hit</w:t>
      </w:r>
    </w:p>
    <w:p w14:paraId="35A1E4BF" w14:textId="77777777" w:rsidR="00FE1AD6" w:rsidRDefault="001C3110">
      <w:r>
        <w:rPr>
          <w:color w:val="000000"/>
        </w:rPr>
        <w:t>events; excluding them, the short-window premium loses significance while the [-5,+5]</w:t>
      </w:r>
    </w:p>
    <w:p w14:paraId="1ED13ACC" w14:textId="77777777" w:rsidR="00FE1AD6" w:rsidRDefault="001C3110">
      <w:r>
        <w:rPr>
          <w:color w:val="000000"/>
        </w:rPr>
        <w:t>premium remains. Still to do: main-board/ChiNext splits and earnings-announcement overlap.</w:t>
      </w:r>
    </w:p>
    <w:p w14:paraId="5BC95B8E" w14:textId="77777777" w:rsidR="00FE1AD6" w:rsidRDefault="001C3110">
      <w:r>
        <w:rPr>
          <w:color w:val="000000"/>
        </w:rPr>
        <w:t>Standard errors should be clustered. The 2,715 distinct report URLs behind a 3,000-event</w:t>
      </w:r>
    </w:p>
    <w:p w14:paraId="56CA404F" w14:textId="77777777" w:rsidR="00FE1AD6" w:rsidRDefault="001C3110">
      <w:r>
        <w:rPr>
          <w:color w:val="000000"/>
        </w:rPr>
        <w:t>sample show that one report can carry ratings for several stocks or for several analysts,</w:t>
      </w:r>
    </w:p>
    <w:p w14:paraId="2811FBDB" w14:textId="77777777" w:rsidR="00FE1AD6" w:rsidRDefault="001C3110">
      <w:r>
        <w:rPr>
          <w:color w:val="000000"/>
        </w:rPr>
        <w:t>so observations are not independent within a report. Clustering at the report level, and</w:t>
      </w:r>
    </w:p>
    <w:p w14:paraId="54F7BC47" w14:textId="77777777" w:rsidR="00FE1AD6" w:rsidRDefault="001C3110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3EFEC0B7" w14:textId="77777777" w:rsidR="00FE1AD6" w:rsidRDefault="001C3110">
      <w:pPr>
        <w:pStyle w:val="1"/>
        <w:spacing w:before="280" w:after="120"/>
      </w:pPr>
      <w:bookmarkStart w:id="8" w:name="_Toc243235001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FE1AD6" w14:paraId="5EBA73A2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E340CEA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3DE03E15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FE1AD6" w14:paraId="790D06AF" w14:textId="77777777">
        <w:trPr>
          <w:cantSplit/>
          <w:jc w:val="center"/>
        </w:trPr>
        <w:tc>
          <w:tcPr>
            <w:tcW w:w="4706" w:type="dxa"/>
          </w:tcPr>
          <w:p w14:paraId="31F2FD0C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51E27E1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FE1AD6" w14:paraId="028BCC14" w14:textId="77777777">
        <w:trPr>
          <w:cantSplit/>
          <w:jc w:val="center"/>
        </w:trPr>
        <w:tc>
          <w:tcPr>
            <w:tcW w:w="4706" w:type="dxa"/>
          </w:tcPr>
          <w:p w14:paraId="03C653D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6A8B717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FE1AD6" w14:paraId="6CE1957E" w14:textId="77777777">
        <w:trPr>
          <w:cantSplit/>
          <w:jc w:val="center"/>
        </w:trPr>
        <w:tc>
          <w:tcPr>
            <w:tcW w:w="4706" w:type="dxa"/>
          </w:tcPr>
          <w:p w14:paraId="4820CE71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3 Event study, CAR and abnormal volume</w:t>
            </w:r>
          </w:p>
        </w:tc>
        <w:tc>
          <w:tcPr>
            <w:tcW w:w="4706" w:type="dxa"/>
          </w:tcPr>
          <w:p w14:paraId="2D9CA13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FE1AD6" w14:paraId="51A0E566" w14:textId="77777777">
        <w:trPr>
          <w:cantSplit/>
          <w:jc w:val="center"/>
        </w:trPr>
        <w:tc>
          <w:tcPr>
            <w:tcW w:w="4706" w:type="dxa"/>
          </w:tcPr>
          <w:p w14:paraId="2530ECC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60F928D9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FE1AD6" w14:paraId="1A3AC984" w14:textId="77777777">
        <w:trPr>
          <w:cantSplit/>
          <w:jc w:val="center"/>
        </w:trPr>
        <w:tc>
          <w:tcPr>
            <w:tcW w:w="4706" w:type="dxa"/>
          </w:tcPr>
          <w:p w14:paraId="248D485B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5B1D9DC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5C5187D8" w14:textId="77777777" w:rsidR="00FE1AD6" w:rsidRDefault="00FE1AD6">
      <w:pPr>
        <w:spacing w:after="0"/>
      </w:pPr>
    </w:p>
    <w:p w14:paraId="3ED560D4" w14:textId="77777777" w:rsidR="00FE1AD6" w:rsidRDefault="001C3110">
      <w:r>
        <w:rPr>
          <w:color w:val="000000"/>
        </w:rPr>
        <w:t>B also delivers the market data (prices, daily returns and volume) and the</w:t>
      </w:r>
    </w:p>
    <w:p w14:paraId="1AF08C6B" w14:textId="77777777" w:rsidR="00FE1AD6" w:rsidRDefault="001C3110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;</w:t>
      </w:r>
    </w:p>
    <w:p w14:paraId="1947B1D3" w14:textId="77777777" w:rsidR="00FE1AD6" w:rsidRDefault="001C3110"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 xml:space="preserve"> accepts either a single panel or panels split by year.</w:t>
      </w:r>
    </w:p>
    <w:p w14:paraId="6E7DB408" w14:textId="77777777" w:rsidR="00FE1AD6" w:rsidRDefault="001C3110">
      <w:pPr>
        <w:pStyle w:val="1"/>
        <w:spacing w:before="280" w:after="120"/>
      </w:pPr>
      <w:bookmarkStart w:id="9" w:name="_Toc243235002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67708293" w14:textId="77777777" w:rsidR="00FE1AD6" w:rsidRDefault="001C3110">
      <w:r>
        <w:rPr>
          <w:color w:val="000000"/>
        </w:rPr>
        <w:t xml:space="preserve">Status as of 18 October: all results have been rebuilt on the cleaned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H00300</w:t>
      </w:r>
    </w:p>
    <w:p w14:paraId="624E425A" w14:textId="77777777" w:rsidR="00FE1AD6" w:rsidRDefault="001C3110">
      <w:r>
        <w:rPr>
          <w:color w:val="000000"/>
        </w:rPr>
        <w:t>returns. The sample, authority variables, announcement results, drift, accuracy, forecast</w:t>
      </w:r>
    </w:p>
    <w:p w14:paraId="6F5467AF" w14:textId="77777777" w:rsidR="00FE1AD6" w:rsidRDefault="001C3110">
      <w:r>
        <w:rPr>
          <w:color w:val="000000"/>
        </w:rPr>
        <w:t>error, direction and tier interactions, clustered inference, suspension, price-limit and</w:t>
      </w:r>
    </w:p>
    <w:p w14:paraId="141AA17C" w14:textId="77777777" w:rsidR="00FE1AD6" w:rsidRDefault="001C3110">
      <w:r>
        <w:rPr>
          <w:color w:val="000000"/>
        </w:rPr>
        <w:t>ST robustness, independent replication and the rolling-tier robustness are done. The</w:t>
      </w:r>
    </w:p>
    <w:p w14:paraId="5CB1BDBB" w14:textId="77777777" w:rsidR="00FE1AD6" w:rsidRDefault="001C3110">
      <w:r>
        <w:rPr>
          <w:color w:val="000000"/>
        </w:rPr>
        <w:t>remaining work is the slides and two rehearsals.</w:t>
      </w:r>
    </w:p>
    <w:p w14:paraId="29C884CE" w14:textId="77777777" w:rsidR="00FE1AD6" w:rsidRDefault="001C3110">
      <w:r>
        <w:rPr>
          <w:color w:val="000000"/>
        </w:rPr>
        <w:t>19-20 October: clustered errors, limit-hit and ST robustness.</w:t>
      </w:r>
    </w:p>
    <w:p w14:paraId="0C9B8C76" w14:textId="77777777" w:rsidR="00FE1AD6" w:rsidRDefault="001C3110">
      <w:r>
        <w:rPr>
          <w:color w:val="000000"/>
        </w:rPr>
        <w:t>21-22 October: three main figures and the data appendix.</w:t>
      </w:r>
    </w:p>
    <w:p w14:paraId="46683221" w14:textId="77777777" w:rsidR="00FE1AD6" w:rsidRDefault="001C3110">
      <w:r>
        <w:rPr>
          <w:color w:val="000000"/>
        </w:rPr>
        <w:t>23-24 October: slides, with one owner per half.</w:t>
      </w:r>
    </w:p>
    <w:p w14:paraId="2657FCB9" w14:textId="77777777" w:rsidR="00FE1AD6" w:rsidRDefault="001C3110">
      <w:r>
        <w:rPr>
          <w:color w:val="000000"/>
        </w:rPr>
        <w:t>25 October: first timed rehearsal.</w:t>
      </w:r>
    </w:p>
    <w:p w14:paraId="18870BCB" w14:textId="77777777" w:rsidR="00FE1AD6" w:rsidRDefault="001C3110">
      <w:r>
        <w:rPr>
          <w:color w:val="000000"/>
        </w:rPr>
        <w:t>26 October: second rehearsal and freeze.</w:t>
      </w:r>
    </w:p>
    <w:p w14:paraId="0FDC2245" w14:textId="77777777" w:rsidR="00FE1AD6" w:rsidRDefault="001C3110">
      <w:r>
        <w:rPr>
          <w:color w:val="000000"/>
        </w:rPr>
        <w:t>27 October: presentation, 15 minutes plus 5 minutes of Q&amp;A.</w:t>
      </w:r>
    </w:p>
    <w:p w14:paraId="0B1B7B66" w14:textId="77777777" w:rsidR="00FE1AD6" w:rsidRDefault="001C3110">
      <w:r>
        <w:rPr>
          <w:color w:val="000000"/>
        </w:rPr>
        <w:t>Survival rules: slides freeze on 25 October; rehearse twice with a timer and cut content</w:t>
      </w:r>
    </w:p>
    <w:p w14:paraId="3859B2B9" w14:textId="77777777" w:rsidR="00FE1AD6" w:rsidRDefault="001C3110">
      <w:r>
        <w:rPr>
          <w:color w:val="000000"/>
        </w:rPr>
        <w:t>rather than speed up delivery.</w:t>
      </w:r>
    </w:p>
    <w:p w14:paraId="642A45A9" w14:textId="77777777" w:rsidR="00FE1AD6" w:rsidRDefault="001C3110">
      <w:pPr>
        <w:pStyle w:val="1"/>
        <w:spacing w:before="280" w:after="120"/>
      </w:pPr>
      <w:bookmarkStart w:id="10" w:name="_Toc243235003"/>
      <w:r>
        <w:rPr>
          <w:rFonts w:ascii="Times New Roman" w:eastAsia="Arial" w:hAnsi="Times New Roman"/>
          <w:color w:val="000000"/>
          <w:sz w:val="30"/>
        </w:rPr>
        <w:t>11. Presentation and written report</w:t>
      </w:r>
      <w:bookmarkEnd w:id="10"/>
    </w:p>
    <w:p w14:paraId="44BF5829" w14:textId="77777777" w:rsidR="00FE1AD6" w:rsidRDefault="001C3110">
      <w:pPr>
        <w:pStyle w:val="21"/>
        <w:spacing w:after="120"/>
      </w:pPr>
      <w:bookmarkStart w:id="11" w:name="_Toc243235004"/>
      <w:r>
        <w:rPr>
          <w:rFonts w:ascii="Times New Roman" w:eastAsia="Arial" w:hAnsi="Times New Roman"/>
          <w:color w:val="000000"/>
        </w:rPr>
        <w:t>11.1 Slide outline (maximum 15)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FE1AD6" w14:paraId="2D66373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BA5E8B8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Slide</w:t>
            </w:r>
          </w:p>
        </w:tc>
        <w:tc>
          <w:tcPr>
            <w:tcW w:w="3137" w:type="dxa"/>
            <w:shd w:val="clear" w:color="auto" w:fill="F2F2F2"/>
          </w:tcPr>
          <w:p w14:paraId="26DDD428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Content</w:t>
            </w:r>
          </w:p>
        </w:tc>
        <w:tc>
          <w:tcPr>
            <w:tcW w:w="3137" w:type="dxa"/>
            <w:shd w:val="clear" w:color="auto" w:fill="F2F2F2"/>
          </w:tcPr>
          <w:p w14:paraId="2720B902" w14:textId="77777777" w:rsidR="00FE1AD6" w:rsidRDefault="001C311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What it must show</w:t>
            </w:r>
          </w:p>
        </w:tc>
      </w:tr>
      <w:tr w:rsidR="00FE1AD6" w14:paraId="23A4611E" w14:textId="77777777">
        <w:trPr>
          <w:cantSplit/>
          <w:jc w:val="center"/>
        </w:trPr>
        <w:tc>
          <w:tcPr>
            <w:tcW w:w="3137" w:type="dxa"/>
          </w:tcPr>
          <w:p w14:paraId="45617A12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4794E1C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Opening case</w:t>
            </w:r>
          </w:p>
        </w:tc>
        <w:tc>
          <w:tcPr>
            <w:tcW w:w="3137" w:type="dxa"/>
          </w:tcPr>
          <w:p w14:paraId="35A55B1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One concrete event; no self-introduction</w:t>
            </w:r>
          </w:p>
        </w:tc>
      </w:tr>
      <w:tr w:rsidR="00FE1AD6" w14:paraId="151656AC" w14:textId="77777777">
        <w:trPr>
          <w:cantSplit/>
          <w:jc w:val="center"/>
        </w:trPr>
        <w:tc>
          <w:tcPr>
            <w:tcW w:w="3137" w:type="dxa"/>
          </w:tcPr>
          <w:p w14:paraId="742E749E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353CBE7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Research question and why China</w:t>
            </w:r>
          </w:p>
        </w:tc>
        <w:tc>
          <w:tcPr>
            <w:tcW w:w="3137" w:type="dxa"/>
          </w:tcPr>
          <w:p w14:paraId="7664D398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Retail turnover, T+1, price limits, New Fortune</w:t>
            </w:r>
          </w:p>
        </w:tc>
      </w:tr>
      <w:tr w:rsidR="00FE1AD6" w14:paraId="52FFD94E" w14:textId="77777777">
        <w:trPr>
          <w:cantSplit/>
          <w:jc w:val="center"/>
        </w:trPr>
        <w:tc>
          <w:tcPr>
            <w:tcW w:w="3137" w:type="dxa"/>
          </w:tcPr>
          <w:p w14:paraId="1507C00E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655F9C12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Two hypotheses and three tests</w:t>
            </w:r>
          </w:p>
        </w:tc>
        <w:tc>
          <w:tcPr>
            <w:tcW w:w="3137" w:type="dxa"/>
          </w:tcPr>
          <w:p w14:paraId="1FF3473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Information vs influence; announcement, drift, accuracy</w:t>
            </w:r>
          </w:p>
        </w:tc>
      </w:tr>
      <w:tr w:rsidR="00FE1AD6" w14:paraId="00F42249" w14:textId="77777777">
        <w:trPr>
          <w:cantSplit/>
          <w:jc w:val="center"/>
        </w:trPr>
        <w:tc>
          <w:tcPr>
            <w:tcW w:w="3137" w:type="dxa"/>
          </w:tcPr>
          <w:p w14:paraId="3C405463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0AF225A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Data and sample</w:t>
            </w:r>
          </w:p>
        </w:tc>
        <w:tc>
          <w:tcPr>
            <w:tcW w:w="3137" w:type="dxa"/>
          </w:tcPr>
          <w:p w14:paraId="069AEFF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iFinD; 20,980 revisions; cleaning funnel</w:t>
            </w:r>
          </w:p>
        </w:tc>
      </w:tr>
      <w:tr w:rsidR="00FE1AD6" w14:paraId="3CFED65B" w14:textId="77777777">
        <w:trPr>
          <w:cantSplit/>
          <w:jc w:val="center"/>
        </w:trPr>
        <w:tc>
          <w:tcPr>
            <w:tcW w:w="3137" w:type="dxa"/>
          </w:tcPr>
          <w:p w14:paraId="30D3F84D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4EE97B23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Authority variables</w:t>
            </w:r>
          </w:p>
        </w:tc>
        <w:tc>
          <w:tcPr>
            <w:tcW w:w="3137" w:type="dxa"/>
          </w:tcPr>
          <w:p w14:paraId="6E25D8E6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star, seniority, broker tier; sample-period identities and in-year names</w:t>
            </w:r>
          </w:p>
        </w:tc>
      </w:tr>
      <w:tr w:rsidR="00FE1AD6" w14:paraId="412FE7FE" w14:textId="77777777">
        <w:trPr>
          <w:cantSplit/>
          <w:jc w:val="center"/>
        </w:trPr>
        <w:tc>
          <w:tcPr>
            <w:tcW w:w="3137" w:type="dxa"/>
          </w:tcPr>
          <w:p w14:paraId="177242FE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1580CD43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Empirical design</w:t>
            </w:r>
          </w:p>
        </w:tc>
        <w:tc>
          <w:tcPr>
            <w:tcW w:w="3137" w:type="dxa"/>
          </w:tcPr>
          <w:p w14:paraId="094F45A8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Windows, CAR, abnormal volume, drift, holding returns, 80% validity rule</w:t>
            </w:r>
          </w:p>
        </w:tc>
      </w:tr>
      <w:tr w:rsidR="00FE1AD6" w14:paraId="7A18F00A" w14:textId="77777777">
        <w:trPr>
          <w:cantSplit/>
          <w:jc w:val="center"/>
        </w:trPr>
        <w:tc>
          <w:tcPr>
            <w:tcW w:w="3137" w:type="dxa"/>
          </w:tcPr>
          <w:p w14:paraId="65E3CA52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6ED59DD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Q1: announcement</w:t>
            </w:r>
          </w:p>
        </w:tc>
        <w:tc>
          <w:tcPr>
            <w:tcW w:w="3137" w:type="dxa"/>
          </w:tcPr>
          <w:p w14:paraId="1414B96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Star upgrades vs downgrades, CAR and volume</w:t>
            </w:r>
          </w:p>
        </w:tc>
      </w:tr>
      <w:tr w:rsidR="00FE1AD6" w14:paraId="05B42E61" w14:textId="77777777">
        <w:trPr>
          <w:cantSplit/>
          <w:jc w:val="center"/>
        </w:trPr>
        <w:tc>
          <w:tcPr>
            <w:tcW w:w="3137" w:type="dxa"/>
          </w:tcPr>
          <w:p w14:paraId="29BDB11C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6D405437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Q2: drift</w:t>
            </w:r>
          </w:p>
        </w:tc>
        <w:tc>
          <w:tcPr>
            <w:tcW w:w="3137" w:type="dxa"/>
          </w:tcPr>
          <w:p w14:paraId="57EBA20A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+2 to +250 path; downgrade underperformance then reversal</w:t>
            </w:r>
          </w:p>
        </w:tc>
      </w:tr>
      <w:tr w:rsidR="00FE1AD6" w14:paraId="0A11AE44" w14:textId="77777777">
        <w:trPr>
          <w:cantSplit/>
          <w:jc w:val="center"/>
        </w:trPr>
        <w:tc>
          <w:tcPr>
            <w:tcW w:w="3137" w:type="dxa"/>
          </w:tcPr>
          <w:p w14:paraId="6C64036C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53E42B5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Q3: accuracy</w:t>
            </w:r>
          </w:p>
        </w:tc>
        <w:tc>
          <w:tcPr>
            <w:tcW w:w="3137" w:type="dxa"/>
          </w:tcPr>
          <w:p w14:paraId="735E773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6/12-month holding returns and EPS forecast error</w:t>
            </w:r>
          </w:p>
        </w:tc>
      </w:tr>
      <w:tr w:rsidR="00FE1AD6" w14:paraId="6B97742C" w14:textId="77777777">
        <w:trPr>
          <w:cantSplit/>
          <w:jc w:val="center"/>
        </w:trPr>
        <w:tc>
          <w:tcPr>
            <w:tcW w:w="3137" w:type="dxa"/>
          </w:tcPr>
          <w:p w14:paraId="63571C46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1FE4A4C4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Q4: asymmetry and tier</w:t>
            </w:r>
          </w:p>
        </w:tc>
        <w:tc>
          <w:tcPr>
            <w:tcW w:w="3137" w:type="dxa"/>
          </w:tcPr>
          <w:p w14:paraId="2191A5E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Interaction models; top-tier upgrade premium</w:t>
            </w:r>
          </w:p>
        </w:tc>
      </w:tr>
      <w:tr w:rsidR="00FE1AD6" w14:paraId="7A26D8EA" w14:textId="77777777">
        <w:trPr>
          <w:cantSplit/>
          <w:jc w:val="center"/>
        </w:trPr>
        <w:tc>
          <w:tcPr>
            <w:tcW w:w="3137" w:type="dxa"/>
          </w:tcPr>
          <w:p w14:paraId="2C50BE96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30AC4B0C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Robustness</w:t>
            </w:r>
          </w:p>
        </w:tc>
        <w:tc>
          <w:tcPr>
            <w:tcW w:w="3137" w:type="dxa"/>
          </w:tcPr>
          <w:p w14:paraId="5CC7DAEF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Suspension drop, clustering, alternative star definitions, rolling tier</w:t>
            </w:r>
          </w:p>
        </w:tc>
      </w:tr>
      <w:tr w:rsidR="00FE1AD6" w14:paraId="0BACCB0A" w14:textId="77777777">
        <w:trPr>
          <w:cantSplit/>
          <w:jc w:val="center"/>
        </w:trPr>
        <w:tc>
          <w:tcPr>
            <w:tcW w:w="3137" w:type="dxa"/>
          </w:tcPr>
          <w:p w14:paraId="3F5C7DE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5A56A1D1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Interpretation</w:t>
            </w:r>
          </w:p>
        </w:tc>
        <w:tc>
          <w:tcPr>
            <w:tcW w:w="3137" w:type="dxa"/>
          </w:tcPr>
          <w:p w14:paraId="488AB0C8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Short-run information, long-run following; career concerns</w:t>
            </w:r>
          </w:p>
        </w:tc>
      </w:tr>
      <w:tr w:rsidR="00FE1AD6" w14:paraId="15A2F952" w14:textId="77777777">
        <w:trPr>
          <w:cantSplit/>
          <w:jc w:val="center"/>
        </w:trPr>
        <w:tc>
          <w:tcPr>
            <w:tcW w:w="3137" w:type="dxa"/>
          </w:tcPr>
          <w:p w14:paraId="7EF6051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3F2D2D20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Conclusion</w:t>
            </w:r>
          </w:p>
        </w:tc>
        <w:tc>
          <w:tcPr>
            <w:tcW w:w="3137" w:type="dxa"/>
          </w:tcPr>
          <w:p w14:paraId="4328F745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Three claims and implications</w:t>
            </w:r>
          </w:p>
        </w:tc>
      </w:tr>
      <w:tr w:rsidR="00FE1AD6" w14:paraId="2AB7D628" w14:textId="77777777">
        <w:trPr>
          <w:cantSplit/>
          <w:jc w:val="center"/>
        </w:trPr>
        <w:tc>
          <w:tcPr>
            <w:tcW w:w="3137" w:type="dxa"/>
          </w:tcPr>
          <w:p w14:paraId="28437DCE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403E1876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Backup</w:t>
            </w:r>
          </w:p>
        </w:tc>
        <w:tc>
          <w:tcPr>
            <w:tcW w:w="3137" w:type="dxa"/>
          </w:tcPr>
          <w:p w14:paraId="293D2B6E" w14:textId="77777777" w:rsidR="00FE1AD6" w:rsidRDefault="001C3110">
            <w:pPr>
              <w:spacing w:after="40" w:line="276" w:lineRule="auto"/>
            </w:pPr>
            <w:r>
              <w:rPr>
                <w:color w:val="000000"/>
                <w:sz w:val="21"/>
              </w:rPr>
              <w:t>Variable definitions, data sources, extra tables</w:t>
            </w:r>
          </w:p>
        </w:tc>
      </w:tr>
    </w:tbl>
    <w:p w14:paraId="699F8309" w14:textId="77777777" w:rsidR="00FE1AD6" w:rsidRDefault="00FE1AD6">
      <w:pPr>
        <w:spacing w:after="0"/>
      </w:pPr>
    </w:p>
    <w:p w14:paraId="2772ED8D" w14:textId="77777777" w:rsidR="00FE1AD6" w:rsidRDefault="001C3110">
      <w:r>
        <w:rPr>
          <w:color w:val="000000"/>
        </w:rPr>
        <w:t xml:space="preserve">Two hard requirements from the instructor's feedback: </w:t>
      </w:r>
      <w:r>
        <w:rPr>
          <w:b/>
          <w:color w:val="000000"/>
        </w:rPr>
        <w:t>no limitations on the slides</w:t>
      </w:r>
    </w:p>
    <w:p w14:paraId="7F1008AB" w14:textId="77777777" w:rsidR="00FE1AD6" w:rsidRDefault="001C3110">
      <w:r>
        <w:rPr>
          <w:color w:val="000000"/>
        </w:rPr>
        <w:t>(they belong in the written report), and **show the process and the logic chain, not only</w:t>
      </w:r>
    </w:p>
    <w:p w14:paraId="25298F25" w14:textId="77777777" w:rsidR="00FE1AD6" w:rsidRDefault="001C3110">
      <w:r>
        <w:rPr>
          <w:color w:val="000000"/>
        </w:rPr>
        <w:t>the final result**. Slides 3, 4 and 6 carry the process; slides 7-10 each answer one</w:t>
      </w:r>
    </w:p>
    <w:p w14:paraId="46653E35" w14:textId="77777777" w:rsidR="00FE1AD6" w:rsidRDefault="001C3110">
      <w:r>
        <w:rPr>
          <w:color w:val="000000"/>
        </w:rPr>
        <w:t>assigned question; slide 11 is the robustness backup.</w:t>
      </w:r>
    </w:p>
    <w:p w14:paraId="351040D6" w14:textId="77777777" w:rsidR="00FE1AD6" w:rsidRDefault="001C3110">
      <w:pPr>
        <w:pStyle w:val="21"/>
        <w:spacing w:after="120"/>
      </w:pPr>
      <w:bookmarkStart w:id="12" w:name="_Toc243235005"/>
      <w:r>
        <w:rPr>
          <w:rFonts w:ascii="Times New Roman" w:eastAsia="Arial" w:hAnsi="Times New Roman"/>
          <w:color w:val="000000"/>
        </w:rPr>
        <w:t>11.2 Written report outline</w:t>
      </w:r>
      <w:bookmarkEnd w:id="12"/>
    </w:p>
    <w:p w14:paraId="4B941374" w14:textId="77777777" w:rsidR="00FE1AD6" w:rsidRDefault="001C3110">
      <w:pPr>
        <w:spacing w:after="80"/>
        <w:ind w:left="425" w:hanging="425"/>
      </w:pPr>
      <w:r>
        <w:rPr>
          <w:color w:val="000000"/>
        </w:rPr>
        <w:t>1. Abstract: question, data, three tests, one-sentence conclusion.</w:t>
      </w:r>
    </w:p>
    <w:p w14:paraId="0ABB2E72" w14:textId="77777777" w:rsidR="00FE1AD6" w:rsidRDefault="001C3110">
      <w:pPr>
        <w:spacing w:after="80"/>
        <w:ind w:left="425" w:hanging="425"/>
      </w:pPr>
      <w:r>
        <w:rPr>
          <w:color w:val="000000"/>
        </w:rPr>
        <w:t>2. Introduction: authority in markets, Milgram framing, contribution.</w:t>
      </w:r>
    </w:p>
    <w:p w14:paraId="49F19511" w14:textId="77777777" w:rsidR="00FE1AD6" w:rsidRDefault="001C3110">
      <w:pPr>
        <w:spacing w:after="80"/>
        <w:ind w:left="425" w:hanging="425"/>
      </w:pPr>
      <w:r>
        <w:rPr>
          <w:color w:val="000000"/>
        </w:rPr>
        <w:t>3. Literature and hypotheses: information vs influence; star-analyst literature; H1-H4.</w:t>
      </w:r>
    </w:p>
    <w:p w14:paraId="53F09C38" w14:textId="77777777" w:rsidR="00FE1AD6" w:rsidRDefault="001C3110">
      <w:pPr>
        <w:spacing w:after="80"/>
        <w:ind w:left="425" w:hanging="425"/>
      </w:pPr>
      <w:r>
        <w:rPr>
          <w:color w:val="000000"/>
        </w:rPr>
        <w:t>4. Data: iFinD source, cleaning funnel, authority variables, market data, descriptives.</w:t>
      </w:r>
    </w:p>
    <w:p w14:paraId="50A5F186" w14:textId="77777777" w:rsidR="00FE1AD6" w:rsidRDefault="001C3110">
      <w:pPr>
        <w:spacing w:after="80"/>
        <w:ind w:left="425" w:hanging="425"/>
      </w:pPr>
      <w:r>
        <w:rPr>
          <w:color w:val="000000"/>
        </w:rPr>
        <w:t>5. Method: event study, drift, holding returns, forecast error, interaction models.</w:t>
      </w:r>
    </w:p>
    <w:p w14:paraId="092F9213" w14:textId="77777777" w:rsidR="00FE1AD6" w:rsidRDefault="001C3110">
      <w:pPr>
        <w:spacing w:after="80"/>
        <w:ind w:left="425" w:hanging="425"/>
      </w:pPr>
      <w:r>
        <w:rPr>
          <w:color w:val="000000"/>
        </w:rPr>
        <w:t>6. Results: one subsection per assigned question, economic magnitudes first.</w:t>
      </w:r>
    </w:p>
    <w:p w14:paraId="0103A811" w14:textId="77777777" w:rsidR="00FE1AD6" w:rsidRDefault="001C3110">
      <w:pPr>
        <w:spacing w:after="80"/>
        <w:ind w:left="425" w:hanging="425"/>
      </w:pPr>
      <w:r>
        <w:rPr>
          <w:color w:val="000000"/>
        </w:rPr>
        <w:t>7. Robustness: suspension, clustering, alternative star definitions, rolling tier, 2018.</w:t>
      </w:r>
    </w:p>
    <w:p w14:paraId="04533A65" w14:textId="77777777" w:rsidR="00FE1AD6" w:rsidRDefault="001C3110">
      <w:pPr>
        <w:spacing w:after="80"/>
        <w:ind w:left="425" w:hanging="425"/>
      </w:pPr>
      <w:r>
        <w:rPr>
          <w:color w:val="000000"/>
        </w:rPr>
        <w:t>8. Discussion: short-run information vs long-run following; career concerns; why upgrades</w:t>
      </w:r>
    </w:p>
    <w:p w14:paraId="07F3DA3C" w14:textId="77777777" w:rsidR="00FE1AD6" w:rsidRDefault="001C3110">
      <w:r>
        <w:rPr>
          <w:color w:val="000000"/>
        </w:rPr>
        <w:t>and downgrades differ.</w:t>
      </w:r>
    </w:p>
    <w:p w14:paraId="3107EED8" w14:textId="77777777" w:rsidR="00FE1AD6" w:rsidRDefault="001C3110">
      <w:pPr>
        <w:spacing w:after="80"/>
        <w:ind w:left="425" w:hanging="425"/>
      </w:pPr>
      <w:r>
        <w:rPr>
          <w:color w:val="000000"/>
        </w:rPr>
        <w:t>9. Limitations: data source, ST, limit-hits, forecast-error coverage, tier proxy.</w:t>
      </w:r>
    </w:p>
    <w:p w14:paraId="1862B423" w14:textId="77777777" w:rsidR="00FE1AD6" w:rsidRDefault="001C3110">
      <w:pPr>
        <w:spacing w:after="80"/>
        <w:ind w:left="425" w:hanging="425"/>
      </w:pPr>
      <w:r>
        <w:rPr>
          <w:color w:val="000000"/>
        </w:rPr>
        <w:t>10. Conclusion, references, appendix with variable definitions and the cleaning funnel.</w:t>
      </w:r>
    </w:p>
    <w:p w14:paraId="1DA55C56" w14:textId="77777777" w:rsidR="00FE1AD6" w:rsidRDefault="001C3110">
      <w:r>
        <w:rPr>
          <w:color w:val="000000"/>
        </w:rPr>
        <w:t>The report carries the limitations and the one-page data-provenance statement that the</w:t>
      </w:r>
    </w:p>
    <w:p w14:paraId="6BD41CDE" w14:textId="77777777" w:rsidR="00FE1AD6" w:rsidRDefault="001C3110">
      <w:r>
        <w:rPr>
          <w:color w:val="000000"/>
        </w:rPr>
        <w:t>slides omit.</w:t>
      </w:r>
    </w:p>
    <w:p w14:paraId="43645162" w14:textId="77777777" w:rsidR="00FE1AD6" w:rsidRDefault="001C3110">
      <w:pPr>
        <w:pStyle w:val="1"/>
        <w:spacing w:before="280" w:after="120"/>
      </w:pPr>
      <w:bookmarkStart w:id="13" w:name="_Toc243235006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3"/>
    </w:p>
    <w:p w14:paraId="7A92E341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70253FD4" w14:textId="77777777" w:rsidR="00FE1AD6" w:rsidRDefault="001C3110">
      <w:r>
        <w:rPr>
          <w:color w:val="000000"/>
        </w:rPr>
        <w:t>the 2018 spell without a list, "just outside the list" comparisons, and pre-event</w:t>
      </w:r>
    </w:p>
    <w:p w14:paraId="600E94BC" w14:textId="77777777" w:rsidR="00FE1AD6" w:rsidRDefault="001C3110">
      <w:r>
        <w:rPr>
          <w:color w:val="000000"/>
        </w:rPr>
        <w:t>controls.</w:t>
      </w:r>
    </w:p>
    <w:p w14:paraId="2A6CDFB8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2DCF4D24" w14:textId="77777777" w:rsidR="00FE1AD6" w:rsidRDefault="001C3110">
      <w:r>
        <w:rPr>
          <w:color w:val="000000"/>
        </w:rPr>
        <w:t>that the iFinD analyst universe and the voted universe differ, and drop analysts with</w:t>
      </w:r>
    </w:p>
    <w:p w14:paraId="04CF39DF" w14:textId="77777777" w:rsidR="00FE1AD6" w:rsidRDefault="001C3110">
      <w:r>
        <w:rPr>
          <w:color w:val="000000"/>
        </w:rPr>
        <w:t>very few reports.</w:t>
      </w:r>
    </w:p>
    <w:p w14:paraId="1CEBC0AF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1B4BB48C" w14:textId="77777777" w:rsidR="00FE1AD6" w:rsidRDefault="001C3110">
      <w:r>
        <w:rPr>
          <w:color w:val="000000"/>
        </w:rPr>
        <w:t>Response: control turnover and size, test whether reversal survives transaction costs.</w:t>
      </w:r>
    </w:p>
    <w:p w14:paraId="425A1076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14366226" w14:textId="77777777" w:rsidR="00FE1AD6" w:rsidRDefault="001C3110">
      <w:r>
        <w:rPr>
          <w:color w:val="000000"/>
        </w:rPr>
        <w:t>each variable proxies what it claims to proxy.</w:t>
      </w:r>
    </w:p>
    <w:p w14:paraId="05601922" w14:textId="77777777" w:rsidR="00FE1AD6" w:rsidRDefault="001C3110">
      <w:pPr>
        <w:pStyle w:val="1"/>
        <w:spacing w:before="280" w:after="120"/>
      </w:pPr>
      <w:bookmarkStart w:id="14" w:name="_Toc243235007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4"/>
    </w:p>
    <w:p w14:paraId="52B0F236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6948D8AF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2AAD8DF6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F2BEEC8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33745562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10FC6B91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3EB760C8" w14:textId="77777777" w:rsidR="00FE1AD6" w:rsidRDefault="001C3110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C08C0F5" w14:textId="77777777" w:rsidR="00FE1AD6" w:rsidRDefault="001C3110">
      <w:pPr>
        <w:pStyle w:val="1"/>
        <w:spacing w:before="280" w:after="120"/>
      </w:pPr>
      <w:bookmarkStart w:id="15" w:name="_Toc243235008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5"/>
    </w:p>
    <w:p w14:paraId="16DF4ADA" w14:textId="77777777" w:rsidR="00FE1AD6" w:rsidRDefault="001C3110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0F474A7D" w14:textId="77777777" w:rsidR="00FE1AD6" w:rsidRDefault="001C3110">
      <w:r>
        <w:rPr>
          <w:color w:val="000000"/>
        </w:rPr>
        <w:t>inference, not a published 2018 list.</w:t>
      </w:r>
    </w:p>
    <w:p w14:paraId="3D016737" w14:textId="77777777" w:rsidR="00FE1AD6" w:rsidRDefault="001C3110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79E17F98" w14:textId="77777777" w:rsidR="00FE1AD6" w:rsidRDefault="001C3110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AE8E985" w14:textId="77777777" w:rsidR="00FE1AD6" w:rsidRDefault="001C3110">
      <w:r>
        <w:rPr>
          <w:color w:val="000000"/>
        </w:rPr>
        <w:t>601995.SH, not the broker. Its ranked entries are all fixed income, ranked 1st in</w:t>
      </w:r>
    </w:p>
    <w:p w14:paraId="34538489" w14:textId="77777777" w:rsidR="00FE1AD6" w:rsidRDefault="001C3110">
      <w:r>
        <w:rPr>
          <w:color w:val="000000"/>
        </w:rPr>
        <w:t>2017, 3rd in 2019 and 4th in 2020, and those teams file no stock recommendations.</w:t>
      </w:r>
    </w:p>
    <w:p w14:paraId="031040DC" w14:textId="77777777" w:rsidR="00FE1AD6" w:rsidRDefault="001C3110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2194D72B" w14:textId="77777777" w:rsidR="00FE1AD6" w:rsidRDefault="001C3110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 measured rather than assumed (a query for</w:t>
      </w:r>
    </w:p>
    <w:p w14:paraId="660F5CA5" w14:textId="77777777" w:rsidR="00FE1AD6" w:rsidRDefault="001C3110">
      <w:r>
        <w:rPr>
          <w:color w:val="000000"/>
        </w:rPr>
        <w:t>2009 returns 27,059 rows, for 2008 two, and the earliest first-report date we observe is</w:t>
      </w:r>
    </w:p>
    <w:p w14:paraId="7662167B" w14:textId="77777777" w:rsidR="00FE1AD6" w:rsidRDefault="001C3110">
      <w:r>
        <w:rPr>
          <w:color w:val="000000"/>
        </w:rPr>
        <w:t>2009-06-15; that is a coverage limit, not a query problem, since for 2008 the</w:t>
      </w:r>
    </w:p>
    <w:p w14:paraId="2C056625" w14:textId="77777777" w:rsidR="00FE1AD6" w:rsidRDefault="001C3110">
      <w:r>
        <w:rPr>
          <w:color w:val="000000"/>
        </w:rPr>
        <w:t>alternative wordings, half-year splits and a single-stock query all return nothing), so the 18.8% of analysts whose first report sits at that boundary cannot be ranked</w:t>
      </w:r>
    </w:p>
    <w:p w14:paraId="662C5DD9" w14:textId="77777777" w:rsidR="00FE1AD6" w:rsidRDefault="001C3110">
      <w:r>
        <w:rPr>
          <w:color w:val="000000"/>
        </w:rPr>
        <w:t>against one another, and December 2012 is absent from the source. Neither gap can be</w:t>
      </w:r>
    </w:p>
    <w:p w14:paraId="4F1947D1" w14:textId="77777777" w:rsidR="00FE1AD6" w:rsidRDefault="001C3110">
      <w:r>
        <w:rPr>
          <w:color w:val="000000"/>
        </w:rPr>
        <w:t>closed with this data. Correlation with the event year is 0.130, so year fixed effects</w:t>
      </w:r>
    </w:p>
    <w:p w14:paraId="17E4EBAE" w14:textId="77777777" w:rsidR="00FE1AD6" w:rsidRDefault="001C3110">
      <w:r>
        <w:rPr>
          <w:color w:val="000000"/>
        </w:rPr>
        <w:t>remain advisable but the variable no longer merely counts calendar time. For the censored</w:t>
      </w:r>
    </w:p>
    <w:p w14:paraId="44322204" w14:textId="77777777" w:rsidR="00FE1AD6" w:rsidRDefault="001C3110">
      <w:r>
        <w:rPr>
          <w:color w:val="000000"/>
        </w:rPr>
        <w:t>group the value is a lower bound on true tenure, so the seniority coefficient is</w:t>
      </w:r>
    </w:p>
    <w:p w14:paraId="524FC8F2" w14:textId="77777777" w:rsidR="00FE1AD6" w:rsidRDefault="001C3110">
      <w:r>
        <w:rPr>
          <w:color w:val="000000"/>
        </w:rPr>
        <w:t>attenuated rather than inflated. A robustness run drops that cohort, which is 2,674</w:t>
      </w:r>
    </w:p>
    <w:p w14:paraId="59DCCF6B" w14:textId="77777777" w:rsidR="00FE1AD6" w:rsidRDefault="001C3110">
      <w:r>
        <w:rPr>
          <w:color w:val="000000"/>
        </w:rPr>
        <w:t>events (12.7% of the sample) and 18.5% of all star events.</w:t>
      </w:r>
    </w:p>
    <w:p w14:paraId="070E1E1B" w14:textId="77777777" w:rsidR="00FE1AD6" w:rsidRDefault="001C3110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43A5AA4E" w14:textId="77777777" w:rsidR="00FE1AD6" w:rsidRDefault="001C3110">
      <w:r>
        <w:rPr>
          <w:color w:val="000000"/>
        </w:rPr>
        <w:t>ranking.</w:t>
      </w:r>
    </w:p>
    <w:p w14:paraId="45834A87" w14:textId="77777777" w:rsidR="00FE1AD6" w:rsidRDefault="001C3110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58CEEEDD" w14:textId="77777777" w:rsidR="00FE1AD6" w:rsidRDefault="001C3110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15AE7B9D" w14:textId="77777777" w:rsidR="00FE1AD6" w:rsidRDefault="001C3110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61C8FC04" w14:textId="77777777" w:rsidR="00FE1AD6" w:rsidRDefault="001C3110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76791851" w14:textId="77777777" w:rsidR="00FE1AD6" w:rsidRDefault="001C3110">
      <w:r>
        <w:rPr>
          <w:color w:val="000000"/>
        </w:rPr>
        <w:t>the names moves 1,370 events (6.5%) to a different tier.</w:t>
      </w:r>
    </w:p>
    <w:p w14:paraId="1EA6C6BA" w14:textId="77777777" w:rsidR="00FE1AD6" w:rsidRDefault="001C3110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7F22853D" w14:textId="77777777" w:rsidR="00FE1AD6" w:rsidRDefault="001C3110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6A5E73C9" w14:textId="77777777" w:rsidR="00FE1AD6" w:rsidRDefault="001C3110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448CE553" w14:textId="77777777" w:rsidR="00FE1AD6" w:rsidRDefault="001C3110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6C466BEE" w14:textId="77777777" w:rsidR="00FE1AD6" w:rsidRDefault="001C3110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64A76DF0" w14:textId="77777777" w:rsidR="00FE1AD6" w:rsidRDefault="001C3110">
      <w:r>
        <w:rPr>
          <w:color w:val="000000"/>
        </w:rPr>
        <w:t>inherits that veteran's first report date and the seniority is overstated. The report</w:t>
      </w:r>
    </w:p>
    <w:p w14:paraId="0631805C" w14:textId="77777777" w:rsidR="00FE1AD6" w:rsidRDefault="001C3110">
      <w:r>
        <w:rPr>
          <w:color w:val="000000"/>
        </w:rPr>
        <w:t>counts show such names exist: the largest reach 6,805 records, which no one person files.</w:t>
      </w:r>
    </w:p>
    <w:sectPr w:rsidR="00FE1AD6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624D8" w14:textId="77777777" w:rsidR="001C3110" w:rsidRDefault="001C3110">
      <w:pPr>
        <w:spacing w:after="0" w:line="240" w:lineRule="auto"/>
      </w:pPr>
      <w:r>
        <w:separator/>
      </w:r>
    </w:p>
  </w:endnote>
  <w:endnote w:type="continuationSeparator" w:id="0">
    <w:p w14:paraId="6ABD68A3" w14:textId="77777777" w:rsidR="001C3110" w:rsidRDefault="001C3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04F9" w14:textId="77777777" w:rsidR="00FE1AD6" w:rsidRDefault="001C3110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3B0E60">
      <w:rPr>
        <w:color w:val="808080"/>
        <w:sz w:val="18"/>
      </w:rPr>
      <w:fldChar w:fldCharType="separate"/>
    </w:r>
    <w:r w:rsidR="003B0E60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DBD40" w14:textId="77777777" w:rsidR="001C3110" w:rsidRDefault="001C3110">
      <w:pPr>
        <w:spacing w:after="0" w:line="240" w:lineRule="auto"/>
      </w:pPr>
      <w:r>
        <w:separator/>
      </w:r>
    </w:p>
  </w:footnote>
  <w:footnote w:type="continuationSeparator" w:id="0">
    <w:p w14:paraId="5B0ADE90" w14:textId="77777777" w:rsidR="001C3110" w:rsidRDefault="001C31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0735572">
    <w:abstractNumId w:val="8"/>
  </w:num>
  <w:num w:numId="2" w16cid:durableId="761489027">
    <w:abstractNumId w:val="6"/>
  </w:num>
  <w:num w:numId="3" w16cid:durableId="1223907918">
    <w:abstractNumId w:val="5"/>
  </w:num>
  <w:num w:numId="4" w16cid:durableId="590429966">
    <w:abstractNumId w:val="4"/>
  </w:num>
  <w:num w:numId="5" w16cid:durableId="78059965">
    <w:abstractNumId w:val="7"/>
  </w:num>
  <w:num w:numId="6" w16cid:durableId="1235624277">
    <w:abstractNumId w:val="3"/>
  </w:num>
  <w:num w:numId="7" w16cid:durableId="2083990757">
    <w:abstractNumId w:val="2"/>
  </w:num>
  <w:num w:numId="8" w16cid:durableId="1400177603">
    <w:abstractNumId w:val="1"/>
  </w:num>
  <w:num w:numId="9" w16cid:durableId="1589076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110"/>
    <w:rsid w:val="0029639D"/>
    <w:rsid w:val="00320F08"/>
    <w:rsid w:val="00326F90"/>
    <w:rsid w:val="003B0E60"/>
    <w:rsid w:val="00AA1D8D"/>
    <w:rsid w:val="00B47730"/>
    <w:rsid w:val="00CB0664"/>
    <w:rsid w:val="00FC693F"/>
    <w:rsid w:val="00FE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E8056"/>
  <w14:defaultImageDpi w14:val="300"/>
  <w15:docId w15:val="{525E0030-11A7-4731-997A-9B9763413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B0E60"/>
  </w:style>
  <w:style w:type="paragraph" w:styleId="TOC2">
    <w:name w:val="toc 2"/>
    <w:basedOn w:val="a1"/>
    <w:next w:val="a1"/>
    <w:autoRedefine/>
    <w:uiPriority w:val="39"/>
    <w:unhideWhenUsed/>
    <w:rsid w:val="003B0E60"/>
    <w:pPr>
      <w:ind w:leftChars="200" w:left="420"/>
    </w:pPr>
  </w:style>
  <w:style w:type="character" w:styleId="aff9">
    <w:name w:val="Hyperlink"/>
    <w:basedOn w:val="a2"/>
    <w:uiPriority w:val="99"/>
    <w:unhideWhenUsed/>
    <w:rsid w:val="003B0E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2904</Words>
  <Characters>16558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2026-10-18T08:56:00Z</dcterms:modified>
  <cp:category/>
</cp:coreProperties>
</file>