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8"/>
          <w:szCs w:val="28"/>
        </w:rPr>
      </w:pPr>
      <w:bookmarkStart w:colFirst="0" w:colLast="0" w:name="_nhuw1zfq2cx8" w:id="0"/>
      <w:bookmarkEnd w:id="0"/>
      <w:r w:rsidDel="00000000" w:rsidR="00000000" w:rsidRPr="00000000">
        <w:rPr>
          <w:rFonts w:ascii="Calibri" w:cs="Calibri" w:eastAsia="Calibri" w:hAnsi="Calibri"/>
          <w:b w:val="1"/>
          <w:bCs w:val="1"/>
          <w:sz w:val="28"/>
          <w:szCs w:val="28"/>
          <w:rtl w:val="0"/>
        </w:rPr>
        <w:t xml:space="preserve">AI-Assisted Programming Platform: Frontend Literature Review</w:t>
      </w:r>
    </w:p>
    <w:p w:rsidR="00000000" w:rsidDel="00000000" w:rsidP="00000000" w:rsidRDefault="00000000" w:rsidRPr="00000000" w14:paraId="00000002">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Contents</w:t>
      </w:r>
    </w:p>
    <w:p w:rsidR="00000000" w:rsidDel="00000000" w:rsidP="00000000" w:rsidRDefault="00000000" w:rsidRPr="00000000" w14:paraId="00000003">
      <w:pPr>
        <w:numPr>
          <w:ilvl w:val="0"/>
          <w:numId w:val="3"/>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Frontend Executive Summary</w:t>
        <w:br w:type="textWrapping"/>
      </w:r>
    </w:p>
    <w:p w:rsidR="00000000" w:rsidDel="00000000" w:rsidP="00000000" w:rsidRDefault="00000000" w:rsidRPr="00000000" w14:paraId="00000004">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UI Architecture Trends in AI-Assisted Programming Tutors</w:t>
        <w:br w:type="textWrapping"/>
        <w:t xml:space="preserve">  2.1 Web Frameworks and Frontend Stacks</w:t>
        <w:br w:type="textWrapping"/>
        <w:t xml:space="preserve">  2.2 Interaction Modalities: Chat-Centric vs Code-Centric UIs</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UX Patterns for Scaffolding and Feedback</w:t>
        <w:br w:type="textWrapping"/>
        <w:t xml:space="preserve">  3.1 AI as Mentor vs AI as Solver – UI Reflection</w:t>
        <w:br w:type="textWrapping"/>
        <w:t xml:space="preserve">  3.2 Design Patterns: Hints, Stepwise Assistance, and Error Highlighting</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Student Perception, Usability, and Trust in AI Frontends</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Gap Analysis: Modern Frontend Stack and Secure, Integrated Editors</w:t>
        <w:br w:type="textWrapping"/>
        <w:t xml:space="preserve">  5.1 Lack of Explicit Modern Frontend Stacks</w:t>
        <w:br w:type="textWrapping"/>
        <w:t xml:space="preserve">  5.2 Limited Discussion of Security and Content Sanitization</w:t>
        <w:br w:type="textWrapping"/>
      </w:r>
    </w:p>
    <w:p w:rsidR="00000000" w:rsidDel="00000000" w:rsidP="00000000" w:rsidRDefault="00000000" w:rsidRPr="00000000" w14:paraId="00000008">
      <w:pPr>
        <w:numPr>
          <w:ilvl w:val="0"/>
          <w:numId w:val="3"/>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Conclusion</w:t>
        <w:br w:type="textWrapping"/>
        <w:t xml:space="preserve"> References</w:t>
      </w:r>
    </w:p>
    <w:p w:rsidR="00000000" w:rsidDel="00000000" w:rsidP="00000000" w:rsidRDefault="00000000" w:rsidRPr="00000000" w14:paraId="00000009">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303030"/>
          <w:sz w:val="28"/>
          <w:szCs w:val="28"/>
          <w:highlight w:val="white"/>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Calibri" w:cs="Calibri" w:eastAsia="Calibri" w:hAnsi="Calibri"/>
          <w:b w:val="1"/>
          <w:bCs w:val="1"/>
          <w:color w:val="303030"/>
          <w:highlight w:val="white"/>
        </w:rPr>
      </w:pPr>
      <w:bookmarkStart w:colFirst="0" w:colLast="0" w:name="_yivq983rilgm" w:id="1"/>
      <w:bookmarkEnd w:id="1"/>
      <w:r w:rsidDel="00000000" w:rsidR="00000000" w:rsidRPr="00000000">
        <w:rPr>
          <w:rFonts w:ascii="Calibri" w:cs="Calibri" w:eastAsia="Calibri" w:hAnsi="Calibri"/>
          <w:b w:val="1"/>
          <w:bCs w:val="1"/>
          <w:color w:val="303030"/>
          <w:highlight w:val="white"/>
          <w:rtl w:val="0"/>
        </w:rPr>
        <w:t xml:space="preserve">1. Frontend Executive Summary</w:t>
      </w:r>
    </w:p>
    <w:p w:rsidR="00000000" w:rsidDel="00000000" w:rsidP="00000000" w:rsidRDefault="00000000" w:rsidRPr="00000000" w14:paraId="00000015">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Frontend designs for AI-assisted programming platforms predominantly center on chat-based interfaces integrated with a dedicated code environment. This design pattern is pervasive in systems ranging from commercial chatbots to specialized tutors. While many cutting-edge approaches leverage Large Language Models (LLMs) to generate UI layouts or content components, the underlying architectural definition often remains basic. Some contemporary research supports using React-based chat-bot front-ends as a natural choice for AI tutors [</w:t>
      </w:r>
      <w:hyperlink r:id="rId6">
        <w:r w:rsidDel="00000000" w:rsidR="00000000" w:rsidRPr="00000000">
          <w:rPr>
            <w:rFonts w:ascii="Calibri" w:cs="Calibri" w:eastAsia="Calibri" w:hAnsi="Calibri"/>
            <w:color w:val="1155cc"/>
            <w:highlight w:val="white"/>
            <w:u w:val="single"/>
            <w:rtl w:val="0"/>
          </w:rPr>
          <w:t xml:space="preserve">2</w:t>
        </w:r>
      </w:hyperlink>
      <w:r w:rsidDel="00000000" w:rsidR="00000000" w:rsidRPr="00000000">
        <w:rPr>
          <w:rFonts w:ascii="Calibri" w:cs="Calibri" w:eastAsia="Calibri" w:hAnsi="Calibri"/>
          <w:color w:val="303030"/>
          <w:highlight w:val="white"/>
          <w:rtl w:val="0"/>
        </w:rPr>
        <w:t xml:space="preserve">], while other work uses HTML/JavaScript-based generative interfaces for tutor authoring </w:t>
      </w:r>
      <w:hyperlink r:id="rId7">
        <w:r w:rsidDel="00000000" w:rsidR="00000000" w:rsidRPr="00000000">
          <w:rPr>
            <w:rFonts w:ascii="Calibri" w:cs="Calibri" w:eastAsia="Calibri" w:hAnsi="Calibri"/>
            <w:color w:val="1155cc"/>
            <w:highlight w:val="white"/>
            <w:u w:val="single"/>
            <w:rtl w:val="0"/>
          </w:rPr>
          <w:t xml:space="preserve">[1]</w:t>
        </w:r>
      </w:hyperlink>
      <w:r w:rsidDel="00000000" w:rsidR="00000000" w:rsidRPr="00000000">
        <w:rPr>
          <w:rtl w:val="0"/>
        </w:rPr>
      </w:r>
    </w:p>
    <w:p w:rsidR="00000000" w:rsidDel="00000000" w:rsidP="00000000" w:rsidRDefault="00000000" w:rsidRPr="00000000" w14:paraId="00000016">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From a pedagogical perspective, empirical studies show that a well-designed UI significantly influences student outcomes, demonstrating a positive effect on error resolution, anxiety reduction, motivation, and interaction. For example, the use of AI hints has been linked to lower levels of “confrustion” (confusion and frustration) and higher levels of focus </w:t>
      </w:r>
      <w:hyperlink r:id="rId8">
        <w:r w:rsidDel="00000000" w:rsidR="00000000" w:rsidRPr="00000000">
          <w:rPr>
            <w:rFonts w:ascii="Calibri" w:cs="Calibri" w:eastAsia="Calibri" w:hAnsi="Calibri"/>
            <w:color w:val="1155cc"/>
            <w:highlight w:val="white"/>
            <w:u w:val="single"/>
            <w:rtl w:val="0"/>
          </w:rPr>
          <w:t xml:space="preserve">[3]</w:t>
        </w:r>
      </w:hyperlink>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17">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Despite the proven benefits and ongoing technological refinement, a gap exists in the systematic documentation and evaluation of comprehensive, modern frontend stacks. Few studies detail the combined deployment of advanced tools necessary for a scalable, industrial-grade application. This project addresses this critical gap by implementing a robust stack featuring TypeScript, React, Next.js, Monaco Editor, and MUI. Furthermore, the design explicitly tackles underrepresented non-functional requirements such as security via DOMPurify, seamless streaming via Server-Sent Events (SSE), and enhanced developer experience using ESLint/Prettier.</w:t>
      </w:r>
    </w:p>
    <w:p w:rsidR="00000000" w:rsidDel="00000000" w:rsidP="00000000" w:rsidRDefault="00000000" w:rsidRPr="00000000" w14:paraId="00000018">
      <w:pPr>
        <w:rPr>
          <w:rFonts w:ascii="Calibri" w:cs="Calibri" w:eastAsia="Calibri" w:hAnsi="Calibri"/>
          <w:color w:val="303030"/>
          <w:sz w:val="28"/>
          <w:szCs w:val="28"/>
          <w:highlight w:val="white"/>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Calibri" w:cs="Calibri" w:eastAsia="Calibri" w:hAnsi="Calibri"/>
          <w:b w:val="1"/>
          <w:bCs w:val="1"/>
          <w:color w:val="303030"/>
          <w:highlight w:val="white"/>
        </w:rPr>
      </w:pPr>
      <w:bookmarkStart w:colFirst="0" w:colLast="0" w:name="_ufvecnb5tprr" w:id="2"/>
      <w:bookmarkEnd w:id="2"/>
      <w:r w:rsidDel="00000000" w:rsidR="00000000" w:rsidRPr="00000000">
        <w:rPr>
          <w:rFonts w:ascii="Calibri" w:cs="Calibri" w:eastAsia="Calibri" w:hAnsi="Calibri"/>
          <w:b w:val="1"/>
          <w:bCs w:val="1"/>
          <w:color w:val="303030"/>
          <w:highlight w:val="white"/>
          <w:rtl w:val="0"/>
        </w:rPr>
        <w:t xml:space="preserve">2. UI Architecture Trends in AI-Assisted Programming Tutors</w:t>
      </w:r>
    </w:p>
    <w:p w:rsidR="00000000" w:rsidDel="00000000" w:rsidP="00000000" w:rsidRDefault="00000000" w:rsidRPr="00000000" w14:paraId="0000001A">
      <w:pPr>
        <w:pStyle w:val="Heading4"/>
        <w:keepNext w:val="0"/>
        <w:keepLines w:val="0"/>
        <w:spacing w:after="40" w:before="240" w:lineRule="auto"/>
        <w:rPr>
          <w:rFonts w:ascii="Calibri" w:cs="Calibri" w:eastAsia="Calibri" w:hAnsi="Calibri"/>
          <w:b w:val="1"/>
          <w:bCs w:val="1"/>
          <w:color w:val="303030"/>
          <w:sz w:val="28"/>
          <w:szCs w:val="28"/>
          <w:highlight w:val="white"/>
        </w:rPr>
      </w:pPr>
      <w:bookmarkStart w:colFirst="0" w:colLast="0" w:name="_rzw6xp90l5a8" w:id="3"/>
      <w:bookmarkEnd w:id="3"/>
      <w:r w:rsidDel="00000000" w:rsidR="00000000" w:rsidRPr="00000000">
        <w:rPr>
          <w:rFonts w:ascii="Calibri" w:cs="Calibri" w:eastAsia="Calibri" w:hAnsi="Calibri"/>
          <w:b w:val="1"/>
          <w:bCs w:val="1"/>
          <w:color w:val="303030"/>
          <w:sz w:val="28"/>
          <w:szCs w:val="28"/>
          <w:highlight w:val="white"/>
          <w:rtl w:val="0"/>
        </w:rPr>
        <w:t xml:space="preserve">2.1 Web Frameworks and Frontend Stacks</w:t>
      </w:r>
    </w:p>
    <w:p w:rsidR="00000000" w:rsidDel="00000000" w:rsidP="00000000" w:rsidRDefault="00000000" w:rsidRPr="00000000" w14:paraId="0000001B">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Recent advancements demonstrate the use of generative AI even in UI design. Calò and MacLellan </w:t>
      </w:r>
      <w:hyperlink r:id="rId9">
        <w:r w:rsidDel="00000000" w:rsidR="00000000" w:rsidRPr="00000000">
          <w:rPr>
            <w:rFonts w:ascii="Calibri" w:cs="Calibri" w:eastAsia="Calibri" w:hAnsi="Calibri"/>
            <w:color w:val="1155cc"/>
            <w:highlight w:val="white"/>
            <w:u w:val="single"/>
            <w:rtl w:val="0"/>
          </w:rPr>
          <w:t xml:space="preserve">[1]</w:t>
        </w:r>
      </w:hyperlink>
      <w:r w:rsidDel="00000000" w:rsidR="00000000" w:rsidRPr="00000000">
        <w:rPr>
          <w:rFonts w:ascii="Calibri" w:cs="Calibri" w:eastAsia="Calibri" w:hAnsi="Calibri"/>
          <w:color w:val="303030"/>
          <w:highlight w:val="white"/>
          <w:rtl w:val="0"/>
        </w:rPr>
        <w:t xml:space="preserve"> introduced an AI-Enhanced Tutor Builder that uses an HTML/JavaScript frontend and a Domain Specific Language (DSL) to generate tutor interface drafts. This method, which focuses on generating the component layout, suggests that sophistication in interface creation exists, but the stack description remains at the level of HTML/JS, lacking details on modern framework implementation.</w:t>
      </w:r>
    </w:p>
    <w:p w:rsidR="00000000" w:rsidDel="00000000" w:rsidP="00000000" w:rsidRDefault="00000000" w:rsidRPr="00000000" w14:paraId="0000001C">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 contrast, Roldán-Álvarez and Mesa </w:t>
      </w:r>
      <w:hyperlink r:id="rId10">
        <w:r w:rsidDel="00000000" w:rsidR="00000000" w:rsidRPr="00000000">
          <w:rPr>
            <w:rFonts w:ascii="Calibri" w:cs="Calibri" w:eastAsia="Calibri" w:hAnsi="Calibri"/>
            <w:color w:val="1155cc"/>
            <w:highlight w:val="white"/>
            <w:u w:val="single"/>
            <w:rtl w:val="0"/>
          </w:rPr>
          <w:t xml:space="preserve">[2]</w:t>
        </w:r>
      </w:hyperlink>
      <w:r w:rsidDel="00000000" w:rsidR="00000000" w:rsidRPr="00000000">
        <w:rPr>
          <w:rFonts w:ascii="Calibri" w:cs="Calibri" w:eastAsia="Calibri" w:hAnsi="Calibri"/>
          <w:color w:val="303030"/>
          <w:highlight w:val="white"/>
          <w:rtl w:val="0"/>
        </w:rPr>
        <w:t xml:space="preserve"> explicitly detail the use of a React-based chat-bot front-end combined with Python FastAPI, confirming that a React-based chat front-end is a natural choice in state-of-the-art AI tutor systems. Many systems rely on minimal interfaces, such as the standard ChatGPT UI or IDE-integrated assistants. The proposed project follows this trend by adopting React 18 as the UI library, but elevates the implementation through a comprehensive modern ecosystem. This proposed stack includes TypeScript, Next.js (App Router) for optimized routing and streaming capabilities, MUI (Material UI) for accessible components, Monaco Editor for an in-browser VS Code experience, TanStack Query for efficient data handling, SSE for streaming AI output, and DOMPurify for safe rendering.</w:t>
      </w:r>
    </w:p>
    <w:p w:rsidR="00000000" w:rsidDel="00000000" w:rsidP="00000000" w:rsidRDefault="00000000" w:rsidRPr="00000000" w14:paraId="0000001D">
      <w:pPr>
        <w:pStyle w:val="Heading4"/>
        <w:keepNext w:val="0"/>
        <w:keepLines w:val="0"/>
        <w:spacing w:after="40" w:before="240" w:lineRule="auto"/>
        <w:rPr>
          <w:rFonts w:ascii="Calibri" w:cs="Calibri" w:eastAsia="Calibri" w:hAnsi="Calibri"/>
          <w:b w:val="1"/>
          <w:bCs w:val="1"/>
          <w:color w:val="303030"/>
          <w:sz w:val="28"/>
          <w:szCs w:val="28"/>
          <w:highlight w:val="white"/>
        </w:rPr>
      </w:pPr>
      <w:bookmarkStart w:colFirst="0" w:colLast="0" w:name="_ehai7yhqm1rn" w:id="4"/>
      <w:bookmarkEnd w:id="4"/>
      <w:r w:rsidDel="00000000" w:rsidR="00000000" w:rsidRPr="00000000">
        <w:rPr>
          <w:rFonts w:ascii="Calibri" w:cs="Calibri" w:eastAsia="Calibri" w:hAnsi="Calibri"/>
          <w:b w:val="1"/>
          <w:bCs w:val="1"/>
          <w:color w:val="303030"/>
          <w:sz w:val="28"/>
          <w:szCs w:val="28"/>
          <w:highlight w:val="white"/>
          <w:rtl w:val="0"/>
        </w:rPr>
        <w:t xml:space="preserve">2.2 Interaction Modalities: Chat-Centric vs Code-Centric UIs</w:t>
      </w:r>
    </w:p>
    <w:p w:rsidR="00000000" w:rsidDel="00000000" w:rsidP="00000000" w:rsidRDefault="00000000" w:rsidRPr="00000000" w14:paraId="0000001E">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AI assistance tools primarily use two patterns: chat-centric interfaces (such as ChatGPT/Custom GPT tutors) or split-pane environments. The latter, employed by Roldán-Álvarez and Mesa </w:t>
      </w:r>
      <w:hyperlink r:id="rId11">
        <w:r w:rsidDel="00000000" w:rsidR="00000000" w:rsidRPr="00000000">
          <w:rPr>
            <w:rFonts w:ascii="Calibri" w:cs="Calibri" w:eastAsia="Calibri" w:hAnsi="Calibri"/>
            <w:color w:val="1155cc"/>
            <w:highlight w:val="white"/>
            <w:u w:val="single"/>
            <w:rtl w:val="0"/>
          </w:rPr>
          <w:t xml:space="preserve">[2]</w:t>
        </w:r>
      </w:hyperlink>
      <w:r w:rsidDel="00000000" w:rsidR="00000000" w:rsidRPr="00000000">
        <w:rPr>
          <w:rFonts w:ascii="Calibri" w:cs="Calibri" w:eastAsia="Calibri" w:hAnsi="Calibri"/>
          <w:color w:val="303030"/>
          <w:highlight w:val="white"/>
          <w:rtl w:val="0"/>
        </w:rPr>
        <w:t xml:space="preserve">, features a conversation chat on the left and corresponding code examples on the right. Generative interfaces may also be used to create component layouts (layout, form components) for the teacher’s interface</w:t>
      </w:r>
      <w:hyperlink r:id="rId12">
        <w:r w:rsidDel="00000000" w:rsidR="00000000" w:rsidRPr="00000000">
          <w:rPr>
            <w:rFonts w:ascii="Calibri" w:cs="Calibri" w:eastAsia="Calibri" w:hAnsi="Calibri"/>
            <w:color w:val="1155cc"/>
            <w:highlight w:val="white"/>
            <w:u w:val="single"/>
            <w:rtl w:val="0"/>
          </w:rPr>
          <w:t xml:space="preserve">[1]</w:t>
        </w:r>
      </w:hyperlink>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1F">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The current project adopts an integrated approach: the Chat panel (AI tutor) and the Monaco Editor-based code editor are integrated into a single page. The layout utilizes MUI to support features like side-by-side splitting and toolbars. Furthermore, the system uses SSE (Server-Sent Events) to provide a continuous, streaming output for AI responses, creating a fluid, ChatGPT-like experience.</w:t>
      </w:r>
    </w:p>
    <w:p w:rsidR="00000000" w:rsidDel="00000000" w:rsidP="00000000" w:rsidRDefault="00000000" w:rsidRPr="00000000" w14:paraId="00000020">
      <w:pPr>
        <w:rPr>
          <w:rFonts w:ascii="Calibri" w:cs="Calibri" w:eastAsia="Calibri" w:hAnsi="Calibri"/>
          <w:color w:val="303030"/>
          <w:sz w:val="28"/>
          <w:szCs w:val="28"/>
          <w:highlight w:val="white"/>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Calibri" w:cs="Calibri" w:eastAsia="Calibri" w:hAnsi="Calibri"/>
          <w:b w:val="1"/>
          <w:bCs w:val="1"/>
          <w:color w:val="303030"/>
          <w:highlight w:val="white"/>
        </w:rPr>
      </w:pPr>
      <w:bookmarkStart w:colFirst="0" w:colLast="0" w:name="_30s9r1g71u7w" w:id="5"/>
      <w:bookmarkEnd w:id="5"/>
      <w:r w:rsidDel="00000000" w:rsidR="00000000" w:rsidRPr="00000000">
        <w:rPr>
          <w:rFonts w:ascii="Calibri" w:cs="Calibri" w:eastAsia="Calibri" w:hAnsi="Calibri"/>
          <w:b w:val="1"/>
          <w:bCs w:val="1"/>
          <w:color w:val="303030"/>
          <w:highlight w:val="white"/>
          <w:rtl w:val="0"/>
        </w:rPr>
        <w:t xml:space="preserve">3. UX Patterns for Scaffolding and Feedback</w:t>
      </w:r>
    </w:p>
    <w:p w:rsidR="00000000" w:rsidDel="00000000" w:rsidP="00000000" w:rsidRDefault="00000000" w:rsidRPr="00000000" w14:paraId="00000022">
      <w:pPr>
        <w:pStyle w:val="Heading4"/>
        <w:keepNext w:val="0"/>
        <w:keepLines w:val="0"/>
        <w:spacing w:after="40" w:before="240" w:lineRule="auto"/>
        <w:rPr>
          <w:rFonts w:ascii="Calibri" w:cs="Calibri" w:eastAsia="Calibri" w:hAnsi="Calibri"/>
          <w:b w:val="1"/>
          <w:bCs w:val="1"/>
          <w:color w:val="303030"/>
          <w:sz w:val="28"/>
          <w:szCs w:val="28"/>
          <w:highlight w:val="white"/>
        </w:rPr>
      </w:pPr>
      <w:bookmarkStart w:colFirst="0" w:colLast="0" w:name="_8mkd8gvemq32" w:id="6"/>
      <w:bookmarkEnd w:id="6"/>
      <w:r w:rsidDel="00000000" w:rsidR="00000000" w:rsidRPr="00000000">
        <w:rPr>
          <w:rFonts w:ascii="Calibri" w:cs="Calibri" w:eastAsia="Calibri" w:hAnsi="Calibri"/>
          <w:b w:val="1"/>
          <w:bCs w:val="1"/>
          <w:color w:val="303030"/>
          <w:sz w:val="28"/>
          <w:szCs w:val="28"/>
          <w:highlight w:val="white"/>
          <w:rtl w:val="0"/>
        </w:rPr>
        <w:t xml:space="preserve">3.1 AI as Mentor vs AI as Solver – UI Reflection</w:t>
      </w:r>
    </w:p>
    <w:p w:rsidR="00000000" w:rsidDel="00000000" w:rsidP="00000000" w:rsidRDefault="00000000" w:rsidRPr="00000000" w14:paraId="00000023">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The project’s philosophy dictates that the AI must function as a mentor (scaffolding and guidance) rather than a direct solver. Literature emphasizes this approach. Pankiewicz and Baker </w:t>
      </w:r>
      <w:hyperlink r:id="rId13">
        <w:r w:rsidDel="00000000" w:rsidR="00000000" w:rsidRPr="00000000">
          <w:rPr>
            <w:rFonts w:ascii="Calibri" w:cs="Calibri" w:eastAsia="Calibri" w:hAnsi="Calibri"/>
            <w:color w:val="1155cc"/>
            <w:highlight w:val="white"/>
            <w:u w:val="single"/>
            <w:rtl w:val="0"/>
          </w:rPr>
          <w:t xml:space="preserve">[3]</w:t>
        </w:r>
      </w:hyperlink>
      <w:r w:rsidDel="00000000" w:rsidR="00000000" w:rsidRPr="00000000">
        <w:rPr>
          <w:rFonts w:ascii="Calibri" w:cs="Calibri" w:eastAsia="Calibri" w:hAnsi="Calibri"/>
          <w:color w:val="303030"/>
          <w:highlight w:val="white"/>
          <w:rtl w:val="0"/>
        </w:rPr>
        <w:t xml:space="preserve"> showed that GPT hints addressing compiler errors were most effective when providing hints and explanations rather than complete solutions, encouraging students to fix their own code.</w:t>
      </w:r>
    </w:p>
    <w:p w:rsidR="00000000" w:rsidDel="00000000" w:rsidP="00000000" w:rsidRDefault="00000000" w:rsidRPr="00000000" w14:paraId="00000024">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This pedagogical constraint informs several UX design choices:</w:t>
      </w:r>
    </w:p>
    <w:p w:rsidR="00000000" w:rsidDel="00000000" w:rsidP="00000000" w:rsidRDefault="00000000" w:rsidRPr="00000000" w14:paraId="00000025">
      <w:pPr>
        <w:numPr>
          <w:ilvl w:val="0"/>
          <w:numId w:val="1"/>
        </w:numPr>
        <w:spacing w:after="0" w:afterAutospacing="0" w:before="240" w:line="360" w:lineRule="auto"/>
        <w:ind w:left="720" w:hanging="360"/>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Active User Role: AI-assisted pair programming research suggests the AI acts as a partner, requiring the user to remain the active producer </w:t>
      </w:r>
      <w:hyperlink r:id="rId14">
        <w:r w:rsidDel="00000000" w:rsidR="00000000" w:rsidRPr="00000000">
          <w:rPr>
            <w:rFonts w:ascii="Calibri" w:cs="Calibri" w:eastAsia="Calibri" w:hAnsi="Calibri"/>
            <w:color w:val="1155cc"/>
            <w:highlight w:val="white"/>
            <w:u w:val="single"/>
            <w:rtl w:val="0"/>
          </w:rPr>
          <w:t xml:space="preserve">[4]</w:t>
        </w:r>
      </w:hyperlink>
      <w:r w:rsidDel="00000000" w:rsidR="00000000" w:rsidRPr="00000000">
        <w:rPr>
          <w:rFonts w:ascii="Calibri" w:cs="Calibri" w:eastAsia="Calibri" w:hAnsi="Calibri"/>
          <w:color w:val="303030"/>
          <w:highlight w:val="white"/>
          <w:rtl w:val="0"/>
        </w:rPr>
        <w:t xml:space="preserve">. The UI must avoid “magic buttons” that instantly fill in the code.</w:t>
        <w:br w:type="textWrapping"/>
      </w:r>
    </w:p>
    <w:p w:rsidR="00000000" w:rsidDel="00000000" w:rsidP="00000000" w:rsidRDefault="00000000" w:rsidRPr="00000000" w14:paraId="00000026">
      <w:pPr>
        <w:numPr>
          <w:ilvl w:val="0"/>
          <w:numId w:val="1"/>
        </w:numPr>
        <w:spacing w:after="0" w:afterAutospacing="0" w:before="0" w:beforeAutospacing="0" w:line="360" w:lineRule="auto"/>
        <w:ind w:left="720" w:hanging="360"/>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Mitigating Dependency: Concerns about students developing reliance on AI tools and seeking “complete solutions” necessitate design flows where students are prompted to make their initial attempts first, and AI suggestions are shown later </w:t>
      </w:r>
      <w:hyperlink r:id="rId15">
        <w:r w:rsidDel="00000000" w:rsidR="00000000" w:rsidRPr="00000000">
          <w:rPr>
            <w:rFonts w:ascii="Calibri" w:cs="Calibri" w:eastAsia="Calibri" w:hAnsi="Calibri"/>
            <w:color w:val="1155cc"/>
            <w:highlight w:val="white"/>
            <w:u w:val="single"/>
            <w:rtl w:val="0"/>
          </w:rPr>
          <w:t xml:space="preserve">[5]</w:t>
        </w:r>
      </w:hyperlink>
      <w:r w:rsidDel="00000000" w:rsidR="00000000" w:rsidRPr="00000000">
        <w:rPr>
          <w:rFonts w:ascii="Calibri" w:cs="Calibri" w:eastAsia="Calibri" w:hAnsi="Calibri"/>
          <w:color w:val="303030"/>
          <w:highlight w:val="white"/>
          <w:rtl w:val="0"/>
        </w:rPr>
        <w:t xml:space="preserve">.</w:t>
        <w:br w:type="textWrapping"/>
      </w:r>
    </w:p>
    <w:p w:rsidR="00000000" w:rsidDel="00000000" w:rsidP="00000000" w:rsidRDefault="00000000" w:rsidRPr="00000000" w14:paraId="00000027">
      <w:pPr>
        <w:numPr>
          <w:ilvl w:val="0"/>
          <w:numId w:val="1"/>
        </w:numPr>
        <w:spacing w:after="240" w:before="0" w:beforeAutospacing="0" w:line="360" w:lineRule="auto"/>
        <w:ind w:left="720" w:hanging="360"/>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Pedagogical Presence: The design incorporates elements of “pedagogical presence,” focusing on the tutor’s tone, questioning techniques, and providing stepwise guidance, all delivered through the UI/UX </w:t>
      </w:r>
      <w:hyperlink r:id="rId16">
        <w:r w:rsidDel="00000000" w:rsidR="00000000" w:rsidRPr="00000000">
          <w:rPr>
            <w:rFonts w:ascii="Calibri" w:cs="Calibri" w:eastAsia="Calibri" w:hAnsi="Calibri"/>
            <w:color w:val="1155cc"/>
            <w:highlight w:val="white"/>
            <w:u w:val="single"/>
            <w:rtl w:val="0"/>
          </w:rPr>
          <w:t xml:space="preserve">[6]</w:t>
        </w:r>
      </w:hyperlink>
      <w:r w:rsidDel="00000000" w:rsidR="00000000" w:rsidRPr="00000000">
        <w:rPr>
          <w:rFonts w:ascii="Calibri" w:cs="Calibri" w:eastAsia="Calibri" w:hAnsi="Calibri"/>
          <w:color w:val="303030"/>
          <w:highlight w:val="white"/>
          <w:rtl w:val="0"/>
        </w:rPr>
        <w:t xml:space="preserve">.</w:t>
        <w:br w:type="textWrapping"/>
      </w:r>
    </w:p>
    <w:p w:rsidR="00000000" w:rsidDel="00000000" w:rsidP="00000000" w:rsidRDefault="00000000" w:rsidRPr="00000000" w14:paraId="00000028">
      <w:pPr>
        <w:pStyle w:val="Heading4"/>
        <w:keepNext w:val="0"/>
        <w:keepLines w:val="0"/>
        <w:spacing w:after="40" w:before="240" w:lineRule="auto"/>
        <w:rPr>
          <w:rFonts w:ascii="Calibri" w:cs="Calibri" w:eastAsia="Calibri" w:hAnsi="Calibri"/>
          <w:b w:val="1"/>
          <w:bCs w:val="1"/>
          <w:color w:val="303030"/>
          <w:sz w:val="28"/>
          <w:szCs w:val="28"/>
          <w:highlight w:val="white"/>
        </w:rPr>
      </w:pPr>
      <w:bookmarkStart w:colFirst="0" w:colLast="0" w:name="_ennaz0lfrn3k" w:id="7"/>
      <w:bookmarkEnd w:id="7"/>
      <w:r w:rsidDel="00000000" w:rsidR="00000000" w:rsidRPr="00000000">
        <w:rPr>
          <w:rFonts w:ascii="Calibri" w:cs="Calibri" w:eastAsia="Calibri" w:hAnsi="Calibri"/>
          <w:b w:val="1"/>
          <w:bCs w:val="1"/>
          <w:color w:val="303030"/>
          <w:sz w:val="28"/>
          <w:szCs w:val="28"/>
          <w:highlight w:val="white"/>
          <w:rtl w:val="0"/>
        </w:rPr>
        <w:t xml:space="preserve">3.2 Design Patterns: Hints, Stepwise Assistance, and Error Highlighting</w:t>
      </w:r>
    </w:p>
    <w:p w:rsidR="00000000" w:rsidDel="00000000" w:rsidP="00000000" w:rsidRDefault="00000000" w:rsidRPr="00000000" w14:paraId="00000029">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Specific UI patterns are crucial for realizing the scaffolding approach. In the context of errors, a combination of inline error indicators in the Monaco Editor and conceptual explanations provided in the chat can be used. Hints, such as those examined by Pankiewicz and Baker </w:t>
      </w:r>
      <w:hyperlink r:id="rId17">
        <w:r w:rsidDel="00000000" w:rsidR="00000000" w:rsidRPr="00000000">
          <w:rPr>
            <w:rFonts w:ascii="Calibri" w:cs="Calibri" w:eastAsia="Calibri" w:hAnsi="Calibri"/>
            <w:color w:val="1155cc"/>
            <w:highlight w:val="white"/>
            <w:u w:val="single"/>
            <w:rtl w:val="0"/>
          </w:rPr>
          <w:t xml:space="preserve">[3]</w:t>
        </w:r>
      </w:hyperlink>
      <w:r w:rsidDel="00000000" w:rsidR="00000000" w:rsidRPr="00000000">
        <w:rPr>
          <w:rFonts w:ascii="Calibri" w:cs="Calibri" w:eastAsia="Calibri" w:hAnsi="Calibri"/>
          <w:color w:val="303030"/>
          <w:highlight w:val="white"/>
          <w:rtl w:val="0"/>
        </w:rPr>
        <w:t xml:space="preserve">, should contain three parts: an explanation of the error, a solution strategy, and an educational element, which is presented as a pop-up after code submission.</w:t>
      </w:r>
    </w:p>
    <w:p w:rsidR="00000000" w:rsidDel="00000000" w:rsidP="00000000" w:rsidRDefault="00000000" w:rsidRPr="00000000" w14:paraId="0000002A">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For nuanced assistance, the system can offer graduated help, where the initial response is a general hint, and a “request more explanation” button reveals greater detail. The platform can also integrate modes, such as “Do not write my code directly, only provide explanations”, ensuring that the user maintains an active role in code production.</w:t>
      </w:r>
    </w:p>
    <w:p w:rsidR="00000000" w:rsidDel="00000000" w:rsidP="00000000" w:rsidRDefault="00000000" w:rsidRPr="00000000" w14:paraId="0000002B">
      <w:pPr>
        <w:rPr>
          <w:rFonts w:ascii="Calibri" w:cs="Calibri" w:eastAsia="Calibri" w:hAnsi="Calibri"/>
          <w:color w:val="303030"/>
          <w:sz w:val="28"/>
          <w:szCs w:val="28"/>
          <w:highlight w:val="white"/>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Calibri" w:cs="Calibri" w:eastAsia="Calibri" w:hAnsi="Calibri"/>
          <w:b w:val="1"/>
          <w:bCs w:val="1"/>
          <w:color w:val="303030"/>
          <w:highlight w:val="white"/>
        </w:rPr>
      </w:pPr>
      <w:bookmarkStart w:colFirst="0" w:colLast="0" w:name="_hdg8up3ir6ce" w:id="8"/>
      <w:bookmarkEnd w:id="8"/>
      <w:r w:rsidDel="00000000" w:rsidR="00000000" w:rsidRPr="00000000">
        <w:rPr>
          <w:rFonts w:ascii="Calibri" w:cs="Calibri" w:eastAsia="Calibri" w:hAnsi="Calibri"/>
          <w:b w:val="1"/>
          <w:bCs w:val="1"/>
          <w:color w:val="303030"/>
          <w:highlight w:val="white"/>
          <w:rtl w:val="0"/>
        </w:rPr>
        <w:t xml:space="preserve">4. Student Perception, Usability, and Trust in AI Frontends</w:t>
      </w:r>
    </w:p>
    <w:p w:rsidR="00000000" w:rsidDel="00000000" w:rsidP="00000000" w:rsidRDefault="00000000" w:rsidRPr="00000000" w14:paraId="0000002D">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User satisfaction and trust are major factors in the acceptance of AI tools.</w:t>
      </w:r>
    </w:p>
    <w:p w:rsidR="00000000" w:rsidDel="00000000" w:rsidP="00000000" w:rsidRDefault="00000000" w:rsidRPr="00000000" w14:paraId="0000002E">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Affective and Motivational Impact: Fan et al. </w:t>
      </w:r>
      <w:hyperlink r:id="rId18">
        <w:r w:rsidDel="00000000" w:rsidR="00000000" w:rsidRPr="00000000">
          <w:rPr>
            <w:rFonts w:ascii="Calibri" w:cs="Calibri" w:eastAsia="Calibri" w:hAnsi="Calibri"/>
            <w:color w:val="1155cc"/>
            <w:highlight w:val="white"/>
            <w:u w:val="single"/>
            <w:rtl w:val="0"/>
          </w:rPr>
          <w:t xml:space="preserve">[4]</w:t>
        </w:r>
      </w:hyperlink>
      <w:r w:rsidDel="00000000" w:rsidR="00000000" w:rsidRPr="00000000">
        <w:rPr>
          <w:rFonts w:ascii="Calibri" w:cs="Calibri" w:eastAsia="Calibri" w:hAnsi="Calibri"/>
          <w:color w:val="303030"/>
          <w:highlight w:val="white"/>
          <w:rtl w:val="0"/>
        </w:rPr>
        <w:t xml:space="preserve"> found that AI-assisted pair programming significantly increased intrinsic motivation and reduced programming anxiety compared to individual programming. This demonstrates that the UI’s supportive nature, avoiding pressure and non-judgmental feedback, is vital for student engagement.</w:t>
      </w:r>
    </w:p>
    <w:p w:rsidR="00000000" w:rsidDel="00000000" w:rsidP="00000000" w:rsidRDefault="00000000" w:rsidRPr="00000000" w14:paraId="0000002F">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Concerns and Trust Issues: Students report significant concerns regarding AI accuracy and dependency. Bhatt et al. </w:t>
      </w:r>
      <w:hyperlink r:id="rId19">
        <w:r w:rsidDel="00000000" w:rsidR="00000000" w:rsidRPr="00000000">
          <w:rPr>
            <w:rFonts w:ascii="Calibri" w:cs="Calibri" w:eastAsia="Calibri" w:hAnsi="Calibri"/>
            <w:color w:val="1155cc"/>
            <w:highlight w:val="white"/>
            <w:u w:val="single"/>
            <w:rtl w:val="0"/>
          </w:rPr>
          <w:t xml:space="preserve">[5]</w:t>
        </w:r>
      </w:hyperlink>
      <w:r w:rsidDel="00000000" w:rsidR="00000000" w:rsidRPr="00000000">
        <w:rPr>
          <w:rFonts w:ascii="Calibri" w:cs="Calibri" w:eastAsia="Calibri" w:hAnsi="Calibri"/>
          <w:color w:val="303030"/>
          <w:highlight w:val="white"/>
          <w:rtl w:val="0"/>
        </w:rPr>
        <w:t xml:space="preserve"> found that 35.23% of respondents “occasionally” received incorrect or misleading answers from ChatGPT. A notable percentage also expressed worry about dependency (68.4%), misleading guidance (72.6%), and privacy (66.4%).</w:t>
      </w:r>
    </w:p>
    <w:p w:rsidR="00000000" w:rsidDel="00000000" w:rsidP="00000000" w:rsidRDefault="00000000" w:rsidRPr="00000000" w14:paraId="00000030">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These concerns mandate specific frontend design principles:</w:t>
      </w:r>
    </w:p>
    <w:p w:rsidR="00000000" w:rsidDel="00000000" w:rsidP="00000000" w:rsidRDefault="00000000" w:rsidRPr="00000000" w14:paraId="00000031">
      <w:pPr>
        <w:numPr>
          <w:ilvl w:val="0"/>
          <w:numId w:val="2"/>
        </w:numPr>
        <w:spacing w:after="0" w:afterAutospacing="0" w:before="240" w:line="360" w:lineRule="auto"/>
        <w:ind w:left="720" w:hanging="360"/>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Fostering Trust: The UI should use clear “AI” or “beta” labels and incorporate micro-copy disclaimers near AI outputs, acknowledging potential inaccuracy and encouraging verification.</w:t>
        <w:br w:type="textWrapping"/>
      </w:r>
    </w:p>
    <w:p w:rsidR="00000000" w:rsidDel="00000000" w:rsidP="00000000" w:rsidRDefault="00000000" w:rsidRPr="00000000" w14:paraId="00000032">
      <w:pPr>
        <w:numPr>
          <w:ilvl w:val="0"/>
          <w:numId w:val="2"/>
        </w:numPr>
        <w:spacing w:after="0" w:afterAutospacing="0" w:before="0" w:beforeAutospacing="0" w:line="360" w:lineRule="auto"/>
        <w:ind w:left="720" w:hanging="360"/>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Mitigating Dependency: UI settings should limit access to complete solutions and enforce workflows where the student must initiate code writing before requesting assistance.</w:t>
        <w:br w:type="textWrapping"/>
      </w:r>
    </w:p>
    <w:p w:rsidR="00000000" w:rsidDel="00000000" w:rsidP="00000000" w:rsidRDefault="00000000" w:rsidRPr="00000000" w14:paraId="00000033">
      <w:pPr>
        <w:numPr>
          <w:ilvl w:val="0"/>
          <w:numId w:val="2"/>
        </w:numPr>
        <w:spacing w:after="240" w:before="0" w:beforeAutospacing="0" w:line="360" w:lineRule="auto"/>
        <w:ind w:left="720" w:hanging="360"/>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Security and Privacy: The input prompt area should include data warnings and messages cautioning against entering personal information.</w:t>
        <w:br w:type="textWrapping"/>
      </w:r>
    </w:p>
    <w:p w:rsidR="00000000" w:rsidDel="00000000" w:rsidP="00000000" w:rsidRDefault="00000000" w:rsidRPr="00000000" w14:paraId="00000034">
      <w:pPr>
        <w:rPr>
          <w:rFonts w:ascii="Calibri" w:cs="Calibri" w:eastAsia="Calibri" w:hAnsi="Calibri"/>
          <w:color w:val="303030"/>
          <w:sz w:val="28"/>
          <w:szCs w:val="28"/>
          <w:highlight w:val="white"/>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Calibri" w:cs="Calibri" w:eastAsia="Calibri" w:hAnsi="Calibri"/>
          <w:b w:val="1"/>
          <w:bCs w:val="1"/>
          <w:color w:val="303030"/>
          <w:highlight w:val="white"/>
        </w:rPr>
      </w:pPr>
      <w:bookmarkStart w:colFirst="0" w:colLast="0" w:name="_ybja4nyy2b10" w:id="9"/>
      <w:bookmarkEnd w:id="9"/>
      <w:r w:rsidDel="00000000" w:rsidR="00000000" w:rsidRPr="00000000">
        <w:rPr>
          <w:rFonts w:ascii="Calibri" w:cs="Calibri" w:eastAsia="Calibri" w:hAnsi="Calibri"/>
          <w:b w:val="1"/>
          <w:bCs w:val="1"/>
          <w:color w:val="303030"/>
          <w:highlight w:val="white"/>
          <w:rtl w:val="0"/>
        </w:rPr>
        <w:t xml:space="preserve">5. Gap Analysis: Modern Frontend Stack and Secure, Integrated Editors</w:t>
      </w:r>
    </w:p>
    <w:p w:rsidR="00000000" w:rsidDel="00000000" w:rsidP="00000000" w:rsidRDefault="00000000" w:rsidRPr="00000000" w14:paraId="00000036">
      <w:pPr>
        <w:pStyle w:val="Heading4"/>
        <w:keepNext w:val="0"/>
        <w:keepLines w:val="0"/>
        <w:spacing w:after="40" w:before="240" w:lineRule="auto"/>
        <w:rPr>
          <w:rFonts w:ascii="Calibri" w:cs="Calibri" w:eastAsia="Calibri" w:hAnsi="Calibri"/>
          <w:b w:val="1"/>
          <w:bCs w:val="1"/>
          <w:color w:val="303030"/>
          <w:sz w:val="28"/>
          <w:szCs w:val="28"/>
          <w:highlight w:val="white"/>
        </w:rPr>
      </w:pPr>
      <w:bookmarkStart w:colFirst="0" w:colLast="0" w:name="_1shg0v47mtho" w:id="10"/>
      <w:bookmarkEnd w:id="10"/>
      <w:r w:rsidDel="00000000" w:rsidR="00000000" w:rsidRPr="00000000">
        <w:rPr>
          <w:rFonts w:ascii="Calibri" w:cs="Calibri" w:eastAsia="Calibri" w:hAnsi="Calibri"/>
          <w:b w:val="1"/>
          <w:bCs w:val="1"/>
          <w:color w:val="303030"/>
          <w:sz w:val="28"/>
          <w:szCs w:val="28"/>
          <w:highlight w:val="white"/>
          <w:rtl w:val="0"/>
        </w:rPr>
        <w:t xml:space="preserve">5.1 Lack of Explicit Modern Frontend Stacks</w:t>
      </w:r>
    </w:p>
    <w:p w:rsidR="00000000" w:rsidDel="00000000" w:rsidP="00000000" w:rsidRDefault="00000000" w:rsidRPr="00000000" w14:paraId="00000037">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Current literature often fails to document the modern frontend technologies required for scalable AI platforms. Many existing studies either omit the stack details or rely on basic implementations such as HTML/JS (as seen in generative tutor interfaces) or minimal React chat front-ends </w:t>
      </w:r>
      <w:hyperlink r:id="rId20">
        <w:r w:rsidDel="00000000" w:rsidR="00000000" w:rsidRPr="00000000">
          <w:rPr>
            <w:rFonts w:ascii="Calibri" w:cs="Calibri" w:eastAsia="Calibri" w:hAnsi="Calibri"/>
            <w:color w:val="1155cc"/>
            <w:highlight w:val="white"/>
            <w:u w:val="single"/>
            <w:rtl w:val="0"/>
          </w:rPr>
          <w:t xml:space="preserve">[1]</w:t>
        </w:r>
      </w:hyperlink>
      <w:r w:rsidDel="00000000" w:rsidR="00000000" w:rsidRPr="00000000">
        <w:rPr>
          <w:rFonts w:ascii="Calibri" w:cs="Calibri" w:eastAsia="Calibri" w:hAnsi="Calibri"/>
          <w:color w:val="303030"/>
          <w:highlight w:val="white"/>
          <w:rtl w:val="0"/>
        </w:rPr>
        <w:t xml:space="preserve">  </w:t>
      </w:r>
      <w:hyperlink r:id="rId21">
        <w:r w:rsidDel="00000000" w:rsidR="00000000" w:rsidRPr="00000000">
          <w:rPr>
            <w:rFonts w:ascii="Calibri" w:cs="Calibri" w:eastAsia="Calibri" w:hAnsi="Calibri"/>
            <w:color w:val="1155cc"/>
            <w:highlight w:val="white"/>
            <w:u w:val="single"/>
            <w:rtl w:val="0"/>
          </w:rPr>
          <w:t xml:space="preserve">[2]</w:t>
        </w:r>
      </w:hyperlink>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38">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The proposed project distinguishes itself by detailing a comprehensive, modern stack that is rarely, if ever, systematically discussed together in academic literature. This includes using TypeScript, Next.js for robust routing and SSR, the Monaco Editor for a feature-rich web IDE experience, MUI, TanStack Query, SSE, DOMPurify, and development tools like ESLint and Prettier. This choice ensures an integrated, extensible, and high-performance coding environment.</w:t>
      </w:r>
    </w:p>
    <w:p w:rsidR="00000000" w:rsidDel="00000000" w:rsidP="00000000" w:rsidRDefault="00000000" w:rsidRPr="00000000" w14:paraId="00000039">
      <w:pPr>
        <w:pStyle w:val="Heading4"/>
        <w:keepNext w:val="0"/>
        <w:keepLines w:val="0"/>
        <w:spacing w:after="40" w:before="240" w:lineRule="auto"/>
        <w:rPr>
          <w:rFonts w:ascii="Calibri" w:cs="Calibri" w:eastAsia="Calibri" w:hAnsi="Calibri"/>
          <w:b w:val="1"/>
          <w:bCs w:val="1"/>
          <w:color w:val="303030"/>
          <w:sz w:val="28"/>
          <w:szCs w:val="28"/>
          <w:highlight w:val="white"/>
        </w:rPr>
      </w:pPr>
      <w:bookmarkStart w:colFirst="0" w:colLast="0" w:name="_so2dfna2xl17" w:id="11"/>
      <w:bookmarkEnd w:id="11"/>
      <w:r w:rsidDel="00000000" w:rsidR="00000000" w:rsidRPr="00000000">
        <w:rPr>
          <w:rFonts w:ascii="Calibri" w:cs="Calibri" w:eastAsia="Calibri" w:hAnsi="Calibri"/>
          <w:b w:val="1"/>
          <w:bCs w:val="1"/>
          <w:color w:val="303030"/>
          <w:sz w:val="28"/>
          <w:szCs w:val="28"/>
          <w:highlight w:val="white"/>
          <w:rtl w:val="0"/>
        </w:rPr>
        <w:t xml:space="preserve">5.2 Limited Discussion of Security and Content Sanitization</w:t>
      </w:r>
    </w:p>
    <w:p w:rsidR="00000000" w:rsidDel="00000000" w:rsidP="00000000" w:rsidRDefault="00000000" w:rsidRPr="00000000" w14:paraId="0000003A">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Frontend security, particularly concerning AI-generated content, is a significant, yet largely overlooked, gap in existing literature. Security risks, such as XSS (Cross-Site Scripting) from AI-generated code or HTML, are seldom addressed.</w:t>
      </w:r>
    </w:p>
    <w:p w:rsidR="00000000" w:rsidDel="00000000" w:rsidP="00000000" w:rsidRDefault="00000000" w:rsidRPr="00000000" w14:paraId="0000003B">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The project explicitly tackles this vulnerability by integrating DOMPurify to sanitize all AI-generated HTML output before it is rendered in the browser. This proactive security layer ensures the platform is technically safer and fills a critical omission in the design of academic AI-tutor interfaces.</w:t>
      </w:r>
    </w:p>
    <w:p w:rsidR="00000000" w:rsidDel="00000000" w:rsidP="00000000" w:rsidRDefault="00000000" w:rsidRPr="00000000" w14:paraId="0000003C">
      <w:pPr>
        <w:rPr>
          <w:rFonts w:ascii="Calibri" w:cs="Calibri" w:eastAsia="Calibri" w:hAnsi="Calibri"/>
          <w:color w:val="303030"/>
          <w:sz w:val="28"/>
          <w:szCs w:val="28"/>
          <w:highlight w:val="white"/>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Calibri" w:cs="Calibri" w:eastAsia="Calibri" w:hAnsi="Calibri"/>
          <w:b w:val="1"/>
          <w:bCs w:val="1"/>
          <w:color w:val="303030"/>
          <w:highlight w:val="white"/>
        </w:rPr>
      </w:pPr>
      <w:bookmarkStart w:colFirst="0" w:colLast="0" w:name="_89min6ybn15y" w:id="12"/>
      <w:bookmarkEnd w:id="12"/>
      <w:r w:rsidDel="00000000" w:rsidR="00000000" w:rsidRPr="00000000">
        <w:rPr>
          <w:rFonts w:ascii="Calibri" w:cs="Calibri" w:eastAsia="Calibri" w:hAnsi="Calibri"/>
          <w:b w:val="1"/>
          <w:bCs w:val="1"/>
          <w:color w:val="303030"/>
          <w:highlight w:val="white"/>
          <w:rtl w:val="0"/>
        </w:rPr>
        <w:t xml:space="preserve">6. Conclusion</w:t>
      </w:r>
    </w:p>
    <w:p w:rsidR="00000000" w:rsidDel="00000000" w:rsidP="00000000" w:rsidRDefault="00000000" w:rsidRPr="00000000" w14:paraId="0000003E">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This literature review establishes that optimal AI tutor design requires an architecture that integrates chat and code environments within a modern web framework. Pedagogically, the UI must support the AI-as-Mentor model, relying on scaffolding and hints to reduce anxiety and promote self-efficacy. Crucially, the system must address user concerns regarding dependency and data accuracy through transparent and well-designed UX patterns.</w:t>
      </w:r>
    </w:p>
    <w:p w:rsidR="00000000" w:rsidDel="00000000" w:rsidP="00000000" w:rsidRDefault="00000000" w:rsidRPr="00000000" w14:paraId="0000003F">
      <w:pPr>
        <w:spacing w:after="240" w:before="240" w:line="36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The proposed platform aligns with and extends these findings by implementing a modern and scalable technical stack: TypeScript, Next.js, React, integrated Monaco Editor, SSE, and DOMPurify. This architecture not only promises a fluid and optimized user experience but also delivers necessary security and maintainability features, positioning the project to fill documented technical and security gaps in the current literature. </w:t>
      </w:r>
    </w:p>
    <w:p w:rsidR="00000000" w:rsidDel="00000000" w:rsidP="00000000" w:rsidRDefault="00000000" w:rsidRPr="00000000" w14:paraId="00000040">
      <w:pPr>
        <w:spacing w:after="240" w:before="240" w:line="360" w:lineRule="auto"/>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1">
      <w:pPr>
        <w:spacing w:after="240" w:before="240" w:line="360" w:lineRule="auto"/>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2">
      <w:pPr>
        <w:spacing w:after="240" w:before="240" w:line="360" w:lineRule="auto"/>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3">
      <w:pPr>
        <w:spacing w:after="240" w:before="240" w:line="360" w:lineRule="auto"/>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4">
      <w:pPr>
        <w:spacing w:after="240" w:before="240" w:line="360" w:lineRule="auto"/>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5">
      <w:pPr>
        <w:spacing w:after="240" w:before="240" w:line="360" w:lineRule="auto"/>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6">
      <w:pPr>
        <w:spacing w:after="240" w:before="240" w:line="360" w:lineRule="auto"/>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rPr>
          <w:rFonts w:ascii="Calibri" w:cs="Calibri" w:eastAsia="Calibri" w:hAnsi="Calibri"/>
          <w:b w:val="1"/>
          <w:bCs w:val="1"/>
          <w:color w:val="303030"/>
          <w:sz w:val="26"/>
          <w:szCs w:val="26"/>
          <w:highlight w:val="white"/>
        </w:rPr>
      </w:pPr>
      <w:bookmarkStart w:colFirst="0" w:colLast="0" w:name="_14e9wrle6hab" w:id="13"/>
      <w:bookmarkEnd w:id="13"/>
      <w:r w:rsidDel="00000000" w:rsidR="00000000" w:rsidRPr="00000000">
        <w:rPr>
          <w:rFonts w:ascii="Calibri" w:cs="Calibri" w:eastAsia="Calibri" w:hAnsi="Calibri"/>
          <w:b w:val="1"/>
          <w:bCs w:val="1"/>
          <w:color w:val="303030"/>
          <w:sz w:val="26"/>
          <w:szCs w:val="26"/>
          <w:highlight w:val="white"/>
          <w:rtl w:val="0"/>
        </w:rPr>
        <w:t xml:space="preserve">References (with URLs)</w:t>
      </w:r>
    </w:p>
    <w:p w:rsidR="00000000" w:rsidDel="00000000" w:rsidP="00000000" w:rsidRDefault="00000000" w:rsidRPr="00000000" w14:paraId="00000048">
      <w:pPr>
        <w:spacing w:after="240" w:before="240" w:line="360" w:lineRule="auto"/>
        <w:rPr>
          <w:rFonts w:ascii="Calibri" w:cs="Calibri" w:eastAsia="Calibri" w:hAnsi="Calibri"/>
          <w:color w:val="1155cc"/>
          <w:highlight w:val="white"/>
          <w:u w:val="single"/>
        </w:rPr>
      </w:pPr>
      <w:r w:rsidDel="00000000" w:rsidR="00000000" w:rsidRPr="00000000">
        <w:rPr>
          <w:rFonts w:ascii="Calibri" w:cs="Calibri" w:eastAsia="Calibri" w:hAnsi="Calibri"/>
          <w:color w:val="303030"/>
          <w:highlight w:val="white"/>
          <w:rtl w:val="0"/>
        </w:rPr>
        <w:t xml:space="preserve">[1] T. Calò and C. J. MacLellan, “Towards educator-driven tutor authoring: Generative AI approaches for creating intelligent tutor interfaces,” in </w:t>
      </w:r>
      <w:r w:rsidDel="00000000" w:rsidR="00000000" w:rsidRPr="00000000">
        <w:rPr>
          <w:rFonts w:ascii="Calibri" w:cs="Calibri" w:eastAsia="Calibri" w:hAnsi="Calibri"/>
          <w:i w:val="1"/>
          <w:iCs w:val="1"/>
          <w:color w:val="303030"/>
          <w:highlight w:val="white"/>
          <w:rtl w:val="0"/>
        </w:rPr>
        <w:t xml:space="preserve">Proceedings of the Eleventh ACM Conference on Learning @ Scale (L@S ’24)</w:t>
      </w:r>
      <w:r w:rsidDel="00000000" w:rsidR="00000000" w:rsidRPr="00000000">
        <w:rPr>
          <w:rFonts w:ascii="Calibri" w:cs="Calibri" w:eastAsia="Calibri" w:hAnsi="Calibri"/>
          <w:color w:val="303030"/>
          <w:highlight w:val="white"/>
          <w:rtl w:val="0"/>
        </w:rPr>
        <w:t xml:space="preserve">, ACM, 2024.</w:t>
        <w:br w:type="textWrapping"/>
        <w:t xml:space="preserve"> </w:t>
      </w:r>
      <w:hyperlink r:id="rId22">
        <w:r w:rsidDel="00000000" w:rsidR="00000000" w:rsidRPr="00000000">
          <w:rPr>
            <w:rFonts w:ascii="Calibri" w:cs="Calibri" w:eastAsia="Calibri" w:hAnsi="Calibri"/>
            <w:color w:val="1155cc"/>
            <w:highlight w:val="white"/>
            <w:u w:val="single"/>
            <w:rtl w:val="0"/>
          </w:rPr>
          <w:t xml:space="preserve">https://doi.org/10.1145/3657604.3664694</w:t>
        </w:r>
      </w:hyperlink>
      <w:r w:rsidDel="00000000" w:rsidR="00000000" w:rsidRPr="00000000">
        <w:rPr>
          <w:rtl w:val="0"/>
        </w:rPr>
      </w:r>
    </w:p>
    <w:p w:rsidR="00000000" w:rsidDel="00000000" w:rsidP="00000000" w:rsidRDefault="00000000" w:rsidRPr="00000000" w14:paraId="00000049">
      <w:pPr>
        <w:spacing w:after="240" w:before="240" w:line="360" w:lineRule="auto"/>
        <w:rPr>
          <w:rFonts w:ascii="Calibri" w:cs="Calibri" w:eastAsia="Calibri" w:hAnsi="Calibri"/>
          <w:color w:val="1155cc"/>
          <w:highlight w:val="white"/>
          <w:u w:val="single"/>
        </w:rPr>
      </w:pPr>
      <w:r w:rsidDel="00000000" w:rsidR="00000000" w:rsidRPr="00000000">
        <w:rPr>
          <w:rFonts w:ascii="Calibri" w:cs="Calibri" w:eastAsia="Calibri" w:hAnsi="Calibri"/>
          <w:color w:val="303030"/>
          <w:highlight w:val="white"/>
          <w:rtl w:val="0"/>
        </w:rPr>
        <w:t xml:space="preserve">[2] D. Roldán-Álvarez and F. J. Mesa, “Intelligent deep-learning tutoring system to assist instructors in programming courses,” </w:t>
      </w:r>
      <w:r w:rsidDel="00000000" w:rsidR="00000000" w:rsidRPr="00000000">
        <w:rPr>
          <w:rFonts w:ascii="Calibri" w:cs="Calibri" w:eastAsia="Calibri" w:hAnsi="Calibri"/>
          <w:i w:val="1"/>
          <w:iCs w:val="1"/>
          <w:color w:val="303030"/>
          <w:highlight w:val="white"/>
          <w:rtl w:val="0"/>
        </w:rPr>
        <w:t xml:space="preserve">IEEE Transactions on Education</w:t>
      </w:r>
      <w:r w:rsidDel="00000000" w:rsidR="00000000" w:rsidRPr="00000000">
        <w:rPr>
          <w:rFonts w:ascii="Calibri" w:cs="Calibri" w:eastAsia="Calibri" w:hAnsi="Calibri"/>
          <w:color w:val="303030"/>
          <w:highlight w:val="white"/>
          <w:rtl w:val="0"/>
        </w:rPr>
        <w:t xml:space="preserve">, vol. 67, no. 1, pp. 153–161, 2024.</w:t>
        <w:br w:type="textWrapping"/>
      </w:r>
      <w:hyperlink r:id="rId23">
        <w:r w:rsidDel="00000000" w:rsidR="00000000" w:rsidRPr="00000000">
          <w:rPr>
            <w:rFonts w:ascii="Calibri" w:cs="Calibri" w:eastAsia="Calibri" w:hAnsi="Calibri"/>
            <w:color w:val="303030"/>
            <w:highlight w:val="white"/>
            <w:rtl w:val="0"/>
          </w:rPr>
          <w:t xml:space="preserve"> </w:t>
        </w:r>
      </w:hyperlink>
      <w:hyperlink r:id="rId24">
        <w:r w:rsidDel="00000000" w:rsidR="00000000" w:rsidRPr="00000000">
          <w:rPr>
            <w:rFonts w:ascii="Calibri" w:cs="Calibri" w:eastAsia="Calibri" w:hAnsi="Calibri"/>
            <w:color w:val="1155cc"/>
            <w:highlight w:val="white"/>
            <w:u w:val="single"/>
            <w:rtl w:val="0"/>
          </w:rPr>
          <w:t xml:space="preserve">https://doi.org/10.1109/TE.2023.3331055</w:t>
        </w:r>
      </w:hyperlink>
      <w:r w:rsidDel="00000000" w:rsidR="00000000" w:rsidRPr="00000000">
        <w:rPr>
          <w:rtl w:val="0"/>
        </w:rPr>
      </w:r>
    </w:p>
    <w:p w:rsidR="00000000" w:rsidDel="00000000" w:rsidP="00000000" w:rsidRDefault="00000000" w:rsidRPr="00000000" w14:paraId="0000004A">
      <w:pPr>
        <w:spacing w:after="240" w:before="240" w:line="360" w:lineRule="auto"/>
        <w:rPr>
          <w:rFonts w:ascii="Calibri" w:cs="Calibri" w:eastAsia="Calibri" w:hAnsi="Calibri"/>
          <w:color w:val="1155cc"/>
          <w:highlight w:val="white"/>
          <w:u w:val="single"/>
        </w:rPr>
      </w:pPr>
      <w:r w:rsidDel="00000000" w:rsidR="00000000" w:rsidRPr="00000000">
        <w:rPr>
          <w:rFonts w:ascii="Calibri" w:cs="Calibri" w:eastAsia="Calibri" w:hAnsi="Calibri"/>
          <w:color w:val="303030"/>
          <w:highlight w:val="white"/>
          <w:rtl w:val="0"/>
        </w:rPr>
        <w:t xml:space="preserve">[3] M. Pankiewicz and R. S. Baker, “Navigating compiler errors with AI assistance: A study of GPT hints in an introductory programming course,” in </w:t>
      </w:r>
      <w:r w:rsidDel="00000000" w:rsidR="00000000" w:rsidRPr="00000000">
        <w:rPr>
          <w:rFonts w:ascii="Calibri" w:cs="Calibri" w:eastAsia="Calibri" w:hAnsi="Calibri"/>
          <w:i w:val="1"/>
          <w:iCs w:val="1"/>
          <w:color w:val="303030"/>
          <w:highlight w:val="white"/>
          <w:rtl w:val="0"/>
        </w:rPr>
        <w:t xml:space="preserve">Proceedings of the 29th Annual ACM Conference on Innovation and Technology in Computer Science Education (ITiCSE ’24)</w:t>
      </w:r>
      <w:r w:rsidDel="00000000" w:rsidR="00000000" w:rsidRPr="00000000">
        <w:rPr>
          <w:rFonts w:ascii="Calibri" w:cs="Calibri" w:eastAsia="Calibri" w:hAnsi="Calibri"/>
          <w:color w:val="303030"/>
          <w:highlight w:val="white"/>
          <w:rtl w:val="0"/>
        </w:rPr>
        <w:t xml:space="preserve">, ACM, 2024.</w:t>
        <w:br w:type="textWrapping"/>
        <w:t xml:space="preserve"> </w:t>
      </w:r>
      <w:hyperlink r:id="rId25">
        <w:r w:rsidDel="00000000" w:rsidR="00000000" w:rsidRPr="00000000">
          <w:rPr>
            <w:rFonts w:ascii="Calibri" w:cs="Calibri" w:eastAsia="Calibri" w:hAnsi="Calibri"/>
            <w:color w:val="1155cc"/>
            <w:highlight w:val="white"/>
            <w:u w:val="single"/>
            <w:rtl w:val="0"/>
          </w:rPr>
          <w:t xml:space="preserve">https://doi.org/10.1145/3649217.3653608</w:t>
        </w:r>
      </w:hyperlink>
      <w:r w:rsidDel="00000000" w:rsidR="00000000" w:rsidRPr="00000000">
        <w:rPr>
          <w:rtl w:val="0"/>
        </w:rPr>
      </w:r>
    </w:p>
    <w:p w:rsidR="00000000" w:rsidDel="00000000" w:rsidP="00000000" w:rsidRDefault="00000000" w:rsidRPr="00000000" w14:paraId="0000004B">
      <w:pPr>
        <w:spacing w:after="240" w:before="240" w:line="360" w:lineRule="auto"/>
        <w:rPr>
          <w:rFonts w:ascii="Calibri" w:cs="Calibri" w:eastAsia="Calibri" w:hAnsi="Calibri"/>
          <w:color w:val="1155cc"/>
          <w:highlight w:val="white"/>
          <w:u w:val="single"/>
        </w:rPr>
      </w:pPr>
      <w:r w:rsidDel="00000000" w:rsidR="00000000" w:rsidRPr="00000000">
        <w:rPr>
          <w:rFonts w:ascii="Calibri" w:cs="Calibri" w:eastAsia="Calibri" w:hAnsi="Calibri"/>
          <w:color w:val="303030"/>
          <w:highlight w:val="white"/>
          <w:rtl w:val="0"/>
        </w:rPr>
        <w:t xml:space="preserve">[4] G. Fan, D. Liu, R. Zhang, and L. Pan, “The impact of AI-assisted pair programming on student motivation, programming anxiety, collaborative learning, and programming performance: A comparative study with traditional pair programming and individual approaches,” </w:t>
      </w:r>
      <w:r w:rsidDel="00000000" w:rsidR="00000000" w:rsidRPr="00000000">
        <w:rPr>
          <w:rFonts w:ascii="Calibri" w:cs="Calibri" w:eastAsia="Calibri" w:hAnsi="Calibri"/>
          <w:i w:val="1"/>
          <w:iCs w:val="1"/>
          <w:color w:val="303030"/>
          <w:highlight w:val="white"/>
          <w:rtl w:val="0"/>
        </w:rPr>
        <w:t xml:space="preserve">International Journal of STEM Education</w:t>
      </w:r>
      <w:r w:rsidDel="00000000" w:rsidR="00000000" w:rsidRPr="00000000">
        <w:rPr>
          <w:rFonts w:ascii="Calibri" w:cs="Calibri" w:eastAsia="Calibri" w:hAnsi="Calibri"/>
          <w:color w:val="303030"/>
          <w:highlight w:val="white"/>
          <w:rtl w:val="0"/>
        </w:rPr>
        <w:t xml:space="preserve">, vol. 12, 16, 2025.</w:t>
        <w:br w:type="textWrapping"/>
        <w:t xml:space="preserve"> </w:t>
      </w:r>
      <w:hyperlink r:id="rId26">
        <w:r w:rsidDel="00000000" w:rsidR="00000000" w:rsidRPr="00000000">
          <w:rPr>
            <w:rFonts w:ascii="Calibri" w:cs="Calibri" w:eastAsia="Calibri" w:hAnsi="Calibri"/>
            <w:color w:val="1155cc"/>
            <w:highlight w:val="white"/>
            <w:u w:val="single"/>
            <w:rtl w:val="0"/>
          </w:rPr>
          <w:t xml:space="preserve">https://doi.org/10.1186/s40594-025-00537-3</w:t>
        </w:r>
      </w:hyperlink>
      <w:r w:rsidDel="00000000" w:rsidR="00000000" w:rsidRPr="00000000">
        <w:rPr>
          <w:rtl w:val="0"/>
        </w:rPr>
      </w:r>
    </w:p>
    <w:p w:rsidR="00000000" w:rsidDel="00000000" w:rsidP="00000000" w:rsidRDefault="00000000" w:rsidRPr="00000000" w14:paraId="0000004C">
      <w:pPr>
        <w:spacing w:after="240" w:before="240" w:line="360" w:lineRule="auto"/>
        <w:rPr>
          <w:rFonts w:ascii="Calibri" w:cs="Calibri" w:eastAsia="Calibri" w:hAnsi="Calibri"/>
          <w:color w:val="1155cc"/>
          <w:highlight w:val="white"/>
          <w:u w:val="single"/>
        </w:rPr>
      </w:pPr>
      <w:r w:rsidDel="00000000" w:rsidR="00000000" w:rsidRPr="00000000">
        <w:rPr>
          <w:rFonts w:ascii="Calibri" w:cs="Calibri" w:eastAsia="Calibri" w:hAnsi="Calibri"/>
          <w:color w:val="303030"/>
          <w:highlight w:val="white"/>
          <w:rtl w:val="0"/>
        </w:rPr>
        <w:t xml:space="preserve">[5] V. Bhatt, Z. Yu, Y. Hou, and J. Jin, “ChatGPT as a programming tutor: Student perceptions, effectiveness, and challenges,” in </w:t>
      </w:r>
      <w:r w:rsidDel="00000000" w:rsidR="00000000" w:rsidRPr="00000000">
        <w:rPr>
          <w:rFonts w:ascii="Calibri" w:cs="Calibri" w:eastAsia="Calibri" w:hAnsi="Calibri"/>
          <w:i w:val="1"/>
          <w:iCs w:val="1"/>
          <w:color w:val="303030"/>
          <w:highlight w:val="white"/>
          <w:rtl w:val="0"/>
        </w:rPr>
        <w:t xml:space="preserve">2025 IEEE Global Engineering Education Conference (EDUCON)</w:t>
      </w:r>
      <w:r w:rsidDel="00000000" w:rsidR="00000000" w:rsidRPr="00000000">
        <w:rPr>
          <w:rFonts w:ascii="Calibri" w:cs="Calibri" w:eastAsia="Calibri" w:hAnsi="Calibri"/>
          <w:color w:val="303030"/>
          <w:highlight w:val="white"/>
          <w:rtl w:val="0"/>
        </w:rPr>
        <w:t xml:space="preserve">, IEEE, 2025.</w:t>
        <w:br w:type="textWrapping"/>
        <w:t xml:space="preserve"> </w:t>
      </w:r>
      <w:hyperlink r:id="rId27">
        <w:r w:rsidDel="00000000" w:rsidR="00000000" w:rsidRPr="00000000">
          <w:rPr>
            <w:rFonts w:ascii="Calibri" w:cs="Calibri" w:eastAsia="Calibri" w:hAnsi="Calibri"/>
            <w:color w:val="1155cc"/>
            <w:highlight w:val="white"/>
            <w:u w:val="single"/>
            <w:rtl w:val="0"/>
          </w:rPr>
          <w:t xml:space="preserve">https://doi.org/10.1109/EDUCON62633.2025.11016463</w:t>
        </w:r>
      </w:hyperlink>
      <w:r w:rsidDel="00000000" w:rsidR="00000000" w:rsidRPr="00000000">
        <w:rPr>
          <w:rtl w:val="0"/>
        </w:rPr>
      </w:r>
    </w:p>
    <w:p w:rsidR="00000000" w:rsidDel="00000000" w:rsidP="00000000" w:rsidRDefault="00000000" w:rsidRPr="00000000" w14:paraId="0000004D">
      <w:pPr>
        <w:spacing w:after="240" w:before="240" w:line="360" w:lineRule="auto"/>
        <w:rPr>
          <w:rFonts w:ascii="Calibri" w:cs="Calibri" w:eastAsia="Calibri" w:hAnsi="Calibri"/>
          <w:color w:val="1155cc"/>
          <w:highlight w:val="white"/>
          <w:u w:val="single"/>
        </w:rPr>
      </w:pPr>
      <w:r w:rsidDel="00000000" w:rsidR="00000000" w:rsidRPr="00000000">
        <w:rPr>
          <w:rFonts w:ascii="Calibri" w:cs="Calibri" w:eastAsia="Calibri" w:hAnsi="Calibri"/>
          <w:color w:val="303030"/>
          <w:highlight w:val="white"/>
          <w:rtl w:val="0"/>
        </w:rPr>
        <w:t xml:space="preserve">[6] N. Alfirević, M. Hell, and D. Rendulić, “Pedagogical qualities of artificial intelligence-assisted teaching: An exploratory analysis of a personal tutor in a voluntary business higher-education course,” </w:t>
      </w:r>
      <w:r w:rsidDel="00000000" w:rsidR="00000000" w:rsidRPr="00000000">
        <w:rPr>
          <w:rFonts w:ascii="Calibri" w:cs="Calibri" w:eastAsia="Calibri" w:hAnsi="Calibri"/>
          <w:i w:val="1"/>
          <w:iCs w:val="1"/>
          <w:color w:val="303030"/>
          <w:highlight w:val="white"/>
          <w:rtl w:val="0"/>
        </w:rPr>
        <w:t xml:space="preserve">Applied Sciences</w:t>
      </w:r>
      <w:r w:rsidDel="00000000" w:rsidR="00000000" w:rsidRPr="00000000">
        <w:rPr>
          <w:rFonts w:ascii="Calibri" w:cs="Calibri" w:eastAsia="Calibri" w:hAnsi="Calibri"/>
          <w:color w:val="303030"/>
          <w:highlight w:val="white"/>
          <w:rtl w:val="0"/>
        </w:rPr>
        <w:t xml:space="preserve">, vol. 15, no. 15, 8764, 2025.</w:t>
        <w:br w:type="textWrapping"/>
        <w:t xml:space="preserve"> </w:t>
      </w:r>
      <w:hyperlink r:id="rId28">
        <w:r w:rsidDel="00000000" w:rsidR="00000000" w:rsidRPr="00000000">
          <w:rPr>
            <w:rFonts w:ascii="Calibri" w:cs="Calibri" w:eastAsia="Calibri" w:hAnsi="Calibri"/>
            <w:color w:val="1155cc"/>
            <w:highlight w:val="white"/>
            <w:u w:val="single"/>
            <w:rtl w:val="0"/>
          </w:rPr>
          <w:t xml:space="preserve">https://doi.org/10.3390/app15158764</w:t>
        </w:r>
      </w:hyperlink>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color w:val="303030"/>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45/3657604.3664694" TargetMode="External"/><Relationship Id="rId22" Type="http://schemas.openxmlformats.org/officeDocument/2006/relationships/hyperlink" Target="https://doi.org/10.1145/3657604.3664694" TargetMode="External"/><Relationship Id="rId21" Type="http://schemas.openxmlformats.org/officeDocument/2006/relationships/hyperlink" Target="https://doi.org/10.1109/TE.2023.3331055" TargetMode="External"/><Relationship Id="rId24" Type="http://schemas.openxmlformats.org/officeDocument/2006/relationships/hyperlink" Target="https://doi.org/10.1109/TE.2023.3331055" TargetMode="External"/><Relationship Id="rId23" Type="http://schemas.openxmlformats.org/officeDocument/2006/relationships/hyperlink" Target="https://doi.org/10.1109/TE.2023.33310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3657604.3664694" TargetMode="External"/><Relationship Id="rId26" Type="http://schemas.openxmlformats.org/officeDocument/2006/relationships/hyperlink" Target="https://doi.org/10.1186/s40594-025-00537-3" TargetMode="External"/><Relationship Id="rId25" Type="http://schemas.openxmlformats.org/officeDocument/2006/relationships/hyperlink" Target="https://doi.org/10.1145/3649217.3653608" TargetMode="External"/><Relationship Id="rId28" Type="http://schemas.openxmlformats.org/officeDocument/2006/relationships/hyperlink" Target="https://doi.org/10.3390/app15158764" TargetMode="External"/><Relationship Id="rId27" Type="http://schemas.openxmlformats.org/officeDocument/2006/relationships/hyperlink" Target="https://doi.org/10.1109/EDUCON62633.2025.11016463" TargetMode="External"/><Relationship Id="rId5" Type="http://schemas.openxmlformats.org/officeDocument/2006/relationships/styles" Target="styles.xml"/><Relationship Id="rId6" Type="http://schemas.openxmlformats.org/officeDocument/2006/relationships/hyperlink" Target="https://doi.org/10.1109/TE.2023.3331055" TargetMode="External"/><Relationship Id="rId7" Type="http://schemas.openxmlformats.org/officeDocument/2006/relationships/hyperlink" Target="https://doi.org/10.1145/3657604.3664694" TargetMode="External"/><Relationship Id="rId8" Type="http://schemas.openxmlformats.org/officeDocument/2006/relationships/hyperlink" Target="https://doi.org/10.1145/3649217.3653608" TargetMode="External"/><Relationship Id="rId11" Type="http://schemas.openxmlformats.org/officeDocument/2006/relationships/hyperlink" Target="https://doi.org/10.1109/TE.2023.3331055" TargetMode="External"/><Relationship Id="rId10" Type="http://schemas.openxmlformats.org/officeDocument/2006/relationships/hyperlink" Target="https://doi.org/10.1109/TE.2023.3331055" TargetMode="External"/><Relationship Id="rId13" Type="http://schemas.openxmlformats.org/officeDocument/2006/relationships/hyperlink" Target="https://doi.org/10.1145/3649217.3653608" TargetMode="External"/><Relationship Id="rId12" Type="http://schemas.openxmlformats.org/officeDocument/2006/relationships/hyperlink" Target="https://doi.org/10.1145/3657604.3664694" TargetMode="External"/><Relationship Id="rId15" Type="http://schemas.openxmlformats.org/officeDocument/2006/relationships/hyperlink" Target="https://ieeexplore.ieee.org/document/11016463" TargetMode="External"/><Relationship Id="rId14" Type="http://schemas.openxmlformats.org/officeDocument/2006/relationships/hyperlink" Target="https://doi.org/10.1186/s40594-025-00537-3" TargetMode="External"/><Relationship Id="rId17" Type="http://schemas.openxmlformats.org/officeDocument/2006/relationships/hyperlink" Target="https://doi.org/10.1145/3649217.3653608" TargetMode="External"/><Relationship Id="rId16" Type="http://schemas.openxmlformats.org/officeDocument/2006/relationships/hyperlink" Target="https://www.mdpi.com/2076-3417/15/15/8764" TargetMode="External"/><Relationship Id="rId19" Type="http://schemas.openxmlformats.org/officeDocument/2006/relationships/hyperlink" Target="https://ieeexplore.ieee.org/document/11016463" TargetMode="External"/><Relationship Id="rId18" Type="http://schemas.openxmlformats.org/officeDocument/2006/relationships/hyperlink" Target="https://doi.org/10.1186/s40594-025-005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