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26"/>
        </w:rPr>
        <w:t>CANKAYA UNIVERSITY</w:t>
      </w:r>
    </w:p>
    <w:p>
      <w:pPr>
        <w:jc w:val="center"/>
      </w:pPr>
      <w:r>
        <w:rPr>
          <w:b/>
          <w:color w:val="1F4D78"/>
          <w:sz w:val="26"/>
        </w:rPr>
        <w:t>FACULTY OF ENGINEERING</w:t>
      </w:r>
    </w:p>
    <w:p>
      <w:pPr>
        <w:jc w:val="center"/>
      </w:pPr>
      <w:r>
        <w:rPr>
          <w:b/>
          <w:color w:val="1F4D78"/>
          <w:sz w:val="26"/>
        </w:rPr>
        <w:t>COMPUTER ENGINEERING DEPARTMENT</w:t>
      </w:r>
    </w:p>
    <w:p/>
    <w:p/>
    <w:p/>
    <w:p/>
    <w:p>
      <w:pPr>
        <w:jc w:val="center"/>
      </w:pPr>
      <w:r>
        <w:rPr>
          <w:b/>
          <w:color w:val="2E74B5"/>
          <w:sz w:val="40"/>
        </w:rPr>
        <w:t>Test Plan, Test Design Specifications and Test Cases</w:t>
      </w:r>
    </w:p>
    <w:p>
      <w:pPr>
        <w:jc w:val="center"/>
      </w:pPr>
      <w:r>
        <w:rPr>
          <w:b/>
          <w:color w:val="111827"/>
          <w:sz w:val="32"/>
        </w:rPr>
        <w:t>Fire Detect: Fire Detection and Localization System</w:t>
      </w:r>
    </w:p>
    <w:p>
      <w:pPr>
        <w:jc w:val="center"/>
      </w:pPr>
      <w:r>
        <w:rPr>
          <w:sz w:val="24"/>
        </w:rPr>
        <w:t>Version 1.0</w:t>
      </w:r>
    </w:p>
    <w:p/>
    <w:p/>
    <w:p>
      <w:pPr>
        <w:jc w:val="center"/>
      </w:pPr>
      <w:r>
        <w:rPr>
          <w:b/>
          <w:sz w:val="24"/>
        </w:rPr>
        <w:t>CENG 408</w:t>
      </w:r>
    </w:p>
    <w:p>
      <w:pPr>
        <w:jc w:val="center"/>
      </w:pPr>
      <w:r>
        <w:rPr>
          <w:b/>
          <w:sz w:val="24"/>
        </w:rPr>
        <w:t>Innovative System Design and Development II</w:t>
      </w:r>
    </w:p>
    <w:p>
      <w:pPr>
        <w:jc w:val="center"/>
      </w:pPr>
      <w:r>
        <w:rPr>
          <w:b/>
          <w:sz w:val="24"/>
        </w:rPr>
        <w:t>Team ID: 9</w:t>
      </w:r>
    </w:p>
    <w:p/>
    <w:p/>
    <w:p>
      <w:pPr>
        <w:jc w:val="center"/>
      </w:pPr>
      <w:r>
        <w:t>Nurettin Efe ALVER - 202211007</w:t>
      </w:r>
    </w:p>
    <w:p>
      <w:pPr>
        <w:jc w:val="center"/>
      </w:pPr>
      <w:r>
        <w:t>Arda GONUL - 202211027</w:t>
      </w:r>
    </w:p>
    <w:p>
      <w:pPr>
        <w:jc w:val="center"/>
      </w:pPr>
      <w:r>
        <w:t>Bulent Batikan SARIKAYA - 202211058</w:t>
      </w:r>
    </w:p>
    <w:p>
      <w:pPr>
        <w:jc w:val="center"/>
      </w:pPr>
      <w:r>
        <w:t>Erkin Ata YAZICI - 202311412</w:t>
      </w:r>
    </w:p>
    <w:p>
      <w:pPr>
        <w:jc w:val="center"/>
      </w:pPr>
      <w:r>
        <w:t>Kutalmis Alp Fidan - 202211401</w:t>
      </w:r>
    </w:p>
    <w:p>
      <w:pPr>
        <w:jc w:val="center"/>
      </w:pPr>
      <w:r>
        <w:t>Advisor: Murat Koyuncu</w:t>
      </w:r>
    </w:p>
    <w:p/>
    <w:p>
      <w:pPr>
        <w:jc w:val="center"/>
      </w:pPr>
      <w:r>
        <w:t>15 May 2026</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Table of Contents</w:t>
      </w:r>
    </w:p>
    <w:p>
      <w:r>
        <w:t>1. Introduction</w:t>
      </w:r>
    </w:p>
    <w:p>
      <w:r>
        <w:t>1.1 Version Control</w:t>
      </w:r>
    </w:p>
    <w:p>
      <w:r>
        <w:t>1.2 Overview</w:t>
      </w:r>
    </w:p>
    <w:p>
      <w:r>
        <w:t>1.3 Scope</w:t>
      </w:r>
    </w:p>
    <w:p>
      <w:r>
        <w:t>1.4 Terminology</w:t>
      </w:r>
    </w:p>
    <w:p>
      <w:r>
        <w:t>2. Features to be Tested</w:t>
      </w:r>
    </w:p>
    <w:p>
      <w:r>
        <w:t>3. Features Not to be Tested</w:t>
      </w:r>
    </w:p>
    <w:p>
      <w:r>
        <w:t>4. Item Pass/Fail Criteria</w:t>
      </w:r>
    </w:p>
    <w:p>
      <w:r>
        <w:t>5. References</w:t>
      </w:r>
    </w:p>
    <w:p>
      <w:r>
        <w:t>6. Test Design Specifications</w:t>
      </w:r>
    </w:p>
    <w:p>
      <w:r>
        <w:t>7. Detailed Test Cases</w:t>
      </w:r>
    </w:p>
    <w:p>
      <w:pPr>
        <w:pStyle w:val="Heading1"/>
      </w:pPr>
      <w:r>
        <w:t>1. Introduction</w:t>
      </w:r>
    </w:p>
    <w:p>
      <w:pPr>
        <w:pStyle w:val="Heading2"/>
      </w:pPr>
      <w:r>
        <w:t>1.1 Version Control</w:t>
      </w:r>
    </w:p>
    <w:tbl>
      <w:tblPr>
        <w:tblStyle w:val="TableGrid"/>
        <w:tblW w:type="dxa" w:w="9360"/>
        <w:jc w:val="center"/>
        <w:tblLayout w:type="fixed"/>
        <w:tblLook w:firstColumn="1" w:firstRow="1" w:lastColumn="0" w:lastRow="0" w:noHBand="0" w:noVBand="1" w:val="04A0"/>
        <w:tblInd w:w="120" w:type="dxa"/>
      </w:tblPr>
      <w:tblGrid>
        <w:gridCol w:w="1600"/>
        <w:gridCol w:w="6100"/>
        <w:gridCol w:w="1660"/>
      </w:tblGrid>
      <w:tr>
        <w:trPr>
          <w:tblHeader w:val="true"/>
        </w:trPr>
        <w:tc>
          <w:tcPr>
            <w:tcW w:type="dxa" w:w="1600"/>
            <w:vAlign w:val="center"/>
            <w:tcMar>
              <w:top w:w="80" w:type="dxa"/>
              <w:start w:w="120" w:type="dxa"/>
              <w:bottom w:w="80" w:type="dxa"/>
              <w:end w:w="120" w:type="dxa"/>
            </w:tcMar>
            <w:shd w:fill="F2F4F7"/>
          </w:tcPr>
          <w:p>
            <w:pPr>
              <w:spacing w:after="0"/>
            </w:pPr>
            <w:r>
              <w:rPr>
                <w:rFonts w:ascii="Calibri" w:hAnsi="Calibri"/>
                <w:b/>
                <w:color w:val="111827"/>
                <w:sz w:val="18"/>
              </w:rPr>
              <w:t>Version No</w:t>
            </w:r>
          </w:p>
        </w:tc>
        <w:tc>
          <w:tcPr>
            <w:tcW w:type="dxa" w:w="6100"/>
            <w:vAlign w:val="center"/>
            <w:tcMar>
              <w:top w:w="80" w:type="dxa"/>
              <w:start w:w="120" w:type="dxa"/>
              <w:bottom w:w="80" w:type="dxa"/>
              <w:end w:w="120" w:type="dxa"/>
            </w:tcMar>
            <w:shd w:fill="F2F4F7"/>
          </w:tcPr>
          <w:p>
            <w:pPr>
              <w:spacing w:after="0"/>
            </w:pPr>
            <w:r>
              <w:rPr>
                <w:rFonts w:ascii="Calibri" w:hAnsi="Calibri"/>
                <w:b/>
                <w:color w:val="111827"/>
                <w:sz w:val="18"/>
              </w:rPr>
              <w:t>Description of Changes</w:t>
            </w:r>
          </w:p>
        </w:tc>
        <w:tc>
          <w:tcPr>
            <w:tcW w:type="dxa" w:w="1660"/>
            <w:vAlign w:val="center"/>
            <w:tcMar>
              <w:top w:w="80" w:type="dxa"/>
              <w:start w:w="120" w:type="dxa"/>
              <w:bottom w:w="80" w:type="dxa"/>
              <w:end w:w="120" w:type="dxa"/>
            </w:tcMar>
            <w:shd w:fill="F2F4F7"/>
          </w:tcPr>
          <w:p>
            <w:pPr>
              <w:spacing w:after="0"/>
            </w:pPr>
            <w:r>
              <w:rPr>
                <w:rFonts w:ascii="Calibri" w:hAnsi="Calibri"/>
                <w:b/>
                <w:color w:val="111827"/>
                <w:sz w:val="18"/>
              </w:rPr>
              <w:t>Date</w:t>
            </w:r>
          </w:p>
        </w:tc>
      </w:tr>
      <w:tr>
        <w:tc>
          <w:tcPr>
            <w:tcW w:type="dxa" w:w="1600"/>
            <w:vAlign w:val="center"/>
            <w:tcMar>
              <w:top w:w="80" w:type="dxa"/>
              <w:start w:w="120" w:type="dxa"/>
              <w:bottom w:w="80" w:type="dxa"/>
              <w:end w:w="120" w:type="dxa"/>
            </w:tcMar>
          </w:tcPr>
          <w:p>
            <w:pPr>
              <w:spacing w:after="0"/>
            </w:pPr>
            <w:r>
              <w:rPr>
                <w:rFonts w:ascii="Calibri" w:hAnsi="Calibri"/>
                <w:sz w:val="18"/>
              </w:rPr>
              <w:t>1.0</w:t>
            </w:r>
          </w:p>
        </w:tc>
        <w:tc>
          <w:tcPr>
            <w:tcW w:type="dxa" w:w="6100"/>
            <w:vAlign w:val="center"/>
            <w:tcMar>
              <w:top w:w="80" w:type="dxa"/>
              <w:start w:w="120" w:type="dxa"/>
              <w:bottom w:w="80" w:type="dxa"/>
              <w:end w:w="120" w:type="dxa"/>
            </w:tcMar>
          </w:tcPr>
          <w:p>
            <w:pPr>
              <w:spacing w:after="0"/>
            </w:pPr>
            <w:r>
              <w:rPr>
                <w:rFonts w:ascii="Calibri" w:hAnsi="Calibri"/>
                <w:sz w:val="18"/>
              </w:rPr>
              <w:t>Initial acceptance test plan prepared by synthesizing the CENG 408 project document, sample test plan format, and current implementation.</w:t>
            </w:r>
          </w:p>
        </w:tc>
        <w:tc>
          <w:tcPr>
            <w:tcW w:type="dxa" w:w="1660"/>
            <w:vAlign w:val="center"/>
            <w:tcMar>
              <w:top w:w="80" w:type="dxa"/>
              <w:start w:w="120" w:type="dxa"/>
              <w:bottom w:w="80" w:type="dxa"/>
              <w:end w:w="120" w:type="dxa"/>
            </w:tcMar>
          </w:tcPr>
          <w:p>
            <w:pPr>
              <w:spacing w:after="0"/>
            </w:pPr>
            <w:r>
              <w:rPr>
                <w:rFonts w:ascii="Calibri" w:hAnsi="Calibri"/>
                <w:sz w:val="18"/>
              </w:rPr>
              <w:t>15.05.2026</w:t>
            </w:r>
          </w:p>
        </w:tc>
      </w:tr>
    </w:tbl>
    <w:p>
      <w:pPr>
        <w:pStyle w:val="Heading2"/>
      </w:pPr>
      <w:r>
        <w:t>1.2 Overview</w:t>
      </w:r>
    </w:p>
    <w:p>
      <w:r>
        <w:t>This document defines the acceptance-oriented test plan for Fire Detect: Fire Detection and Localization System. The project is a server-based fire and smoke detection platform that analyzes camera/video streams, creates incident records, supports human-in-the-loop verification by Admin/Manager users, and sends role-based mobile notifications to Employees and Fire Response Unit users.</w:t>
      </w:r>
    </w:p>
    <w:p>
      <w:r>
        <w:t>The test plan follows the provided sample structure while focusing only on the core functions needed to demonstrate the project as an engineering graduation project: authentication, camera stream access, AI-assisted detection, incident approval, notification delivery, employee safety reporting, response-unit workflow, and basic reporting.</w:t>
      </w:r>
    </w:p>
    <w:p>
      <w:pPr>
        <w:pStyle w:val="Heading2"/>
      </w:pPr>
      <w:r>
        <w:t>1.3 Scope</w:t>
      </w:r>
    </w:p>
    <w:p>
      <w:pPr>
        <w:pStyle w:val="ListBullet"/>
        <w:ind w:left="360" w:hanging="216"/>
      </w:pPr>
      <w:r>
        <w:t>Backend API behavior implemented with FastAPI, SQLAlchemy, JWT authentication, incident storage, notification workflow, and analytics summary.</w:t>
      </w:r>
    </w:p>
    <w:p>
      <w:pPr>
        <w:pStyle w:val="ListBullet"/>
        <w:ind w:left="360" w:hanging="216"/>
      </w:pPr>
      <w:r>
        <w:t>Detector behavior for live webcam and demo lobby video sources, including early fire detection, risk score generation, cooldown, and false-alarm reduction controls.</w:t>
      </w:r>
    </w:p>
    <w:p>
      <w:pPr>
        <w:pStyle w:val="ListBullet"/>
        <w:ind w:left="360" w:hanging="216"/>
      </w:pPr>
      <w:r>
        <w:t>Flutter mobile application behavior for Admin, Manager, Employee, and Fire Response Unit roles.</w:t>
      </w:r>
    </w:p>
    <w:p>
      <w:pPr>
        <w:pStyle w:val="ListBullet"/>
        <w:ind w:left="360" w:hanging="216"/>
      </w:pPr>
      <w:r>
        <w:t>End-to-end demo workflow from detection to manager confirmation and employee/fire response notification.</w:t>
      </w:r>
    </w:p>
    <w:p>
      <w:pPr>
        <w:pStyle w:val="ListBullet"/>
        <w:ind w:left="360" w:hanging="216"/>
      </w:pPr>
      <w:r>
        <w:t>Functional and selected non-functional requirements from the 408 project document, especially low-latency alerting, clear emergency communication, and role-based access control.</w:t>
      </w:r>
    </w:p>
    <w:p>
      <w:r>
        <w:t>The scope is intentionally acceptance-focused. It does not attempt to exhaustively test every UI state, every error message, or every implementation detail that is not essential to the final project demonstration.</w:t>
      </w:r>
    </w:p>
    <w:p>
      <w:pPr>
        <w:pStyle w:val="Heading2"/>
      </w:pPr>
      <w:r>
        <w:t>1.4 Terminology</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after="0"/>
            </w:pPr>
            <w:r>
              <w:rPr>
                <w:rFonts w:ascii="Calibri" w:hAnsi="Calibri"/>
                <w:b/>
                <w:color w:val="111827"/>
                <w:sz w:val="18"/>
              </w:rPr>
              <w:t>Acronym / Term</w:t>
            </w:r>
          </w:p>
        </w:tc>
        <w:tc>
          <w:tcPr>
            <w:tcW w:type="dxa" w:w="7160"/>
            <w:vAlign w:val="center"/>
            <w:tcMar>
              <w:top w:w="80" w:type="dxa"/>
              <w:start w:w="120" w:type="dxa"/>
              <w:bottom w:w="80" w:type="dxa"/>
              <w:end w:w="120" w:type="dxa"/>
            </w:tcMar>
            <w:shd w:fill="F2F4F7"/>
          </w:tcPr>
          <w:p>
            <w:pPr>
              <w:spacing w:after="0"/>
            </w:pPr>
            <w:r>
              <w:rPr>
                <w:rFonts w:ascii="Calibri" w:hAnsi="Calibri"/>
                <w:b/>
                <w:color w:val="111827"/>
                <w:sz w:val="18"/>
              </w:rPr>
              <w:t>Definition</w:t>
            </w:r>
          </w:p>
        </w:tc>
      </w:tr>
      <w:tr>
        <w:tc>
          <w:tcPr>
            <w:tcW w:type="dxa" w:w="2200"/>
            <w:vAlign w:val="center"/>
            <w:tcMar>
              <w:top w:w="80" w:type="dxa"/>
              <w:start w:w="120" w:type="dxa"/>
              <w:bottom w:w="80" w:type="dxa"/>
              <w:end w:w="120" w:type="dxa"/>
            </w:tcMar>
          </w:tcPr>
          <w:p>
            <w:pPr>
              <w:spacing w:after="0"/>
            </w:pPr>
            <w:r>
              <w:rPr>
                <w:rFonts w:ascii="Calibri" w:hAnsi="Calibri"/>
                <w:sz w:val="18"/>
              </w:rPr>
              <w:t>AI</w:t>
            </w:r>
          </w:p>
        </w:tc>
        <w:tc>
          <w:tcPr>
            <w:tcW w:type="dxa" w:w="7160"/>
            <w:vAlign w:val="center"/>
            <w:tcMar>
              <w:top w:w="80" w:type="dxa"/>
              <w:start w:w="120" w:type="dxa"/>
              <w:bottom w:w="80" w:type="dxa"/>
              <w:end w:w="120" w:type="dxa"/>
            </w:tcMar>
          </w:tcPr>
          <w:p>
            <w:pPr>
              <w:spacing w:after="0"/>
            </w:pPr>
            <w:r>
              <w:rPr>
                <w:rFonts w:ascii="Calibri" w:hAnsi="Calibri"/>
                <w:sz w:val="18"/>
              </w:rPr>
              <w:t>Artificial Intelligence used for fire/smoke detection from camera frames.</w:t>
            </w:r>
          </w:p>
        </w:tc>
      </w:tr>
      <w:tr>
        <w:tc>
          <w:tcPr>
            <w:tcW w:type="dxa" w:w="2200"/>
            <w:vAlign w:val="center"/>
            <w:tcMar>
              <w:top w:w="80" w:type="dxa"/>
              <w:start w:w="120" w:type="dxa"/>
              <w:bottom w:w="80" w:type="dxa"/>
              <w:end w:w="120" w:type="dxa"/>
            </w:tcMar>
          </w:tcPr>
          <w:p>
            <w:pPr>
              <w:spacing w:after="0"/>
            </w:pPr>
            <w:r>
              <w:rPr>
                <w:rFonts w:ascii="Calibri" w:hAnsi="Calibri"/>
                <w:sz w:val="18"/>
              </w:rPr>
              <w:t>API</w:t>
            </w:r>
          </w:p>
        </w:tc>
        <w:tc>
          <w:tcPr>
            <w:tcW w:type="dxa" w:w="7160"/>
            <w:vAlign w:val="center"/>
            <w:tcMar>
              <w:top w:w="80" w:type="dxa"/>
              <w:start w:w="120" w:type="dxa"/>
              <w:bottom w:w="80" w:type="dxa"/>
              <w:end w:w="120" w:type="dxa"/>
            </w:tcMar>
          </w:tcPr>
          <w:p>
            <w:pPr>
              <w:spacing w:after="0"/>
            </w:pPr>
            <w:r>
              <w:rPr>
                <w:rFonts w:ascii="Calibri" w:hAnsi="Calibri"/>
                <w:sz w:val="18"/>
              </w:rPr>
              <w:t>Application Programming Interface exposed by the backend service.</w:t>
            </w:r>
          </w:p>
        </w:tc>
      </w:tr>
      <w:tr>
        <w:tc>
          <w:tcPr>
            <w:tcW w:type="dxa" w:w="2200"/>
            <w:vAlign w:val="center"/>
            <w:tcMar>
              <w:top w:w="80" w:type="dxa"/>
              <w:start w:w="120" w:type="dxa"/>
              <w:bottom w:w="80" w:type="dxa"/>
              <w:end w:w="120" w:type="dxa"/>
            </w:tcMar>
          </w:tcPr>
          <w:p>
            <w:pPr>
              <w:spacing w:after="0"/>
            </w:pPr>
            <w:r>
              <w:rPr>
                <w:rFonts w:ascii="Calibri" w:hAnsi="Calibri"/>
                <w:sz w:val="18"/>
              </w:rPr>
              <w:t>RTSP</w:t>
            </w:r>
          </w:p>
        </w:tc>
        <w:tc>
          <w:tcPr>
            <w:tcW w:type="dxa" w:w="7160"/>
            <w:vAlign w:val="center"/>
            <w:tcMar>
              <w:top w:w="80" w:type="dxa"/>
              <w:start w:w="120" w:type="dxa"/>
              <w:bottom w:w="80" w:type="dxa"/>
              <w:end w:w="120" w:type="dxa"/>
            </w:tcMar>
          </w:tcPr>
          <w:p>
            <w:pPr>
              <w:spacing w:after="0"/>
            </w:pPr>
            <w:r>
              <w:rPr>
                <w:rFonts w:ascii="Calibri" w:hAnsi="Calibri"/>
                <w:sz w:val="18"/>
              </w:rPr>
              <w:t>Real-Time Streaming Protocol used for camera streams.</w:t>
            </w:r>
          </w:p>
        </w:tc>
      </w:tr>
      <w:tr>
        <w:tc>
          <w:tcPr>
            <w:tcW w:type="dxa" w:w="2200"/>
            <w:vAlign w:val="center"/>
            <w:tcMar>
              <w:top w:w="80" w:type="dxa"/>
              <w:start w:w="120" w:type="dxa"/>
              <w:bottom w:w="80" w:type="dxa"/>
              <w:end w:w="120" w:type="dxa"/>
            </w:tcMar>
          </w:tcPr>
          <w:p>
            <w:pPr>
              <w:spacing w:after="0"/>
            </w:pPr>
            <w:r>
              <w:rPr>
                <w:rFonts w:ascii="Calibri" w:hAnsi="Calibri"/>
                <w:sz w:val="18"/>
              </w:rPr>
              <w:t>Incident</w:t>
            </w:r>
          </w:p>
        </w:tc>
        <w:tc>
          <w:tcPr>
            <w:tcW w:type="dxa" w:w="7160"/>
            <w:vAlign w:val="center"/>
            <w:tcMar>
              <w:top w:w="80" w:type="dxa"/>
              <w:start w:w="120" w:type="dxa"/>
              <w:bottom w:w="80" w:type="dxa"/>
              <w:end w:w="120" w:type="dxa"/>
            </w:tcMar>
          </w:tcPr>
          <w:p>
            <w:pPr>
              <w:spacing w:after="0"/>
            </w:pPr>
            <w:r>
              <w:rPr>
                <w:rFonts w:ascii="Calibri" w:hAnsi="Calibri"/>
                <w:sz w:val="18"/>
              </w:rPr>
              <w:t>A stored fire-related event with status such as DETECTED, CONFIRMED, or DISMISSED.</w:t>
            </w:r>
          </w:p>
        </w:tc>
      </w:tr>
      <w:tr>
        <w:tc>
          <w:tcPr>
            <w:tcW w:type="dxa" w:w="2200"/>
            <w:vAlign w:val="center"/>
            <w:tcMar>
              <w:top w:w="80" w:type="dxa"/>
              <w:start w:w="120" w:type="dxa"/>
              <w:bottom w:w="80" w:type="dxa"/>
              <w:end w:w="120" w:type="dxa"/>
            </w:tcMar>
          </w:tcPr>
          <w:p>
            <w:pPr>
              <w:spacing w:after="0"/>
            </w:pPr>
            <w:r>
              <w:rPr>
                <w:rFonts w:ascii="Calibri" w:hAnsi="Calibri"/>
                <w:sz w:val="18"/>
              </w:rPr>
              <w:t>Risk Score</w:t>
            </w:r>
          </w:p>
        </w:tc>
        <w:tc>
          <w:tcPr>
            <w:tcW w:type="dxa" w:w="7160"/>
            <w:vAlign w:val="center"/>
            <w:tcMar>
              <w:top w:w="80" w:type="dxa"/>
              <w:start w:w="120" w:type="dxa"/>
              <w:bottom w:w="80" w:type="dxa"/>
              <w:end w:w="120" w:type="dxa"/>
            </w:tcMar>
          </w:tcPr>
          <w:p>
            <w:pPr>
              <w:spacing w:after="0"/>
            </w:pPr>
            <w:r>
              <w:rPr>
                <w:rFonts w:ascii="Calibri" w:hAnsi="Calibri"/>
                <w:sz w:val="18"/>
              </w:rPr>
              <w:t>System-generated score shown to users to indicate severity/likelihood of a detected fire event.</w:t>
            </w:r>
          </w:p>
        </w:tc>
      </w:tr>
      <w:tr>
        <w:tc>
          <w:tcPr>
            <w:tcW w:type="dxa" w:w="2200"/>
            <w:vAlign w:val="center"/>
            <w:tcMar>
              <w:top w:w="80" w:type="dxa"/>
              <w:start w:w="120" w:type="dxa"/>
              <w:bottom w:w="80" w:type="dxa"/>
              <w:end w:w="120" w:type="dxa"/>
            </w:tcMar>
          </w:tcPr>
          <w:p>
            <w:pPr>
              <w:spacing w:after="0"/>
            </w:pPr>
            <w:r>
              <w:rPr>
                <w:rFonts w:ascii="Calibri" w:hAnsi="Calibri"/>
                <w:sz w:val="18"/>
              </w:rPr>
              <w:t>Manager</w:t>
            </w:r>
          </w:p>
        </w:tc>
        <w:tc>
          <w:tcPr>
            <w:tcW w:type="dxa" w:w="7160"/>
            <w:vAlign w:val="center"/>
            <w:tcMar>
              <w:top w:w="80" w:type="dxa"/>
              <w:start w:w="120" w:type="dxa"/>
              <w:bottom w:w="80" w:type="dxa"/>
              <w:end w:w="120" w:type="dxa"/>
            </w:tcMar>
          </w:tcPr>
          <w:p>
            <w:pPr>
              <w:spacing w:after="0"/>
            </w:pPr>
            <w:r>
              <w:rPr>
                <w:rFonts w:ascii="Calibri" w:hAnsi="Calibri"/>
                <w:sz w:val="18"/>
              </w:rPr>
              <w:t>Role with authority to confirm or reject detected incidents.</w:t>
            </w:r>
          </w:p>
        </w:tc>
      </w:tr>
      <w:tr>
        <w:tc>
          <w:tcPr>
            <w:tcW w:type="dxa" w:w="2200"/>
            <w:vAlign w:val="center"/>
            <w:tcMar>
              <w:top w:w="80" w:type="dxa"/>
              <w:start w:w="120" w:type="dxa"/>
              <w:bottom w:w="80" w:type="dxa"/>
              <w:end w:w="120" w:type="dxa"/>
            </w:tcMar>
          </w:tcPr>
          <w:p>
            <w:pPr>
              <w:spacing w:after="0"/>
            </w:pPr>
            <w:r>
              <w:rPr>
                <w:rFonts w:ascii="Calibri" w:hAnsi="Calibri"/>
                <w:sz w:val="18"/>
              </w:rPr>
              <w:t>Employee</w:t>
            </w:r>
          </w:p>
        </w:tc>
        <w:tc>
          <w:tcPr>
            <w:tcW w:type="dxa" w:w="7160"/>
            <w:vAlign w:val="center"/>
            <w:tcMar>
              <w:top w:w="80" w:type="dxa"/>
              <w:start w:w="120" w:type="dxa"/>
              <w:bottom w:w="80" w:type="dxa"/>
              <w:end w:w="120" w:type="dxa"/>
            </w:tcMar>
          </w:tcPr>
          <w:p>
            <w:pPr>
              <w:spacing w:after="0"/>
            </w:pPr>
            <w:r>
              <w:rPr>
                <w:rFonts w:ascii="Calibri" w:hAnsi="Calibri"/>
                <w:sz w:val="18"/>
              </w:rPr>
              <w:t>Role that receives confirmed fire alerts and can submit safety status.</w:t>
            </w:r>
          </w:p>
        </w:tc>
      </w:tr>
      <w:tr>
        <w:tc>
          <w:tcPr>
            <w:tcW w:type="dxa" w:w="2200"/>
            <w:vAlign w:val="center"/>
            <w:tcMar>
              <w:top w:w="80" w:type="dxa"/>
              <w:start w:w="120" w:type="dxa"/>
              <w:bottom w:w="80" w:type="dxa"/>
              <w:end w:w="120" w:type="dxa"/>
            </w:tcMar>
          </w:tcPr>
          <w:p>
            <w:pPr>
              <w:spacing w:after="0"/>
            </w:pPr>
            <w:r>
              <w:rPr>
                <w:rFonts w:ascii="Calibri" w:hAnsi="Calibri"/>
                <w:sz w:val="18"/>
              </w:rPr>
              <w:t>Fire Response Unit</w:t>
            </w:r>
          </w:p>
        </w:tc>
        <w:tc>
          <w:tcPr>
            <w:tcW w:type="dxa" w:w="7160"/>
            <w:vAlign w:val="center"/>
            <w:tcMar>
              <w:top w:w="80" w:type="dxa"/>
              <w:start w:w="120" w:type="dxa"/>
              <w:bottom w:w="80" w:type="dxa"/>
              <w:end w:w="120" w:type="dxa"/>
            </w:tcMar>
          </w:tcPr>
          <w:p>
            <w:pPr>
              <w:spacing w:after="0"/>
            </w:pPr>
            <w:r>
              <w:rPr>
                <w:rFonts w:ascii="Calibri" w:hAnsi="Calibri"/>
                <w:sz w:val="18"/>
              </w:rPr>
              <w:t>Response role that receives confirmed emergencies and updates intervention status.</w:t>
            </w:r>
          </w:p>
        </w:tc>
      </w:tr>
    </w:tbl>
    <w:p>
      <w:pPr>
        <w:pStyle w:val="Heading1"/>
      </w:pPr>
      <w:r>
        <w:t>2. Features to be Tested</w:t>
      </w:r>
    </w:p>
    <w:tbl>
      <w:tblPr>
        <w:tblStyle w:val="TableGrid"/>
        <w:tblW w:type="dxa" w:w="9360"/>
        <w:jc w:val="center"/>
        <w:tblLayout w:type="fixed"/>
        <w:tblLook w:firstColumn="1" w:firstRow="1" w:lastColumn="0" w:lastRow="0" w:noHBand="0" w:noVBand="1" w:val="04A0"/>
        <w:tblInd w:w="120" w:type="dxa"/>
      </w:tblPr>
      <w:tblGrid>
        <w:gridCol w:w="1200"/>
        <w:gridCol w:w="2700"/>
        <w:gridCol w:w="5460"/>
      </w:tblGrid>
      <w:tr>
        <w:trPr>
          <w:tblHeader w:val="true"/>
        </w:trPr>
        <w:tc>
          <w:tcPr>
            <w:tcW w:type="dxa" w:w="1200"/>
            <w:vAlign w:val="center"/>
            <w:tcMar>
              <w:top w:w="80" w:type="dxa"/>
              <w:start w:w="120" w:type="dxa"/>
              <w:bottom w:w="80" w:type="dxa"/>
              <w:end w:w="120" w:type="dxa"/>
            </w:tcMar>
            <w:shd w:fill="F2F4F7"/>
          </w:tcPr>
          <w:p>
            <w:pPr>
              <w:spacing w:after="0"/>
            </w:pPr>
            <w:r>
              <w:rPr>
                <w:rFonts w:ascii="Calibri" w:hAnsi="Calibri"/>
                <w:b/>
                <w:color w:val="111827"/>
                <w:sz w:val="18"/>
              </w:rPr>
              <w:t>Feature ID</w:t>
            </w:r>
          </w:p>
        </w:tc>
        <w:tc>
          <w:tcPr>
            <w:tcW w:type="dxa" w:w="2700"/>
            <w:vAlign w:val="center"/>
            <w:tcMar>
              <w:top w:w="80" w:type="dxa"/>
              <w:start w:w="120" w:type="dxa"/>
              <w:bottom w:w="80" w:type="dxa"/>
              <w:end w:w="120" w:type="dxa"/>
            </w:tcMar>
            <w:shd w:fill="F2F4F7"/>
          </w:tcPr>
          <w:p>
            <w:pPr>
              <w:spacing w:after="0"/>
            </w:pPr>
            <w:r>
              <w:rPr>
                <w:rFonts w:ascii="Calibri" w:hAnsi="Calibri"/>
                <w:b/>
                <w:color w:val="111827"/>
                <w:sz w:val="18"/>
              </w:rPr>
              <w:t>Feature Name</w:t>
            </w:r>
          </w:p>
        </w:tc>
        <w:tc>
          <w:tcPr>
            <w:tcW w:type="dxa" w:w="5460"/>
            <w:vAlign w:val="center"/>
            <w:tcMar>
              <w:top w:w="80" w:type="dxa"/>
              <w:start w:w="120" w:type="dxa"/>
              <w:bottom w:w="80" w:type="dxa"/>
              <w:end w:w="120" w:type="dxa"/>
            </w:tcMar>
            <w:shd w:fill="F2F4F7"/>
          </w:tcPr>
          <w:p>
            <w:pPr>
              <w:spacing w:after="0"/>
            </w:pPr>
            <w:r>
              <w:rPr>
                <w:rFonts w:ascii="Calibri" w:hAnsi="Calibri"/>
                <w:b/>
                <w:color w:val="111827"/>
                <w:sz w:val="18"/>
              </w:rPr>
              <w:t>Description</w:t>
            </w:r>
          </w:p>
        </w:tc>
      </w:tr>
      <w:tr>
        <w:tc>
          <w:tcPr>
            <w:tcW w:type="dxa" w:w="1200"/>
            <w:vAlign w:val="center"/>
            <w:tcMar>
              <w:top w:w="80" w:type="dxa"/>
              <w:start w:w="120" w:type="dxa"/>
              <w:bottom w:w="80" w:type="dxa"/>
              <w:end w:w="120" w:type="dxa"/>
            </w:tcMar>
          </w:tcPr>
          <w:p>
            <w:pPr>
              <w:spacing w:after="0"/>
            </w:pPr>
            <w:r>
              <w:rPr>
                <w:rFonts w:ascii="Calibri" w:hAnsi="Calibri"/>
                <w:sz w:val="18"/>
              </w:rPr>
              <w:t>AUTH</w:t>
            </w:r>
          </w:p>
        </w:tc>
        <w:tc>
          <w:tcPr>
            <w:tcW w:type="dxa" w:w="2700"/>
            <w:vAlign w:val="center"/>
            <w:tcMar>
              <w:top w:w="80" w:type="dxa"/>
              <w:start w:w="120" w:type="dxa"/>
              <w:bottom w:w="80" w:type="dxa"/>
              <w:end w:w="120" w:type="dxa"/>
            </w:tcMar>
          </w:tcPr>
          <w:p>
            <w:pPr>
              <w:spacing w:after="0"/>
            </w:pPr>
            <w:r>
              <w:rPr>
                <w:rFonts w:ascii="Calibri" w:hAnsi="Calibri"/>
                <w:sz w:val="18"/>
              </w:rPr>
              <w:t>Authentication and Role-Based Access</w:t>
            </w:r>
          </w:p>
        </w:tc>
        <w:tc>
          <w:tcPr>
            <w:tcW w:type="dxa" w:w="5460"/>
            <w:vAlign w:val="center"/>
            <w:tcMar>
              <w:top w:w="80" w:type="dxa"/>
              <w:start w:w="120" w:type="dxa"/>
              <w:bottom w:w="80" w:type="dxa"/>
              <w:end w:w="120" w:type="dxa"/>
            </w:tcMar>
          </w:tcPr>
          <w:p>
            <w:pPr>
              <w:spacing w:after="0"/>
            </w:pPr>
            <w:r>
              <w:rPr>
                <w:rFonts w:ascii="Calibri" w:hAnsi="Calibri"/>
                <w:sz w:val="18"/>
              </w:rPr>
              <w:t>Login, token-based session behavior, and role-specific access to screens/actions.</w:t>
            </w:r>
          </w:p>
        </w:tc>
      </w:tr>
      <w:tr>
        <w:tc>
          <w:tcPr>
            <w:tcW w:type="dxa" w:w="1200"/>
            <w:vAlign w:val="center"/>
            <w:tcMar>
              <w:top w:w="80" w:type="dxa"/>
              <w:start w:w="120" w:type="dxa"/>
              <w:bottom w:w="80" w:type="dxa"/>
              <w:end w:w="120" w:type="dxa"/>
            </w:tcMar>
          </w:tcPr>
          <w:p>
            <w:pPr>
              <w:spacing w:after="0"/>
            </w:pPr>
            <w:r>
              <w:rPr>
                <w:rFonts w:ascii="Calibri" w:hAnsi="Calibri"/>
                <w:sz w:val="18"/>
              </w:rPr>
              <w:t>CAM</w:t>
            </w:r>
          </w:p>
        </w:tc>
        <w:tc>
          <w:tcPr>
            <w:tcW w:type="dxa" w:w="2700"/>
            <w:vAlign w:val="center"/>
            <w:tcMar>
              <w:top w:w="80" w:type="dxa"/>
              <w:start w:w="120" w:type="dxa"/>
              <w:bottom w:w="80" w:type="dxa"/>
              <w:end w:w="120" w:type="dxa"/>
            </w:tcMar>
          </w:tcPr>
          <w:p>
            <w:pPr>
              <w:spacing w:after="0"/>
            </w:pPr>
            <w:r>
              <w:rPr>
                <w:rFonts w:ascii="Calibri" w:hAnsi="Calibri"/>
                <w:sz w:val="18"/>
              </w:rPr>
              <w:t>Camera Streaming and Demo Sources</w:t>
            </w:r>
          </w:p>
        </w:tc>
        <w:tc>
          <w:tcPr>
            <w:tcW w:type="dxa" w:w="5460"/>
            <w:vAlign w:val="center"/>
            <w:tcMar>
              <w:top w:w="80" w:type="dxa"/>
              <w:start w:w="120" w:type="dxa"/>
              <w:bottom w:w="80" w:type="dxa"/>
              <w:end w:w="120" w:type="dxa"/>
            </w:tcMar>
          </w:tcPr>
          <w:p>
            <w:pPr>
              <w:spacing w:after="0"/>
            </w:pPr>
            <w:r>
              <w:rPr>
                <w:rFonts w:ascii="Calibri" w:hAnsi="Calibri"/>
                <w:sz w:val="18"/>
              </w:rPr>
              <w:t>Controlled video-source access/restart behavior and computer webcam stream access.</w:t>
            </w:r>
          </w:p>
        </w:tc>
      </w:tr>
      <w:tr>
        <w:tc>
          <w:tcPr>
            <w:tcW w:type="dxa" w:w="1200"/>
            <w:vAlign w:val="center"/>
            <w:tcMar>
              <w:top w:w="80" w:type="dxa"/>
              <w:start w:w="120" w:type="dxa"/>
              <w:bottom w:w="80" w:type="dxa"/>
              <w:end w:w="120" w:type="dxa"/>
            </w:tcMar>
          </w:tcPr>
          <w:p>
            <w:pPr>
              <w:spacing w:after="0"/>
            </w:pPr>
            <w:r>
              <w:rPr>
                <w:rFonts w:ascii="Calibri" w:hAnsi="Calibri"/>
                <w:sz w:val="18"/>
              </w:rPr>
              <w:t>DET</w:t>
            </w:r>
          </w:p>
        </w:tc>
        <w:tc>
          <w:tcPr>
            <w:tcW w:type="dxa" w:w="2700"/>
            <w:vAlign w:val="center"/>
            <w:tcMar>
              <w:top w:w="80" w:type="dxa"/>
              <w:start w:w="120" w:type="dxa"/>
              <w:bottom w:w="80" w:type="dxa"/>
              <w:end w:w="120" w:type="dxa"/>
            </w:tcMar>
          </w:tcPr>
          <w:p>
            <w:pPr>
              <w:spacing w:after="0"/>
            </w:pPr>
            <w:r>
              <w:rPr>
                <w:rFonts w:ascii="Calibri" w:hAnsi="Calibri"/>
                <w:sz w:val="18"/>
              </w:rPr>
              <w:t>Fire Detection and Risk Scoring</w:t>
            </w:r>
          </w:p>
        </w:tc>
        <w:tc>
          <w:tcPr>
            <w:tcW w:type="dxa" w:w="5460"/>
            <w:vAlign w:val="center"/>
            <w:tcMar>
              <w:top w:w="80" w:type="dxa"/>
              <w:start w:w="120" w:type="dxa"/>
              <w:bottom w:w="80" w:type="dxa"/>
              <w:end w:w="120" w:type="dxa"/>
            </w:tcMar>
          </w:tcPr>
          <w:p>
            <w:pPr>
              <w:spacing w:after="0"/>
            </w:pPr>
            <w:r>
              <w:rPr>
                <w:rFonts w:ascii="Calibri" w:hAnsi="Calibri"/>
                <w:sz w:val="18"/>
              </w:rPr>
              <w:t>Early detection from lobby video and webcam flame source, with risk score shown in incident details.</w:t>
            </w:r>
          </w:p>
        </w:tc>
      </w:tr>
      <w:tr>
        <w:tc>
          <w:tcPr>
            <w:tcW w:type="dxa" w:w="1200"/>
            <w:vAlign w:val="center"/>
            <w:tcMar>
              <w:top w:w="80" w:type="dxa"/>
              <w:start w:w="120" w:type="dxa"/>
              <w:bottom w:w="80" w:type="dxa"/>
              <w:end w:w="120" w:type="dxa"/>
            </w:tcMar>
          </w:tcPr>
          <w:p>
            <w:pPr>
              <w:spacing w:after="0"/>
            </w:pPr>
            <w:r>
              <w:rPr>
                <w:rFonts w:ascii="Calibri" w:hAnsi="Calibri"/>
                <w:sz w:val="18"/>
              </w:rPr>
              <w:t>INC</w:t>
            </w:r>
          </w:p>
        </w:tc>
        <w:tc>
          <w:tcPr>
            <w:tcW w:type="dxa" w:w="2700"/>
            <w:vAlign w:val="center"/>
            <w:tcMar>
              <w:top w:w="80" w:type="dxa"/>
              <w:start w:w="120" w:type="dxa"/>
              <w:bottom w:w="80" w:type="dxa"/>
              <w:end w:w="120" w:type="dxa"/>
            </w:tcMar>
          </w:tcPr>
          <w:p>
            <w:pPr>
              <w:spacing w:after="0"/>
            </w:pPr>
            <w:r>
              <w:rPr>
                <w:rFonts w:ascii="Calibri" w:hAnsi="Calibri"/>
                <w:sz w:val="18"/>
              </w:rPr>
              <w:t>Incident Decision Workflow</w:t>
            </w:r>
          </w:p>
        </w:tc>
        <w:tc>
          <w:tcPr>
            <w:tcW w:type="dxa" w:w="5460"/>
            <w:vAlign w:val="center"/>
            <w:tcMar>
              <w:top w:w="80" w:type="dxa"/>
              <w:start w:w="120" w:type="dxa"/>
              <w:bottom w:w="80" w:type="dxa"/>
              <w:end w:w="120" w:type="dxa"/>
            </w:tcMar>
          </w:tcPr>
          <w:p>
            <w:pPr>
              <w:spacing w:after="0"/>
            </w:pPr>
            <w:r>
              <w:rPr>
                <w:rFonts w:ascii="Calibri" w:hAnsi="Calibri"/>
                <w:sz w:val="18"/>
              </w:rPr>
              <w:t>Manager/Admin confirmation, dismissal, and automatic policy behavior for high-risk incidents.</w:t>
            </w:r>
          </w:p>
        </w:tc>
      </w:tr>
      <w:tr>
        <w:tc>
          <w:tcPr>
            <w:tcW w:type="dxa" w:w="1200"/>
            <w:vAlign w:val="center"/>
            <w:tcMar>
              <w:top w:w="80" w:type="dxa"/>
              <w:start w:w="120" w:type="dxa"/>
              <w:bottom w:w="80" w:type="dxa"/>
              <w:end w:w="120" w:type="dxa"/>
            </w:tcMar>
          </w:tcPr>
          <w:p>
            <w:pPr>
              <w:spacing w:after="0"/>
            </w:pPr>
            <w:r>
              <w:rPr>
                <w:rFonts w:ascii="Calibri" w:hAnsi="Calibri"/>
                <w:sz w:val="18"/>
              </w:rPr>
              <w:t>NOT</w:t>
            </w:r>
          </w:p>
        </w:tc>
        <w:tc>
          <w:tcPr>
            <w:tcW w:type="dxa" w:w="2700"/>
            <w:vAlign w:val="center"/>
            <w:tcMar>
              <w:top w:w="80" w:type="dxa"/>
              <w:start w:w="120" w:type="dxa"/>
              <w:bottom w:w="80" w:type="dxa"/>
              <w:end w:w="120" w:type="dxa"/>
            </w:tcMar>
          </w:tcPr>
          <w:p>
            <w:pPr>
              <w:spacing w:after="0"/>
            </w:pPr>
            <w:r>
              <w:rPr>
                <w:rFonts w:ascii="Calibri" w:hAnsi="Calibri"/>
                <w:sz w:val="18"/>
              </w:rPr>
              <w:t>Role-Based Notifications</w:t>
            </w:r>
          </w:p>
        </w:tc>
        <w:tc>
          <w:tcPr>
            <w:tcW w:type="dxa" w:w="5460"/>
            <w:vAlign w:val="center"/>
            <w:tcMar>
              <w:top w:w="80" w:type="dxa"/>
              <w:start w:w="120" w:type="dxa"/>
              <w:bottom w:w="80" w:type="dxa"/>
              <w:end w:w="120" w:type="dxa"/>
            </w:tcMar>
          </w:tcPr>
          <w:p>
            <w:pPr>
              <w:spacing w:after="0"/>
            </w:pPr>
            <w:r>
              <w:rPr>
                <w:rFonts w:ascii="Calibri" w:hAnsi="Calibri"/>
                <w:sz w:val="18"/>
              </w:rPr>
              <w:t>Detected alerts to decision roles and confirmed emergency alerts to employee/response roles.</w:t>
            </w:r>
          </w:p>
        </w:tc>
      </w:tr>
      <w:tr>
        <w:tc>
          <w:tcPr>
            <w:tcW w:type="dxa" w:w="1200"/>
            <w:vAlign w:val="center"/>
            <w:tcMar>
              <w:top w:w="80" w:type="dxa"/>
              <w:start w:w="120" w:type="dxa"/>
              <w:bottom w:w="80" w:type="dxa"/>
              <w:end w:w="120" w:type="dxa"/>
            </w:tcMar>
          </w:tcPr>
          <w:p>
            <w:pPr>
              <w:spacing w:after="0"/>
            </w:pPr>
            <w:r>
              <w:rPr>
                <w:rFonts w:ascii="Calibri" w:hAnsi="Calibri"/>
                <w:sz w:val="18"/>
              </w:rPr>
              <w:t>EMP</w:t>
            </w:r>
          </w:p>
        </w:tc>
        <w:tc>
          <w:tcPr>
            <w:tcW w:type="dxa" w:w="2700"/>
            <w:vAlign w:val="center"/>
            <w:tcMar>
              <w:top w:w="80" w:type="dxa"/>
              <w:start w:w="120" w:type="dxa"/>
              <w:bottom w:w="80" w:type="dxa"/>
              <w:end w:w="120" w:type="dxa"/>
            </w:tcMar>
          </w:tcPr>
          <w:p>
            <w:pPr>
              <w:spacing w:after="0"/>
            </w:pPr>
            <w:r>
              <w:rPr>
                <w:rFonts w:ascii="Calibri" w:hAnsi="Calibri"/>
                <w:sz w:val="18"/>
              </w:rPr>
              <w:t>Employee Emergency Workflow</w:t>
            </w:r>
          </w:p>
        </w:tc>
        <w:tc>
          <w:tcPr>
            <w:tcW w:type="dxa" w:w="5460"/>
            <w:vAlign w:val="center"/>
            <w:tcMar>
              <w:top w:w="80" w:type="dxa"/>
              <w:start w:w="120" w:type="dxa"/>
              <w:bottom w:w="80" w:type="dxa"/>
              <w:end w:w="120" w:type="dxa"/>
            </w:tcMar>
          </w:tcPr>
          <w:p>
            <w:pPr>
              <w:spacing w:after="0"/>
            </w:pPr>
            <w:r>
              <w:rPr>
                <w:rFonts w:ascii="Calibri" w:hAnsi="Calibri"/>
                <w:sz w:val="18"/>
              </w:rPr>
              <w:t>Confirmed incident visibility, emergency instructions, and safe/need-help status reporting.</w:t>
            </w:r>
          </w:p>
        </w:tc>
      </w:tr>
      <w:tr>
        <w:tc>
          <w:tcPr>
            <w:tcW w:type="dxa" w:w="1200"/>
            <w:vAlign w:val="center"/>
            <w:tcMar>
              <w:top w:w="80" w:type="dxa"/>
              <w:start w:w="120" w:type="dxa"/>
              <w:bottom w:w="80" w:type="dxa"/>
              <w:end w:w="120" w:type="dxa"/>
            </w:tcMar>
          </w:tcPr>
          <w:p>
            <w:pPr>
              <w:spacing w:after="0"/>
            </w:pPr>
            <w:r>
              <w:rPr>
                <w:rFonts w:ascii="Calibri" w:hAnsi="Calibri"/>
                <w:sz w:val="18"/>
              </w:rPr>
              <w:t>FRU</w:t>
            </w:r>
          </w:p>
        </w:tc>
        <w:tc>
          <w:tcPr>
            <w:tcW w:type="dxa" w:w="2700"/>
            <w:vAlign w:val="center"/>
            <w:tcMar>
              <w:top w:w="80" w:type="dxa"/>
              <w:start w:w="120" w:type="dxa"/>
              <w:bottom w:w="80" w:type="dxa"/>
              <w:end w:w="120" w:type="dxa"/>
            </w:tcMar>
          </w:tcPr>
          <w:p>
            <w:pPr>
              <w:spacing w:after="0"/>
            </w:pPr>
            <w:r>
              <w:rPr>
                <w:rFonts w:ascii="Calibri" w:hAnsi="Calibri"/>
                <w:sz w:val="18"/>
              </w:rPr>
              <w:t>Fire Response Unit Workflow</w:t>
            </w:r>
          </w:p>
        </w:tc>
        <w:tc>
          <w:tcPr>
            <w:tcW w:type="dxa" w:w="5460"/>
            <w:vAlign w:val="center"/>
            <w:tcMar>
              <w:top w:w="80" w:type="dxa"/>
              <w:start w:w="120" w:type="dxa"/>
              <w:bottom w:w="80" w:type="dxa"/>
              <w:end w:w="120" w:type="dxa"/>
            </w:tcMar>
          </w:tcPr>
          <w:p>
            <w:pPr>
              <w:spacing w:after="0"/>
            </w:pPr>
            <w:r>
              <w:rPr>
                <w:rFonts w:ascii="Calibri" w:hAnsi="Calibri"/>
                <w:sz w:val="18"/>
              </w:rPr>
              <w:t>Response queue and response status updates.</w:t>
            </w:r>
          </w:p>
        </w:tc>
      </w:tr>
      <w:tr>
        <w:tc>
          <w:tcPr>
            <w:tcW w:type="dxa" w:w="1200"/>
            <w:vAlign w:val="center"/>
            <w:tcMar>
              <w:top w:w="80" w:type="dxa"/>
              <w:start w:w="120" w:type="dxa"/>
              <w:bottom w:w="80" w:type="dxa"/>
              <w:end w:w="120" w:type="dxa"/>
            </w:tcMar>
          </w:tcPr>
          <w:p>
            <w:pPr>
              <w:spacing w:after="0"/>
            </w:pPr>
            <w:r>
              <w:rPr>
                <w:rFonts w:ascii="Calibri" w:hAnsi="Calibri"/>
                <w:sz w:val="18"/>
              </w:rPr>
              <w:t>REP</w:t>
            </w:r>
          </w:p>
        </w:tc>
        <w:tc>
          <w:tcPr>
            <w:tcW w:type="dxa" w:w="2700"/>
            <w:vAlign w:val="center"/>
            <w:tcMar>
              <w:top w:w="80" w:type="dxa"/>
              <w:start w:w="120" w:type="dxa"/>
              <w:bottom w:w="80" w:type="dxa"/>
              <w:end w:w="120" w:type="dxa"/>
            </w:tcMar>
          </w:tcPr>
          <w:p>
            <w:pPr>
              <w:spacing w:after="0"/>
            </w:pPr>
            <w:r>
              <w:rPr>
                <w:rFonts w:ascii="Calibri" w:hAnsi="Calibri"/>
                <w:sz w:val="18"/>
              </w:rPr>
              <w:t>Logging and Reporting</w:t>
            </w:r>
          </w:p>
        </w:tc>
        <w:tc>
          <w:tcPr>
            <w:tcW w:type="dxa" w:w="5460"/>
            <w:vAlign w:val="center"/>
            <w:tcMar>
              <w:top w:w="80" w:type="dxa"/>
              <w:start w:w="120" w:type="dxa"/>
              <w:bottom w:w="80" w:type="dxa"/>
              <w:end w:w="120" w:type="dxa"/>
            </w:tcMar>
          </w:tcPr>
          <w:p>
            <w:pPr>
              <w:spacing w:after="0"/>
            </w:pPr>
            <w:r>
              <w:rPr>
                <w:rFonts w:ascii="Calibri" w:hAnsi="Calibri"/>
                <w:sz w:val="18"/>
              </w:rPr>
              <w:t>Incident history, dashboard summary, and traceability of decisions.</w:t>
            </w:r>
          </w:p>
        </w:tc>
      </w:tr>
    </w:tbl>
    <w:p>
      <w:pPr>
        <w:pStyle w:val="Heading1"/>
      </w:pPr>
      <w:r>
        <w:t>3. Features Not to be Tested</w:t>
      </w:r>
    </w:p>
    <w:p>
      <w:pPr>
        <w:pStyle w:val="ListBullet"/>
        <w:ind w:left="360" w:hanging="216"/>
      </w:pPr>
      <w:r>
        <w:t>Physical fire suppression, siren activation, building evacuation hardware, SMS gateways, and real emergency dispatch integrations are outside the software scope.</w:t>
      </w:r>
    </w:p>
    <w:p>
      <w:pPr>
        <w:pStyle w:val="ListBullet"/>
        <w:ind w:left="360" w:hanging="216"/>
      </w:pPr>
      <w:r>
        <w:t>Full model retraining, dataset benchmarking, and formal precision/recall measurement on a large labeled dataset are not included in this acceptance test plan.</w:t>
      </w:r>
    </w:p>
    <w:p>
      <w:pPr>
        <w:pStyle w:val="ListBullet"/>
        <w:ind w:left="360" w:hanging="216"/>
      </w:pPr>
      <w:r>
        <w:t>Large-scale load tests with many cameras/users are not included; the plan validates the single-machine demo configuration and core scalability assumptions only at a functional level.</w:t>
      </w:r>
    </w:p>
    <w:p>
      <w:pPr>
        <w:pStyle w:val="ListBullet"/>
        <w:ind w:left="360" w:hanging="216"/>
      </w:pPr>
      <w:r>
        <w:t>Production cloud security audits, penetration testing, and long-term 24/7 endurance testing are not included.</w:t>
      </w:r>
    </w:p>
    <w:p>
      <w:pPr>
        <w:pStyle w:val="ListBullet"/>
        <w:ind w:left="360" w:hanging="216"/>
      </w:pPr>
      <w:r>
        <w:t>iOS physical-device certification is not included; the planned demo environment is Android emulator/local network oriented.</w:t>
      </w:r>
    </w:p>
    <w:p>
      <w:pPr>
        <w:pStyle w:val="Heading1"/>
      </w:pPr>
      <w:r>
        <w:t>4. Item Pass/Fail Criteria</w:t>
      </w:r>
    </w:p>
    <w:p>
      <w:r>
        <w:t>A test case passes when all listed steps can be completed and the expected result is observed without manual database editing or code changes during the test. A test case fails when the expected result is not observed, the application crashes, the backend returns an unexpected error, or the workflow requires an undocumented workaround.</w:t>
      </w:r>
    </w:p>
    <w:p>
      <w:pPr>
        <w:pStyle w:val="Heading2"/>
      </w:pPr>
      <w:r>
        <w:t>4.1 Exit Criteria</w:t>
      </w:r>
    </w:p>
    <w:p>
      <w:pPr>
        <w:pStyle w:val="ListBullet"/>
        <w:ind w:left="360" w:hanging="216"/>
      </w:pPr>
      <w:r>
        <w:t>All High-priority test cases must pass before the project demo is considered acceptable.</w:t>
      </w:r>
    </w:p>
    <w:p>
      <w:pPr>
        <w:pStyle w:val="ListBullet"/>
        <w:ind w:left="360" w:hanging="216"/>
      </w:pPr>
      <w:r>
        <w:t>At least the lobby-video detection flow and one live-webcam detection flow must complete from detection to notification.</w:t>
      </w:r>
    </w:p>
    <w:p>
      <w:pPr>
        <w:pStyle w:val="ListBullet"/>
        <w:ind w:left="360" w:hanging="216"/>
      </w:pPr>
      <w:r>
        <w:t>Role-based notification routing must be correct: detected alerts must go to Admin/Manager, while confirmed alerts must go to Employee/Fire Response Unit.</w:t>
      </w:r>
    </w:p>
    <w:p>
      <w:pPr>
        <w:pStyle w:val="ListBullet"/>
        <w:ind w:left="360" w:hanging="216"/>
      </w:pPr>
      <w:r>
        <w:t>No repeated false fire incident should be generated during a 60-second no-flame webcam observation in the demo environment.</w:t>
      </w:r>
    </w:p>
    <w:p>
      <w:pPr>
        <w:pStyle w:val="ListBullet"/>
        <w:ind w:left="360" w:hanging="216"/>
      </w:pPr>
      <w:r>
        <w:t>Open Medium-priority issues may remain only if they do not block the end-to-end safety workflow and are documented.</w:t>
      </w:r>
    </w:p>
    <w:p>
      <w:pPr>
        <w:pStyle w:val="Heading1"/>
      </w:pPr>
      <w:r>
        <w:t>5. References</w:t>
      </w:r>
    </w:p>
    <w:p>
      <w:pPr>
        <w:pStyle w:val="ListBullet"/>
        <w:ind w:left="360" w:hanging="216"/>
      </w:pPr>
      <w:r>
        <w:t>Fire Detect: Fire Detection and Localization System, CENG 407/408 project documentation, Team ID 9.</w:t>
      </w:r>
    </w:p>
    <w:p>
      <w:pPr>
        <w:pStyle w:val="ListBullet"/>
        <w:ind w:left="360" w:hanging="216"/>
      </w:pPr>
      <w:r>
        <w:t>Provided Sample Test Plan: Test Plan, Test Design Specifications and Test Cases template.</w:t>
      </w:r>
    </w:p>
    <w:p>
      <w:pPr>
        <w:pStyle w:val="ListBullet"/>
        <w:ind w:left="360" w:hanging="216"/>
      </w:pPr>
      <w:r>
        <w:t>Current implementation branch: final-demo-2026-05-14, Fire Detect GitHub repository.</w:t>
      </w:r>
    </w:p>
    <w:p>
      <w:pPr>
        <w:pStyle w:val="ListBullet"/>
        <w:ind w:left="360" w:hanging="216"/>
      </w:pPr>
      <w:r>
        <w:t>FastAPI, Flutter, OpenCV, RTSP, and JWT documentation used by the implementation.</w:t>
      </w:r>
    </w:p>
    <w:p>
      <w:pPr>
        <w:pStyle w:val="Heading1"/>
      </w:pPr>
      <w:r>
        <w:t>6. Test Design Specifications</w:t>
      </w:r>
    </w:p>
    <w:p>
      <w:r>
        <w:t>This section maps the important project requirements to a compact set of test cases. Requirement references follow the numbering in the 408 project document where possible.</w:t>
      </w:r>
    </w:p>
    <w:tbl>
      <w:tblPr>
        <w:tblStyle w:val="TableGrid"/>
        <w:tblW w:type="dxa" w:w="9360"/>
        <w:jc w:val="center"/>
        <w:tblLayout w:type="fixed"/>
        <w:tblLook w:firstColumn="1" w:firstRow="1" w:lastColumn="0" w:lastRow="0" w:noHBand="0" w:noVBand="1" w:val="04A0"/>
        <w:tblInd w:w="120" w:type="dxa"/>
      </w:tblPr>
      <w:tblGrid>
        <w:gridCol w:w="1100"/>
        <w:gridCol w:w="3650"/>
        <w:gridCol w:w="1150"/>
        <w:gridCol w:w="3460"/>
      </w:tblGrid>
      <w:tr>
        <w:trPr>
          <w:tblHeader w:val="true"/>
        </w:trPr>
        <w:tc>
          <w:tcPr>
            <w:tcW w:type="dxa" w:w="1100"/>
            <w:vAlign w:val="center"/>
            <w:tcMar>
              <w:top w:w="80" w:type="dxa"/>
              <w:start w:w="120" w:type="dxa"/>
              <w:bottom w:w="80" w:type="dxa"/>
              <w:end w:w="120" w:type="dxa"/>
            </w:tcMar>
            <w:shd w:fill="F2F4F7"/>
          </w:tcPr>
          <w:p>
            <w:pPr>
              <w:spacing w:after="0"/>
            </w:pPr>
            <w:r>
              <w:rPr>
                <w:rFonts w:ascii="Calibri" w:hAnsi="Calibri"/>
                <w:b/>
                <w:color w:val="111827"/>
                <w:sz w:val="18"/>
              </w:rPr>
              <w:t>Feature</w:t>
            </w:r>
          </w:p>
        </w:tc>
        <w:tc>
          <w:tcPr>
            <w:tcW w:type="dxa" w:w="3650"/>
            <w:vAlign w:val="center"/>
            <w:tcMar>
              <w:top w:w="80" w:type="dxa"/>
              <w:start w:w="120" w:type="dxa"/>
              <w:bottom w:w="80" w:type="dxa"/>
              <w:end w:w="120" w:type="dxa"/>
            </w:tcMar>
            <w:shd w:fill="F2F4F7"/>
          </w:tcPr>
          <w:p>
            <w:pPr>
              <w:spacing w:after="0"/>
            </w:pPr>
            <w:r>
              <w:rPr>
                <w:rFonts w:ascii="Calibri" w:hAnsi="Calibri"/>
                <w:b/>
                <w:color w:val="111827"/>
                <w:sz w:val="18"/>
              </w:rPr>
              <w:t>Requirement / Use Case Mapping</w:t>
            </w:r>
          </w:p>
        </w:tc>
        <w:tc>
          <w:tcPr>
            <w:tcW w:type="dxa" w:w="1150"/>
            <w:vAlign w:val="center"/>
            <w:tcMar>
              <w:top w:w="80" w:type="dxa"/>
              <w:start w:w="120" w:type="dxa"/>
              <w:bottom w:w="80" w:type="dxa"/>
              <w:end w:w="120" w:type="dxa"/>
            </w:tcMar>
            <w:shd w:fill="F2F4F7"/>
          </w:tcPr>
          <w:p>
            <w:pPr>
              <w:spacing w:after="0"/>
            </w:pPr>
            <w:r>
              <w:rPr>
                <w:rFonts w:ascii="Calibri" w:hAnsi="Calibri"/>
                <w:b/>
                <w:color w:val="111827"/>
                <w:sz w:val="18"/>
              </w:rPr>
              <w:t>Priority</w:t>
            </w:r>
          </w:p>
        </w:tc>
        <w:tc>
          <w:tcPr>
            <w:tcW w:type="dxa" w:w="3460"/>
            <w:vAlign w:val="center"/>
            <w:tcMar>
              <w:top w:w="80" w:type="dxa"/>
              <w:start w:w="120" w:type="dxa"/>
              <w:bottom w:w="80" w:type="dxa"/>
              <w:end w:w="120" w:type="dxa"/>
            </w:tcMar>
            <w:shd w:fill="F2F4F7"/>
          </w:tcPr>
          <w:p>
            <w:pPr>
              <w:spacing w:after="0"/>
            </w:pPr>
            <w:r>
              <w:rPr>
                <w:rFonts w:ascii="Calibri" w:hAnsi="Calibri"/>
                <w:b/>
                <w:color w:val="111827"/>
                <w:sz w:val="18"/>
              </w:rPr>
              <w:t>Detailed Test Case IDs</w:t>
            </w:r>
          </w:p>
        </w:tc>
      </w:tr>
      <w:tr>
        <w:tc>
          <w:tcPr>
            <w:tcW w:type="dxa" w:w="1100"/>
            <w:vAlign w:val="center"/>
            <w:tcMar>
              <w:top w:w="80" w:type="dxa"/>
              <w:start w:w="120" w:type="dxa"/>
              <w:bottom w:w="80" w:type="dxa"/>
              <w:end w:w="120" w:type="dxa"/>
            </w:tcMar>
          </w:tcPr>
          <w:p>
            <w:pPr>
              <w:spacing w:after="0"/>
            </w:pPr>
            <w:r>
              <w:rPr>
                <w:rFonts w:ascii="Calibri" w:hAnsi="Calibri"/>
                <w:sz w:val="18"/>
              </w:rPr>
              <w:t>AUTH</w:t>
            </w:r>
          </w:p>
        </w:tc>
        <w:tc>
          <w:tcPr>
            <w:tcW w:type="dxa" w:w="3650"/>
            <w:vAlign w:val="center"/>
            <w:tcMar>
              <w:top w:w="80" w:type="dxa"/>
              <w:start w:w="120" w:type="dxa"/>
              <w:bottom w:w="80" w:type="dxa"/>
              <w:end w:w="120" w:type="dxa"/>
            </w:tcMar>
          </w:tcPr>
          <w:p>
            <w:pPr>
              <w:spacing w:after="0"/>
            </w:pPr>
            <w:r>
              <w:rPr>
                <w:rFonts w:ascii="Calibri" w:hAnsi="Calibri"/>
                <w:sz w:val="18"/>
              </w:rPr>
              <w:t>UC-01, FR-01, FR-04, NFR-03</w:t>
            </w:r>
          </w:p>
        </w:tc>
        <w:tc>
          <w:tcPr>
            <w:tcW w:type="dxa" w:w="1150"/>
            <w:vAlign w:val="center"/>
            <w:tcMar>
              <w:top w:w="80" w:type="dxa"/>
              <w:start w:w="120" w:type="dxa"/>
              <w:bottom w:w="80" w:type="dxa"/>
              <w:end w:w="120" w:type="dxa"/>
            </w:tcMar>
          </w:tcPr>
          <w:p>
            <w:pPr>
              <w:spacing w:after="0"/>
            </w:pPr>
            <w:r>
              <w:rPr>
                <w:rFonts w:ascii="Calibri" w:hAnsi="Calibri"/>
                <w:sz w:val="18"/>
              </w:rPr>
              <w:t>High</w:t>
            </w:r>
          </w:p>
        </w:tc>
        <w:tc>
          <w:tcPr>
            <w:tcW w:type="dxa" w:w="3460"/>
            <w:vAlign w:val="center"/>
            <w:tcMar>
              <w:top w:w="80" w:type="dxa"/>
              <w:start w:w="120" w:type="dxa"/>
              <w:bottom w:w="80" w:type="dxa"/>
              <w:end w:w="120" w:type="dxa"/>
            </w:tcMar>
          </w:tcPr>
          <w:p>
            <w:pPr>
              <w:spacing w:after="0"/>
            </w:pPr>
            <w:r>
              <w:rPr>
                <w:rFonts w:ascii="Calibri" w:hAnsi="Calibri"/>
                <w:sz w:val="18"/>
              </w:rPr>
              <w:t>AUTH.01, AUTH.02</w:t>
            </w:r>
          </w:p>
        </w:tc>
      </w:tr>
      <w:tr>
        <w:tc>
          <w:tcPr>
            <w:tcW w:type="dxa" w:w="1100"/>
            <w:vAlign w:val="center"/>
            <w:tcMar>
              <w:top w:w="80" w:type="dxa"/>
              <w:start w:w="120" w:type="dxa"/>
              <w:bottom w:w="80" w:type="dxa"/>
              <w:end w:w="120" w:type="dxa"/>
            </w:tcMar>
          </w:tcPr>
          <w:p>
            <w:pPr>
              <w:spacing w:after="0"/>
            </w:pPr>
            <w:r>
              <w:rPr>
                <w:rFonts w:ascii="Calibri" w:hAnsi="Calibri"/>
                <w:sz w:val="18"/>
              </w:rPr>
              <w:t>CAM</w:t>
            </w:r>
          </w:p>
        </w:tc>
        <w:tc>
          <w:tcPr>
            <w:tcW w:type="dxa" w:w="3650"/>
            <w:vAlign w:val="center"/>
            <w:tcMar>
              <w:top w:w="80" w:type="dxa"/>
              <w:start w:w="120" w:type="dxa"/>
              <w:bottom w:w="80" w:type="dxa"/>
              <w:end w:w="120" w:type="dxa"/>
            </w:tcMar>
          </w:tcPr>
          <w:p>
            <w:pPr>
              <w:spacing w:after="0"/>
            </w:pPr>
            <w:r>
              <w:rPr>
                <w:rFonts w:ascii="Calibri" w:hAnsi="Calibri"/>
                <w:sz w:val="18"/>
              </w:rPr>
              <w:t>FR-05, FR-14, FR-15, FR-16, NFR-04</w:t>
            </w:r>
          </w:p>
        </w:tc>
        <w:tc>
          <w:tcPr>
            <w:tcW w:type="dxa" w:w="1150"/>
            <w:vAlign w:val="center"/>
            <w:tcMar>
              <w:top w:w="80" w:type="dxa"/>
              <w:start w:w="120" w:type="dxa"/>
              <w:bottom w:w="80" w:type="dxa"/>
              <w:end w:w="120" w:type="dxa"/>
            </w:tcMar>
          </w:tcPr>
          <w:p>
            <w:pPr>
              <w:spacing w:after="0"/>
            </w:pPr>
            <w:r>
              <w:rPr>
                <w:rFonts w:ascii="Calibri" w:hAnsi="Calibri"/>
                <w:sz w:val="18"/>
              </w:rPr>
              <w:t>High</w:t>
            </w:r>
          </w:p>
        </w:tc>
        <w:tc>
          <w:tcPr>
            <w:tcW w:type="dxa" w:w="3460"/>
            <w:vAlign w:val="center"/>
            <w:tcMar>
              <w:top w:w="80" w:type="dxa"/>
              <w:start w:w="120" w:type="dxa"/>
              <w:bottom w:w="80" w:type="dxa"/>
              <w:end w:w="120" w:type="dxa"/>
            </w:tcMar>
          </w:tcPr>
          <w:p>
            <w:pPr>
              <w:spacing w:after="0"/>
            </w:pPr>
            <w:r>
              <w:rPr>
                <w:rFonts w:ascii="Calibri" w:hAnsi="Calibri"/>
                <w:sz w:val="18"/>
              </w:rPr>
              <w:t>CAM.01, CAM.02</w:t>
            </w:r>
          </w:p>
        </w:tc>
      </w:tr>
      <w:tr>
        <w:tc>
          <w:tcPr>
            <w:tcW w:type="dxa" w:w="1100"/>
            <w:vAlign w:val="center"/>
            <w:tcMar>
              <w:top w:w="80" w:type="dxa"/>
              <w:start w:w="120" w:type="dxa"/>
              <w:bottom w:w="80" w:type="dxa"/>
              <w:end w:w="120" w:type="dxa"/>
            </w:tcMar>
          </w:tcPr>
          <w:p>
            <w:pPr>
              <w:spacing w:after="0"/>
            </w:pPr>
            <w:r>
              <w:rPr>
                <w:rFonts w:ascii="Calibri" w:hAnsi="Calibri"/>
                <w:sz w:val="18"/>
              </w:rPr>
              <w:t>DET</w:t>
            </w:r>
          </w:p>
        </w:tc>
        <w:tc>
          <w:tcPr>
            <w:tcW w:type="dxa" w:w="3650"/>
            <w:vAlign w:val="center"/>
            <w:tcMar>
              <w:top w:w="80" w:type="dxa"/>
              <w:start w:w="120" w:type="dxa"/>
              <w:bottom w:w="80" w:type="dxa"/>
              <w:end w:w="120" w:type="dxa"/>
            </w:tcMar>
          </w:tcPr>
          <w:p>
            <w:pPr>
              <w:spacing w:after="0"/>
            </w:pPr>
            <w:r>
              <w:rPr>
                <w:rFonts w:ascii="Calibri" w:hAnsi="Calibri"/>
                <w:sz w:val="18"/>
              </w:rPr>
              <w:t>FR-08, FR-09, NFR-11, NFR-12, NFR-16</w:t>
            </w:r>
          </w:p>
        </w:tc>
        <w:tc>
          <w:tcPr>
            <w:tcW w:type="dxa" w:w="1150"/>
            <w:vAlign w:val="center"/>
            <w:tcMar>
              <w:top w:w="80" w:type="dxa"/>
              <w:start w:w="120" w:type="dxa"/>
              <w:bottom w:w="80" w:type="dxa"/>
              <w:end w:w="120" w:type="dxa"/>
            </w:tcMar>
          </w:tcPr>
          <w:p>
            <w:pPr>
              <w:spacing w:after="0"/>
            </w:pPr>
            <w:r>
              <w:rPr>
                <w:rFonts w:ascii="Calibri" w:hAnsi="Calibri"/>
                <w:sz w:val="18"/>
              </w:rPr>
              <w:t>High</w:t>
            </w:r>
          </w:p>
        </w:tc>
        <w:tc>
          <w:tcPr>
            <w:tcW w:type="dxa" w:w="3460"/>
            <w:vAlign w:val="center"/>
            <w:tcMar>
              <w:top w:w="80" w:type="dxa"/>
              <w:start w:w="120" w:type="dxa"/>
              <w:bottom w:w="80" w:type="dxa"/>
              <w:end w:w="120" w:type="dxa"/>
            </w:tcMar>
          </w:tcPr>
          <w:p>
            <w:pPr>
              <w:spacing w:after="0"/>
            </w:pPr>
            <w:r>
              <w:rPr>
                <w:rFonts w:ascii="Calibri" w:hAnsi="Calibri"/>
                <w:sz w:val="18"/>
              </w:rPr>
              <w:t>DET.01, DET.02, DET.03</w:t>
            </w:r>
          </w:p>
        </w:tc>
      </w:tr>
      <w:tr>
        <w:tc>
          <w:tcPr>
            <w:tcW w:type="dxa" w:w="1100"/>
            <w:vAlign w:val="center"/>
            <w:tcMar>
              <w:top w:w="80" w:type="dxa"/>
              <w:start w:w="120" w:type="dxa"/>
              <w:bottom w:w="80" w:type="dxa"/>
              <w:end w:w="120" w:type="dxa"/>
            </w:tcMar>
          </w:tcPr>
          <w:p>
            <w:pPr>
              <w:spacing w:after="0"/>
            </w:pPr>
            <w:r>
              <w:rPr>
                <w:rFonts w:ascii="Calibri" w:hAnsi="Calibri"/>
                <w:sz w:val="18"/>
              </w:rPr>
              <w:t>INC</w:t>
            </w:r>
          </w:p>
        </w:tc>
        <w:tc>
          <w:tcPr>
            <w:tcW w:type="dxa" w:w="3650"/>
            <w:vAlign w:val="center"/>
            <w:tcMar>
              <w:top w:w="80" w:type="dxa"/>
              <w:start w:w="120" w:type="dxa"/>
              <w:bottom w:w="80" w:type="dxa"/>
              <w:end w:w="120" w:type="dxa"/>
            </w:tcMar>
          </w:tcPr>
          <w:p>
            <w:pPr>
              <w:spacing w:after="0"/>
            </w:pPr>
            <w:r>
              <w:rPr>
                <w:rFonts w:ascii="Calibri" w:hAnsi="Calibri"/>
                <w:sz w:val="18"/>
              </w:rPr>
              <w:t>FR-10, FR-11, FR-12, FR-13, FR-17, NFR-14</w:t>
            </w:r>
          </w:p>
        </w:tc>
        <w:tc>
          <w:tcPr>
            <w:tcW w:type="dxa" w:w="1150"/>
            <w:vAlign w:val="center"/>
            <w:tcMar>
              <w:top w:w="80" w:type="dxa"/>
              <w:start w:w="120" w:type="dxa"/>
              <w:bottom w:w="80" w:type="dxa"/>
              <w:end w:w="120" w:type="dxa"/>
            </w:tcMar>
          </w:tcPr>
          <w:p>
            <w:pPr>
              <w:spacing w:after="0"/>
            </w:pPr>
            <w:r>
              <w:rPr>
                <w:rFonts w:ascii="Calibri" w:hAnsi="Calibri"/>
                <w:sz w:val="18"/>
              </w:rPr>
              <w:t>High</w:t>
            </w:r>
          </w:p>
        </w:tc>
        <w:tc>
          <w:tcPr>
            <w:tcW w:type="dxa" w:w="3460"/>
            <w:vAlign w:val="center"/>
            <w:tcMar>
              <w:top w:w="80" w:type="dxa"/>
              <w:start w:w="120" w:type="dxa"/>
              <w:bottom w:w="80" w:type="dxa"/>
              <w:end w:w="120" w:type="dxa"/>
            </w:tcMar>
          </w:tcPr>
          <w:p>
            <w:pPr>
              <w:spacing w:after="0"/>
            </w:pPr>
            <w:r>
              <w:rPr>
                <w:rFonts w:ascii="Calibri" w:hAnsi="Calibri"/>
                <w:sz w:val="18"/>
              </w:rPr>
              <w:t>INC.01, INC.02</w:t>
            </w:r>
          </w:p>
        </w:tc>
      </w:tr>
      <w:tr>
        <w:tc>
          <w:tcPr>
            <w:tcW w:type="dxa" w:w="1100"/>
            <w:vAlign w:val="center"/>
            <w:tcMar>
              <w:top w:w="80" w:type="dxa"/>
              <w:start w:w="120" w:type="dxa"/>
              <w:bottom w:w="80" w:type="dxa"/>
              <w:end w:w="120" w:type="dxa"/>
            </w:tcMar>
          </w:tcPr>
          <w:p>
            <w:pPr>
              <w:spacing w:after="0"/>
            </w:pPr>
            <w:r>
              <w:rPr>
                <w:rFonts w:ascii="Calibri" w:hAnsi="Calibri"/>
                <w:sz w:val="18"/>
              </w:rPr>
              <w:t>NOT</w:t>
            </w:r>
          </w:p>
        </w:tc>
        <w:tc>
          <w:tcPr>
            <w:tcW w:type="dxa" w:w="3650"/>
            <w:vAlign w:val="center"/>
            <w:tcMar>
              <w:top w:w="80" w:type="dxa"/>
              <w:start w:w="120" w:type="dxa"/>
              <w:bottom w:w="80" w:type="dxa"/>
              <w:end w:w="120" w:type="dxa"/>
            </w:tcMar>
          </w:tcPr>
          <w:p>
            <w:pPr>
              <w:spacing w:after="0"/>
            </w:pPr>
            <w:r>
              <w:rPr>
                <w:rFonts w:ascii="Calibri" w:hAnsi="Calibri"/>
                <w:sz w:val="18"/>
              </w:rPr>
              <w:t>FR-10, FR-12, FR-13, NFR-05, NFR-13</w:t>
            </w:r>
          </w:p>
        </w:tc>
        <w:tc>
          <w:tcPr>
            <w:tcW w:type="dxa" w:w="1150"/>
            <w:vAlign w:val="center"/>
            <w:tcMar>
              <w:top w:w="80" w:type="dxa"/>
              <w:start w:w="120" w:type="dxa"/>
              <w:bottom w:w="80" w:type="dxa"/>
              <w:end w:w="120" w:type="dxa"/>
            </w:tcMar>
          </w:tcPr>
          <w:p>
            <w:pPr>
              <w:spacing w:after="0"/>
            </w:pPr>
            <w:r>
              <w:rPr>
                <w:rFonts w:ascii="Calibri" w:hAnsi="Calibri"/>
                <w:sz w:val="18"/>
              </w:rPr>
              <w:t>High</w:t>
            </w:r>
          </w:p>
        </w:tc>
        <w:tc>
          <w:tcPr>
            <w:tcW w:type="dxa" w:w="3460"/>
            <w:vAlign w:val="center"/>
            <w:tcMar>
              <w:top w:w="80" w:type="dxa"/>
              <w:start w:w="120" w:type="dxa"/>
              <w:bottom w:w="80" w:type="dxa"/>
              <w:end w:w="120" w:type="dxa"/>
            </w:tcMar>
          </w:tcPr>
          <w:p>
            <w:pPr>
              <w:spacing w:after="0"/>
            </w:pPr>
            <w:r>
              <w:rPr>
                <w:rFonts w:ascii="Calibri" w:hAnsi="Calibri"/>
                <w:sz w:val="18"/>
              </w:rPr>
              <w:t>NOT.01</w:t>
            </w:r>
          </w:p>
        </w:tc>
      </w:tr>
      <w:tr>
        <w:tc>
          <w:tcPr>
            <w:tcW w:type="dxa" w:w="1100"/>
            <w:vAlign w:val="center"/>
            <w:tcMar>
              <w:top w:w="80" w:type="dxa"/>
              <w:start w:w="120" w:type="dxa"/>
              <w:bottom w:w="80" w:type="dxa"/>
              <w:end w:w="120" w:type="dxa"/>
            </w:tcMar>
          </w:tcPr>
          <w:p>
            <w:pPr>
              <w:spacing w:after="0"/>
            </w:pPr>
            <w:r>
              <w:rPr>
                <w:rFonts w:ascii="Calibri" w:hAnsi="Calibri"/>
                <w:sz w:val="18"/>
              </w:rPr>
              <w:t>EMP</w:t>
            </w:r>
          </w:p>
        </w:tc>
        <w:tc>
          <w:tcPr>
            <w:tcW w:type="dxa" w:w="3650"/>
            <w:vAlign w:val="center"/>
            <w:tcMar>
              <w:top w:w="80" w:type="dxa"/>
              <w:start w:w="120" w:type="dxa"/>
              <w:bottom w:w="80" w:type="dxa"/>
              <w:end w:w="120" w:type="dxa"/>
            </w:tcMar>
          </w:tcPr>
          <w:p>
            <w:pPr>
              <w:spacing w:after="0"/>
            </w:pPr>
            <w:r>
              <w:rPr>
                <w:rFonts w:ascii="Calibri" w:hAnsi="Calibri"/>
                <w:sz w:val="18"/>
              </w:rPr>
              <w:t>FR-18, NFR-06, NFR-08</w:t>
            </w:r>
          </w:p>
        </w:tc>
        <w:tc>
          <w:tcPr>
            <w:tcW w:type="dxa" w:w="1150"/>
            <w:vAlign w:val="center"/>
            <w:tcMar>
              <w:top w:w="80" w:type="dxa"/>
              <w:start w:w="120" w:type="dxa"/>
              <w:bottom w:w="80" w:type="dxa"/>
              <w:end w:w="120" w:type="dxa"/>
            </w:tcMar>
          </w:tcPr>
          <w:p>
            <w:pPr>
              <w:spacing w:after="0"/>
            </w:pPr>
            <w:r>
              <w:rPr>
                <w:rFonts w:ascii="Calibri" w:hAnsi="Calibri"/>
                <w:sz w:val="18"/>
              </w:rPr>
              <w:t>Medium</w:t>
            </w:r>
          </w:p>
        </w:tc>
        <w:tc>
          <w:tcPr>
            <w:tcW w:type="dxa" w:w="3460"/>
            <w:vAlign w:val="center"/>
            <w:tcMar>
              <w:top w:w="80" w:type="dxa"/>
              <w:start w:w="120" w:type="dxa"/>
              <w:bottom w:w="80" w:type="dxa"/>
              <w:end w:w="120" w:type="dxa"/>
            </w:tcMar>
          </w:tcPr>
          <w:p>
            <w:pPr>
              <w:spacing w:after="0"/>
            </w:pPr>
            <w:r>
              <w:rPr>
                <w:rFonts w:ascii="Calibri" w:hAnsi="Calibri"/>
                <w:sz w:val="18"/>
              </w:rPr>
              <w:t>EMP.01</w:t>
            </w:r>
          </w:p>
        </w:tc>
      </w:tr>
      <w:tr>
        <w:tc>
          <w:tcPr>
            <w:tcW w:type="dxa" w:w="1100"/>
            <w:vAlign w:val="center"/>
            <w:tcMar>
              <w:top w:w="80" w:type="dxa"/>
              <w:start w:w="120" w:type="dxa"/>
              <w:bottom w:w="80" w:type="dxa"/>
              <w:end w:w="120" w:type="dxa"/>
            </w:tcMar>
          </w:tcPr>
          <w:p>
            <w:pPr>
              <w:spacing w:after="0"/>
            </w:pPr>
            <w:r>
              <w:rPr>
                <w:rFonts w:ascii="Calibri" w:hAnsi="Calibri"/>
                <w:sz w:val="18"/>
              </w:rPr>
              <w:t>FRU</w:t>
            </w:r>
          </w:p>
        </w:tc>
        <w:tc>
          <w:tcPr>
            <w:tcW w:type="dxa" w:w="3650"/>
            <w:vAlign w:val="center"/>
            <w:tcMar>
              <w:top w:w="80" w:type="dxa"/>
              <w:start w:w="120" w:type="dxa"/>
              <w:bottom w:w="80" w:type="dxa"/>
              <w:end w:w="120" w:type="dxa"/>
            </w:tcMar>
          </w:tcPr>
          <w:p>
            <w:pPr>
              <w:spacing w:after="0"/>
            </w:pPr>
            <w:r>
              <w:rPr>
                <w:rFonts w:ascii="Calibri" w:hAnsi="Calibri"/>
                <w:sz w:val="18"/>
              </w:rPr>
              <w:t>FR-18, NFR-08</w:t>
            </w:r>
          </w:p>
        </w:tc>
        <w:tc>
          <w:tcPr>
            <w:tcW w:type="dxa" w:w="1150"/>
            <w:vAlign w:val="center"/>
            <w:tcMar>
              <w:top w:w="80" w:type="dxa"/>
              <w:start w:w="120" w:type="dxa"/>
              <w:bottom w:w="80" w:type="dxa"/>
              <w:end w:w="120" w:type="dxa"/>
            </w:tcMar>
          </w:tcPr>
          <w:p>
            <w:pPr>
              <w:spacing w:after="0"/>
            </w:pPr>
            <w:r>
              <w:rPr>
                <w:rFonts w:ascii="Calibri" w:hAnsi="Calibri"/>
                <w:sz w:val="18"/>
              </w:rPr>
              <w:t>Medium</w:t>
            </w:r>
          </w:p>
        </w:tc>
        <w:tc>
          <w:tcPr>
            <w:tcW w:type="dxa" w:w="3460"/>
            <w:vAlign w:val="center"/>
            <w:tcMar>
              <w:top w:w="80" w:type="dxa"/>
              <w:start w:w="120" w:type="dxa"/>
              <w:bottom w:w="80" w:type="dxa"/>
              <w:end w:w="120" w:type="dxa"/>
            </w:tcMar>
          </w:tcPr>
          <w:p>
            <w:pPr>
              <w:spacing w:after="0"/>
            </w:pPr>
            <w:r>
              <w:rPr>
                <w:rFonts w:ascii="Calibri" w:hAnsi="Calibri"/>
                <w:sz w:val="18"/>
              </w:rPr>
              <w:t>FRU.01</w:t>
            </w:r>
          </w:p>
        </w:tc>
      </w:tr>
      <w:tr>
        <w:tc>
          <w:tcPr>
            <w:tcW w:type="dxa" w:w="1100"/>
            <w:vAlign w:val="center"/>
            <w:tcMar>
              <w:top w:w="80" w:type="dxa"/>
              <w:start w:w="120" w:type="dxa"/>
              <w:bottom w:w="80" w:type="dxa"/>
              <w:end w:w="120" w:type="dxa"/>
            </w:tcMar>
          </w:tcPr>
          <w:p>
            <w:pPr>
              <w:spacing w:after="0"/>
            </w:pPr>
            <w:r>
              <w:rPr>
                <w:rFonts w:ascii="Calibri" w:hAnsi="Calibri"/>
                <w:sz w:val="18"/>
              </w:rPr>
              <w:t>REP</w:t>
            </w:r>
          </w:p>
        </w:tc>
        <w:tc>
          <w:tcPr>
            <w:tcW w:type="dxa" w:w="3650"/>
            <w:vAlign w:val="center"/>
            <w:tcMar>
              <w:top w:w="80" w:type="dxa"/>
              <w:start w:w="120" w:type="dxa"/>
              <w:bottom w:w="80" w:type="dxa"/>
              <w:end w:w="120" w:type="dxa"/>
            </w:tcMar>
          </w:tcPr>
          <w:p>
            <w:pPr>
              <w:spacing w:after="0"/>
            </w:pPr>
            <w:r>
              <w:rPr>
                <w:rFonts w:ascii="Calibri" w:hAnsi="Calibri"/>
                <w:sz w:val="18"/>
              </w:rPr>
              <w:t>FR-19, FR-20, NFR-10</w:t>
            </w:r>
          </w:p>
        </w:tc>
        <w:tc>
          <w:tcPr>
            <w:tcW w:type="dxa" w:w="1150"/>
            <w:vAlign w:val="center"/>
            <w:tcMar>
              <w:top w:w="80" w:type="dxa"/>
              <w:start w:w="120" w:type="dxa"/>
              <w:bottom w:w="80" w:type="dxa"/>
              <w:end w:w="120" w:type="dxa"/>
            </w:tcMar>
          </w:tcPr>
          <w:p>
            <w:pPr>
              <w:spacing w:after="0"/>
            </w:pPr>
            <w:r>
              <w:rPr>
                <w:rFonts w:ascii="Calibri" w:hAnsi="Calibri"/>
                <w:sz w:val="18"/>
              </w:rPr>
              <w:t>Medium</w:t>
            </w:r>
          </w:p>
        </w:tc>
        <w:tc>
          <w:tcPr>
            <w:tcW w:type="dxa" w:w="3460"/>
            <w:vAlign w:val="center"/>
            <w:tcMar>
              <w:top w:w="80" w:type="dxa"/>
              <w:start w:w="120" w:type="dxa"/>
              <w:bottom w:w="80" w:type="dxa"/>
              <w:end w:w="120" w:type="dxa"/>
            </w:tcMar>
          </w:tcPr>
          <w:p>
            <w:pPr>
              <w:spacing w:after="0"/>
            </w:pPr>
            <w:r>
              <w:rPr>
                <w:rFonts w:ascii="Calibri" w:hAnsi="Calibri"/>
                <w:sz w:val="18"/>
              </w:rPr>
              <w:t>REP.01</w:t>
            </w:r>
          </w:p>
        </w:tc>
      </w:tr>
    </w:tbl>
    <w:p>
      <w:pPr>
        <w:pStyle w:val="Heading1"/>
      </w:pPr>
      <w:r>
        <w:t>7. Detailed Test Cases</w:t>
      </w:r>
    </w:p>
    <w:p>
      <w:pPr>
        <w:pStyle w:val="Heading2"/>
      </w:pPr>
      <w:r>
        <w:t>AUTH.01</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that valid users can log in and are routed according to their roles.</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FR-01, FR-04, UC-01</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High</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Backend is running and seed users exist.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admin@flamescope.com, manager@flamescope.com, employee@flamescope.com, fire@flamescope.com with their seeded passwords.</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Open the mobile application.</w:t>
              <w:br/>
              <w:t>2. Log in separately with Admin/Manager, Employee, and Fire Response Unit accounts.</w:t>
              <w:br/>
              <w:t>3. Observe the home screen and available actions for each role.</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Each valid account logs in successfully. Admin/Manager users see decision and incident management functions; Employee sees emergency-related functions; Fire Response Unit sees response queue functions.</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2"/>
      </w:pPr>
      <w:r>
        <w:t>AUTH.02</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that role restrictions prevent unauthorized live camera/decision actions.</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FR-04, FR-16, FR-17</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High</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At least one incident exists or camera list is available.</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Employee or Fire Response Unit account.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Log in as Employee.</w:t>
              <w:br/>
              <w:t>2. Open an incident detail page.</w:t>
              <w:br/>
              <w:t>3. Check whether manager-only confirm/dismiss controls or unrestricted live camera access are available.</w:t>
              <w:br/>
              <w:t>4. Repeat with Fire Response Unit account.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Employee and Fire Response Unit users cannot confirm/dismiss incidents and cannot access unrestricted live camera streams. Only their role-specific actions are visible.</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2"/>
      </w:pPr>
      <w:r>
        <w:t>CAM.01</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that a controlled camera/video source can be opened and reset for repeatable validation.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FR-05, FR-14, FR-15</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High</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Backend, mobile app, and controlled video source are available.</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Test camera record configured with controlled video source.</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Log in as Admin or Manager.</w:t>
              <w:br/>
              <w:t>2. Open the configured test camera from the mobile application.</w:t>
              <w:br/>
              <w:t>3. Wait until the video starts.</w:t>
              <w:br/>
              <w:t>4. Navigate back and open Lobby Kamera again or press the restart control.</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The configured camera view displays the controlled video source. Each restart begins from the beginning of the stream so that the same early fire frames can be validated consistently.</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2"/>
      </w:pPr>
      <w:r>
        <w:t>CAM.02</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that Bilgisayar Webcam live stream can be opened during the demo.</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FR-05, FR-14, FR-15, NFR-04</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High</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RTSP webcam server and detector environment are running.</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Bilgisayar Webcam configured with local RTSP URL.</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Start backend, RTSP webcam server, and detector.</w:t>
              <w:br/>
              <w:t>2. Log in as Admin/Manager.</w:t>
              <w:br/>
              <w:t>3. Open Bilgisayar Webcam from the camera list.</w:t>
              <w:br/>
              <w:t>4. Observe the live video display.</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The computer webcam stream opens without application crash. The live stream is usable for detection demonstration and incident verification.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2"/>
      </w:pPr>
      <w:r>
        <w:t>DET.01</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early fire detection using a controlled video stream scenario.</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FR-08, FR-09, NFR-12</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High</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Detector and backend are running; a controlled indoor fire video stream is configured as the camera input.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Controlled indoor fire/smoke video sample used as repeatable validation input.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Open the configured test camera from the mobile application.</w:t>
              <w:br/>
              <w:t>2. Start or restart the controlled video stream.</w:t>
              <w:br/>
              <w:t>3. Observe notification timing and incident list.</w:t>
              <w:br/>
              <w:t>4. Open the generated incident.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A fire incident is created shortly after visible flame/smoke appears in the controlled stream. The incident contains a relevant fire-scene snapshot, DETECTED status, camera name, location, timestamp, and risk score.</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2"/>
      </w:pPr>
      <w:r>
        <w:t>DET.02</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fire detection from the computer webcam using a visible flame source.</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FR-08, FR-09, NFR-11, NFR-12</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High</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Computer webcam stream is working and detector is running.</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Small lighter/flame source shown clearly in the expected webcam detection area.</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Open the computer webcam stream.</w:t>
              <w:br/>
              <w:t>2. Present a clearly visible flame source to the webcam.</w:t>
              <w:br/>
              <w:t>3. Keep the flame stable for several seconds.</w:t>
              <w:br/>
              <w:t>4. Observe whether a new incident and notification are produced.</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The detector creates a Bilgisayar Webcam incident shortly after the flame becomes visible. The snapshot contains the visible flame, not only a bright lamp/reflection, and the risk score is shown in incident details.</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2"/>
      </w:pPr>
      <w:r>
        <w:t>DET.03</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false-alarm reduction when no flame is present.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NFR-11, NFR-16</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High</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Webcam detector is running in the normal demo environment.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No flame, no bright hand-held light source in frame.</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Start backend and detector.</w:t>
              <w:br/>
              <w:t>2. Keep the webcam scene stable with no flame for 60 seconds.</w:t>
              <w:br/>
              <w:t>3. Monitor notifications and incident list.</w:t>
              <w:br/>
              <w:t>4. Check generated snapshots folder if needed.</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No new fire incident or repeated notification is generated during the no-flame observation interval.</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2"/>
      </w:pPr>
      <w:r>
        <w:t>INC.01</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that Manager/Admin can confirm a detected fire and trigger emergency escalation.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FR-11, FR-12, FR-17, NFR-14</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High</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A DETECTED incident exists.</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Manager or Admin account; detected incident from Lobby or Webcam.</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Log in as Manager/Admin.</w:t>
              <w:br/>
              <w:t>2. Open the detected incident detail.</w:t>
              <w:br/>
              <w:t>3. Review snapshot, risk score, camera name, and location.</w:t>
              <w:br/>
              <w:t>4. Press the confirm/approve fire action.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Incident status changes to CONFIRMED. The confirmation action completes within an acceptable UI response time and produces a confirmed emergency notification workflow.</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2"/>
      </w:pPr>
      <w:r>
        <w:t>INC.02</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that Manager/Admin can dismiss a false alarm.</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FR-11, FR-13, FR-17</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High</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A DETECTED incident exists and is considered false alarm by the reviewer.</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Manager/Admin account.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Open the detected incident detail.</w:t>
              <w:br/>
              <w:t>2. Press the false alarm/dismiss action.</w:t>
              <w:br/>
              <w:t>3. Return to the incident list and reopen the incident.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Incident status changes to DISMISSED. The event remains in history for traceability and does not trigger company-wide confirmed fire notifications.</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2"/>
      </w:pPr>
      <w:r>
        <w:t>NOT.01</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role-based notification routing for detected and confirmed incidents.</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FR-10, FR-12, FR-13, NFR-05, NFR-13</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High</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Two emulator sessions or devices are available: one Manager/Admin and one Employee or Fire Response Unit.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Detected incident from Lobby Kamera or Bilgisayar Webcam.</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Log in as Manager/Admin on one emulator.</w:t>
              <w:br/>
              <w:t>2. Log in as Employee or Fire Response Unit on another emulator.</w:t>
              <w:br/>
              <w:t>3. Trigger a fire detection.</w:t>
              <w:br/>
              <w:t>4. Observe which user receives the initial detected notification.</w:t>
              <w:br/>
              <w:t>5. Manager/Admin confirms the incident.</w:t>
              <w:br/>
              <w:t>6. Observe confirmed emergency notification on Employee/Fire Response Unit device.</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Initial detected notification is delivered to decision roles. After confirmation, Employee/Fire Response Unit receives a clear emergency notification with camera/location/risk information. Notification delivery should be fast enough for the live demo.</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2"/>
      </w:pPr>
      <w:r>
        <w:t>EMP.01</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Employee emergency screen and safety-status reporting.</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FR-18, NFR-06, NFR-08</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Medium</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A CONFIRMED incident exists.</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Employee account.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Log in as Employee.</w:t>
              <w:br/>
              <w:t>2. Open active emergency/incident screen.</w:t>
              <w:br/>
              <w:t>3. Review camera name, risk level, and emergency instructions.</w:t>
              <w:br/>
              <w:t>4. Submit Guvendeyim or Yardima ihtiyacim var action.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Employee can view relevant confirmed emergency information and submit a safety status. The application shows a clear success message and stores/sends the status to the backend.</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2"/>
      </w:pPr>
      <w:r>
        <w:t>FRU.01</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Fire Response Unit queue and response status updates.</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FR-18, NFR-08</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Medium</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At least one CONFIRMED incident exists.</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Fire Response Unit account.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Log in as Fire Response Unit.</w:t>
              <w:br/>
              <w:t>2. Open response queue.</w:t>
              <w:br/>
              <w:t>3. Select the confirmed incident.</w:t>
              <w:br/>
              <w:t>4. Submit Yola cikildi, Olay yerine ulasildi, or Kontrol altina alindi status update.</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Confirmed incidents are visible in the response queue, preferably ordered by risk. Status updates are accepted and visible as part of the incident workflow/trace.</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2"/>
      </w:pPr>
      <w:r>
        <w:t>REP.01</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pPr>
              <w:spacing w:after="0"/>
            </w:pPr>
            <w:r>
              <w:rPr>
                <w:rFonts w:ascii="Calibri" w:hAnsi="Calibri"/>
                <w:b/>
                <w:sz w:val="18"/>
              </w:rPr>
              <w:t>Purpose</w:t>
            </w:r>
          </w:p>
        </w:tc>
        <w:tc>
          <w:tcPr>
            <w:tcW w:type="dxa" w:w="7460"/>
            <w:vAlign w:val="center"/>
            <w:tcMar>
              <w:top w:w="80" w:type="dxa"/>
              <w:start w:w="120" w:type="dxa"/>
              <w:bottom w:w="80" w:type="dxa"/>
              <w:end w:w="120" w:type="dxa"/>
            </w:tcMar>
          </w:tcPr>
          <w:p>
            <w:pPr>
              <w:spacing w:after="0"/>
            </w:pPr>
            <w:r>
              <w:rPr>
                <w:rFonts w:ascii="Calibri" w:hAnsi="Calibri"/>
                <w:sz w:val="18"/>
              </w:rPr>
              <w:t>Verify that Admin/Manager can inspect incident summary and history.</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Related Requirement(s)</w:t>
            </w:r>
          </w:p>
        </w:tc>
        <w:tc>
          <w:tcPr>
            <w:tcW w:type="dxa" w:w="7460"/>
            <w:vAlign w:val="center"/>
            <w:tcMar>
              <w:top w:w="80" w:type="dxa"/>
              <w:start w:w="120" w:type="dxa"/>
              <w:bottom w:w="80" w:type="dxa"/>
              <w:end w:w="120" w:type="dxa"/>
            </w:tcMar>
          </w:tcPr>
          <w:p>
            <w:pPr>
              <w:spacing w:after="0"/>
            </w:pPr>
            <w:r>
              <w:rPr>
                <w:rFonts w:ascii="Calibri" w:hAnsi="Calibri"/>
                <w:sz w:val="18"/>
              </w:rPr>
              <w:t>FR-19, FR-20, UC-10, NFR-10</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Priority</w:t>
            </w:r>
          </w:p>
        </w:tc>
        <w:tc>
          <w:tcPr>
            <w:tcW w:type="dxa" w:w="7460"/>
            <w:vAlign w:val="center"/>
            <w:tcMar>
              <w:top w:w="80" w:type="dxa"/>
              <w:start w:w="120" w:type="dxa"/>
              <w:bottom w:w="80" w:type="dxa"/>
              <w:end w:w="120" w:type="dxa"/>
            </w:tcMar>
          </w:tcPr>
          <w:p>
            <w:pPr>
              <w:spacing w:after="0"/>
            </w:pPr>
            <w:r>
              <w:rPr>
                <w:rFonts w:ascii="Calibri" w:hAnsi="Calibri"/>
                <w:sz w:val="18"/>
              </w:rPr>
              <w:t>Medium</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Precondition</w:t>
            </w:r>
          </w:p>
        </w:tc>
        <w:tc>
          <w:tcPr>
            <w:tcW w:type="dxa" w:w="7460"/>
            <w:vAlign w:val="center"/>
            <w:tcMar>
              <w:top w:w="80" w:type="dxa"/>
              <w:start w:w="120" w:type="dxa"/>
              <w:bottom w:w="80" w:type="dxa"/>
              <w:end w:w="120" w:type="dxa"/>
            </w:tcMar>
          </w:tcPr>
          <w:p>
            <w:pPr>
              <w:spacing w:after="0"/>
            </w:pPr>
            <w:r>
              <w:rPr>
                <w:rFonts w:ascii="Calibri" w:hAnsi="Calibri"/>
                <w:sz w:val="18"/>
              </w:rPr>
              <w:t>Several incidents exist with DETECTED, CONFIRMED, or DISMISSED states.</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Test Data</w:t>
            </w:r>
          </w:p>
        </w:tc>
        <w:tc>
          <w:tcPr>
            <w:tcW w:type="dxa" w:w="7460"/>
            <w:vAlign w:val="center"/>
            <w:tcMar>
              <w:top w:w="80" w:type="dxa"/>
              <w:start w:w="120" w:type="dxa"/>
              <w:bottom w:w="80" w:type="dxa"/>
              <w:end w:w="120" w:type="dxa"/>
            </w:tcMar>
          </w:tcPr>
          <w:p>
            <w:pPr>
              <w:spacing w:after="0"/>
            </w:pPr>
            <w:r>
              <w:rPr>
                <w:rFonts w:ascii="Calibri" w:hAnsi="Calibri"/>
                <w:sz w:val="18"/>
              </w:rPr>
              <w:t>Admin or Manager account.</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Steps</w:t>
            </w:r>
          </w:p>
        </w:tc>
        <w:tc>
          <w:tcPr>
            <w:tcW w:type="dxa" w:w="7460"/>
            <w:vAlign w:val="center"/>
            <w:tcMar>
              <w:top w:w="80" w:type="dxa"/>
              <w:start w:w="120" w:type="dxa"/>
              <w:bottom w:w="80" w:type="dxa"/>
              <w:end w:w="120" w:type="dxa"/>
            </w:tcMar>
          </w:tcPr>
          <w:p>
            <w:pPr>
              <w:spacing w:after="0"/>
            </w:pPr>
            <w:r>
              <w:rPr>
                <w:rFonts w:ascii="Calibri" w:hAnsi="Calibri"/>
                <w:sz w:val="18"/>
              </w:rPr>
              <w:t>1. Log in as Admin/Manager.</w:t>
              <w:br/>
              <w:t>2. Open dashboard or incident summary panel.</w:t>
              <w:br/>
              <w:t>3. Compare displayed counts/risk information with visible incident history.</w:t>
              <w:br/>
              <w:t>4. Open individual incidents to check stored metadata.</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Expected Result</w:t>
            </w:r>
          </w:p>
        </w:tc>
        <w:tc>
          <w:tcPr>
            <w:tcW w:type="dxa" w:w="7460"/>
            <w:vAlign w:val="center"/>
            <w:tcMar>
              <w:top w:w="80" w:type="dxa"/>
              <w:start w:w="120" w:type="dxa"/>
              <w:bottom w:w="80" w:type="dxa"/>
              <w:end w:w="120" w:type="dxa"/>
            </w:tcMar>
          </w:tcPr>
          <w:p>
            <w:pPr>
              <w:spacing w:after="0"/>
            </w:pPr>
            <w:r>
              <w:rPr>
                <w:rFonts w:ascii="Calibri" w:hAnsi="Calibri"/>
                <w:sz w:val="18"/>
              </w:rPr>
              <w:t>Dashboard/reporting area shows usable summary metrics such as total incidents, active/confirmed/dismissed counts, and average risk. Incident history preserves camera, location, timestamp, status, and snapshot for traceability.</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Actual Result</w:t>
            </w:r>
          </w:p>
        </w:tc>
        <w:tc>
          <w:tcPr>
            <w:tcW w:type="dxa" w:w="7460"/>
            <w:vAlign w:val="center"/>
            <w:tcMar>
              <w:top w:w="80" w:type="dxa"/>
              <w:start w:w="120" w:type="dxa"/>
              <w:bottom w:w="80" w:type="dxa"/>
              <w:end w:w="120" w:type="dxa"/>
            </w:tcMar>
          </w:tcPr>
          <w:p>
            <w:pPr>
              <w:spacing w:after="0"/>
            </w:pPr>
            <w:r>
              <w:rPr>
                <w:rFonts w:ascii="Calibri" w:hAnsi="Calibri"/>
                <w:sz w:val="18"/>
              </w:rPr>
              <w:t>To be recorded during execution.</w:t>
            </w:r>
          </w:p>
        </w:tc>
      </w:tr>
      <w:tr>
        <w:tc>
          <w:tcPr>
            <w:tcW w:type="dxa" w:w="1900"/>
            <w:shd w:fill="F2F4F7"/>
            <w:vAlign w:val="center"/>
            <w:tcMar>
              <w:top w:w="80" w:type="dxa"/>
              <w:start w:w="120" w:type="dxa"/>
              <w:bottom w:w="80" w:type="dxa"/>
              <w:end w:w="120" w:type="dxa"/>
            </w:tcMar>
          </w:tcPr>
          <w:p>
            <w:pPr>
              <w:spacing w:after="0"/>
            </w:pPr>
            <w:r>
              <w:rPr>
                <w:rFonts w:ascii="Calibri" w:hAnsi="Calibri"/>
                <w:b/>
                <w:sz w:val="18"/>
              </w:rPr>
              <w:t>Pass / Fail</w:t>
            </w:r>
          </w:p>
        </w:tc>
        <w:tc>
          <w:tcPr>
            <w:tcW w:type="dxa" w:w="7460"/>
            <w:vAlign w:val="center"/>
            <w:tcMar>
              <w:top w:w="80" w:type="dxa"/>
              <w:start w:w="120" w:type="dxa"/>
              <w:bottom w:w="80" w:type="dxa"/>
              <w:end w:w="120" w:type="dxa"/>
            </w:tcMar>
          </w:tcPr>
          <w:p>
            <w:pPr>
              <w:spacing w:after="0"/>
            </w:pPr>
            <w:r>
              <w:rPr>
                <w:rFonts w:ascii="Calibri" w:hAnsi="Calibri"/>
                <w:sz w:val="18"/>
              </w:rPr>
              <w:t>Pass if the expected result is observed without workaround; otherwise Fail.</w:t>
            </w:r>
          </w:p>
        </w:tc>
      </w:tr>
    </w:tbl>
    <w:p/>
    <w:p>
      <w:pPr>
        <w:pStyle w:val="Heading1"/>
      </w:pPr>
      <w:r>
        <w:t>Appendix A. Test Environment</w:t>
      </w:r>
    </w:p>
    <w:p>
      <w:r>
        <w:t>Recommended local demo environment: Windows development machine, Python 3.12 virtual environment, FastAPI backend on port 8000, RTSP webcam server on port 8555, detector service, Flutter Android emulator(s), and SQLite development database. The mobile application should be built with FLAMESCOPE_API_HOST pointing to the host computer IP address when using emulators or physical devices.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563"/>
        <w:sz w:val="18"/>
      </w:rPr>
      <w:t>Fire Detect - CENG 408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4B5563"/>
        <w:sz w:val="18"/>
      </w:rPr>
      <w:t>FlameScope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