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1.svg" ContentType="image/svg+xml"/>
  <Override PartName="/word/media/image13.svg" ContentType="image/svg+xml"/>
  <Override PartName="/word/media/image22.svg" ContentType="image/svg+xml"/>
  <Override PartName="/word/media/image9.svg" ContentType="image/sv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8FF7A">
      <w:pPr>
        <w:spacing w:before="240"/>
        <w:jc w:val="center"/>
        <w:rPr>
          <w:rFonts w:eastAsia="黑体"/>
          <w:sz w:val="36"/>
        </w:rPr>
      </w:pPr>
      <w:r>
        <w:rPr>
          <w:rFonts w:hint="eastAsia" w:eastAsia="黑体"/>
          <w:sz w:val="36"/>
        </w:rPr>
        <w:t>重庆大学本科学生毕业论文（设计）</w:t>
      </w:r>
    </w:p>
    <w:p w14:paraId="4C3DBC78">
      <w:pPr>
        <w:jc w:val="center"/>
        <w:rPr>
          <w:rFonts w:eastAsia="黑体"/>
          <w:sz w:val="36"/>
        </w:rPr>
      </w:pPr>
    </w:p>
    <w:p w14:paraId="77741691">
      <w:pPr>
        <w:jc w:val="center"/>
        <w:rPr>
          <w:rFonts w:eastAsia="黑体"/>
          <w:sz w:val="36"/>
        </w:rPr>
      </w:pPr>
    </w:p>
    <w:p w14:paraId="3B92A3C0">
      <w:pPr>
        <w:pStyle w:val="18"/>
      </w:pPr>
      <w:r>
        <w:rPr>
          <w:rFonts w:hint="eastAsia"/>
        </w:rPr>
        <w:t>基于大模型和区块链的加密货币模拟交易所</w:t>
      </w:r>
      <w:commentRangeStart w:id="0"/>
      <w:r>
        <w:rPr>
          <w:rFonts w:hint="eastAsia"/>
        </w:rPr>
        <w:t>设</w:t>
      </w:r>
      <w:commentRangeEnd w:id="0"/>
      <w:r>
        <w:rPr>
          <w:rStyle w:val="31"/>
          <w:rFonts w:hint="eastAsia"/>
          <w:sz w:val="44"/>
          <w:szCs w:val="24"/>
        </w:rPr>
        <w:commentReference w:id="0"/>
      </w:r>
      <w:r>
        <w:rPr>
          <w:rFonts w:hint="eastAsia"/>
        </w:rPr>
        <w:t>计实现</w:t>
      </w:r>
      <w:bookmarkStart w:id="84" w:name="_GoBack"/>
      <w:bookmarkEnd w:id="84"/>
    </w:p>
    <w:p w14:paraId="03A0C5F5">
      <w:pPr>
        <w:jc w:val="center"/>
      </w:pPr>
    </w:p>
    <w:p w14:paraId="49D70D3D">
      <w:pPr>
        <w:jc w:val="center"/>
      </w:pPr>
    </w:p>
    <w:p w14:paraId="5A23B0B4">
      <w:pPr>
        <w:jc w:val="center"/>
      </w:pPr>
    </w:p>
    <w:p w14:paraId="263ED78A">
      <w:pPr>
        <w:jc w:val="center"/>
        <w:rPr>
          <w:rFonts w:eastAsia="楷体_GB2312"/>
          <w:sz w:val="28"/>
        </w:rPr>
      </w:pPr>
      <w:r>
        <w:drawing>
          <wp:inline distT="0" distB="0" distL="114300" distR="114300">
            <wp:extent cx="1534795" cy="1504950"/>
            <wp:effectExtent l="0" t="0" r="8255" b="0"/>
            <wp:docPr id="108" name="图片 1"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 descr="IMG_1332"/>
                    <pic:cNvPicPr>
                      <a:picLocks noChangeAspect="1"/>
                    </pic:cNvPicPr>
                  </pic:nvPicPr>
                  <pic:blipFill>
                    <a:blip r:embed="rId27"/>
                    <a:stretch>
                      <a:fillRect/>
                    </a:stretch>
                  </pic:blipFill>
                  <pic:spPr>
                    <a:xfrm>
                      <a:off x="0" y="0"/>
                      <a:ext cx="1534795" cy="1504950"/>
                    </a:xfrm>
                    <a:prstGeom prst="rect">
                      <a:avLst/>
                    </a:prstGeom>
                    <a:noFill/>
                    <a:ln>
                      <a:noFill/>
                    </a:ln>
                  </pic:spPr>
                </pic:pic>
              </a:graphicData>
            </a:graphic>
          </wp:inline>
        </w:drawing>
      </w:r>
    </w:p>
    <w:p w14:paraId="53DF7D0F">
      <w:pPr>
        <w:ind w:right="17" w:firstLine="2520"/>
        <w:rPr>
          <w:rFonts w:eastAsia="黑体"/>
          <w:sz w:val="32"/>
        </w:rPr>
      </w:pPr>
    </w:p>
    <w:p w14:paraId="3FCD7D91">
      <w:pPr>
        <w:ind w:right="17" w:firstLine="2160"/>
        <w:rPr>
          <w:rFonts w:eastAsia="黑体"/>
          <w:sz w:val="32"/>
        </w:rPr>
      </w:pPr>
    </w:p>
    <w:p w14:paraId="49570AB4">
      <w:pPr>
        <w:ind w:right="17" w:firstLine="1980"/>
        <w:rPr>
          <w:rFonts w:eastAsia="黑体"/>
          <w:sz w:val="32"/>
        </w:rPr>
      </w:pPr>
      <w:r>
        <w:rPr>
          <w:rFonts w:hint="eastAsia" w:eastAsia="黑体"/>
          <w:sz w:val="32"/>
        </w:rPr>
        <w:t>学    生：胡力文</w:t>
      </w:r>
    </w:p>
    <w:p w14:paraId="2B426BDD">
      <w:pPr>
        <w:ind w:right="17" w:firstLine="1980"/>
        <w:rPr>
          <w:rFonts w:eastAsia="黑体"/>
          <w:sz w:val="32"/>
        </w:rPr>
      </w:pPr>
      <w:r>
        <w:rPr>
          <w:rFonts w:hint="eastAsia" w:eastAsia="黑体"/>
          <w:sz w:val="32"/>
        </w:rPr>
        <w:t>学    号：</w:t>
      </w:r>
      <w:r>
        <w:rPr>
          <w:rFonts w:eastAsia="黑体"/>
          <w:sz w:val="32"/>
        </w:rPr>
        <w:t>20</w:t>
      </w:r>
      <w:r>
        <w:rPr>
          <w:rFonts w:hint="eastAsia" w:eastAsia="黑体"/>
          <w:sz w:val="32"/>
        </w:rPr>
        <w:t>222053</w:t>
      </w:r>
    </w:p>
    <w:p w14:paraId="2E30DA46">
      <w:pPr>
        <w:ind w:firstLine="1980"/>
        <w:rPr>
          <w:rFonts w:eastAsia="黑体"/>
          <w:sz w:val="32"/>
        </w:rPr>
      </w:pPr>
      <w:r>
        <w:rPr>
          <w:rFonts w:hint="eastAsia" w:eastAsia="黑体"/>
          <w:sz w:val="32"/>
        </w:rPr>
        <w:t>指导教师：桑军 教授</w:t>
      </w:r>
    </w:p>
    <w:p w14:paraId="233272DE">
      <w:pPr>
        <w:ind w:right="17" w:firstLine="1980"/>
        <w:rPr>
          <w:rFonts w:eastAsia="黑体"/>
          <w:sz w:val="32"/>
        </w:rPr>
      </w:pPr>
      <w:r>
        <w:rPr>
          <w:rFonts w:hint="eastAsia" w:eastAsia="黑体"/>
          <w:sz w:val="32"/>
        </w:rPr>
        <w:t>专    业：软件工程</w:t>
      </w:r>
    </w:p>
    <w:p w14:paraId="616D7468">
      <w:pPr>
        <w:ind w:firstLine="2875"/>
        <w:rPr>
          <w:rFonts w:eastAsia="黑体"/>
          <w:sz w:val="32"/>
        </w:rPr>
      </w:pPr>
    </w:p>
    <w:p w14:paraId="3F1797BE">
      <w:pPr>
        <w:ind w:firstLine="2875"/>
        <w:rPr>
          <w:rFonts w:eastAsia="黑体"/>
          <w:sz w:val="32"/>
        </w:rPr>
      </w:pPr>
    </w:p>
    <w:p w14:paraId="07252553">
      <w:pPr>
        <w:jc w:val="center"/>
        <w:rPr>
          <w:rFonts w:eastAsia="黑体"/>
          <w:sz w:val="36"/>
        </w:rPr>
      </w:pPr>
      <w:r>
        <w:rPr>
          <w:rFonts w:hint="eastAsia" w:eastAsia="黑体"/>
          <w:sz w:val="36"/>
        </w:rPr>
        <w:t>重庆大学大数据与软件学院</w:t>
      </w:r>
    </w:p>
    <w:p w14:paraId="371597B3">
      <w:pPr>
        <w:spacing w:before="240"/>
        <w:jc w:val="center"/>
        <w:rPr>
          <w:rFonts w:eastAsia="黑体"/>
          <w:b/>
          <w:bCs/>
          <w:sz w:val="32"/>
          <w:szCs w:val="32"/>
        </w:rPr>
      </w:pPr>
      <w:r>
        <w:rPr>
          <w:rFonts w:hint="eastAsia" w:ascii="黑体" w:eastAsia="黑体"/>
          <w:sz w:val="32"/>
        </w:rPr>
        <w:t>2026年</w:t>
      </w:r>
      <w:r>
        <w:rPr>
          <w:rFonts w:ascii="黑体" w:eastAsia="黑体"/>
          <w:sz w:val="32"/>
        </w:rPr>
        <w:t>6</w:t>
      </w:r>
      <w:r>
        <w:rPr>
          <w:rFonts w:hint="eastAsia" w:ascii="黑体" w:eastAsia="黑体"/>
          <w:sz w:val="32"/>
        </w:rPr>
        <w:t>月</w:t>
      </w:r>
    </w:p>
    <w:p w14:paraId="526990DB">
      <w:pPr>
        <w:spacing w:before="240"/>
        <w:jc w:val="center"/>
        <w:rPr>
          <w:rFonts w:eastAsia="楷体_GB2312"/>
          <w:b/>
          <w:bCs/>
          <w:sz w:val="32"/>
          <w:szCs w:val="32"/>
        </w:rPr>
      </w:pPr>
      <w:r>
        <w:rPr>
          <w:rFonts w:eastAsia="黑体"/>
          <w:b/>
          <w:bCs/>
          <w:sz w:val="32"/>
          <w:szCs w:val="32"/>
        </w:rPr>
        <w:t>Undergraduate</w:t>
      </w:r>
      <w:r>
        <w:rPr>
          <w:rFonts w:hint="eastAsia" w:eastAsia="黑体"/>
          <w:b/>
          <w:bCs/>
          <w:sz w:val="32"/>
          <w:szCs w:val="32"/>
        </w:rPr>
        <w:t xml:space="preserve"> </w:t>
      </w:r>
      <w:r>
        <w:rPr>
          <w:rFonts w:eastAsia="黑体"/>
          <w:b/>
          <w:bCs/>
          <w:sz w:val="32"/>
          <w:szCs w:val="32"/>
        </w:rPr>
        <w:t>Thesis</w:t>
      </w:r>
      <w:r>
        <w:rPr>
          <w:rFonts w:hint="eastAsia" w:eastAsia="黑体"/>
          <w:b/>
          <w:bCs/>
          <w:sz w:val="32"/>
          <w:szCs w:val="32"/>
        </w:rPr>
        <w:t xml:space="preserve"> (</w:t>
      </w:r>
      <w:r>
        <w:rPr>
          <w:rFonts w:eastAsia="黑体"/>
          <w:b/>
          <w:bCs/>
          <w:sz w:val="32"/>
          <w:szCs w:val="32"/>
        </w:rPr>
        <w:t>Design</w:t>
      </w:r>
      <w:r>
        <w:rPr>
          <w:rFonts w:hint="eastAsia" w:eastAsia="黑体"/>
          <w:b/>
          <w:bCs/>
          <w:sz w:val="32"/>
          <w:szCs w:val="32"/>
        </w:rPr>
        <w:t xml:space="preserve">) </w:t>
      </w:r>
      <w:r>
        <w:rPr>
          <w:rFonts w:eastAsia="黑体"/>
          <w:b/>
          <w:bCs/>
          <w:sz w:val="32"/>
          <w:szCs w:val="32"/>
        </w:rPr>
        <w:t>of</w:t>
      </w:r>
      <w:r>
        <w:rPr>
          <w:rFonts w:hint="eastAsia" w:eastAsia="黑体"/>
          <w:b/>
          <w:bCs/>
          <w:sz w:val="32"/>
          <w:szCs w:val="32"/>
        </w:rPr>
        <w:t xml:space="preserve"> </w:t>
      </w:r>
      <w:r>
        <w:rPr>
          <w:rFonts w:eastAsia="黑体"/>
          <w:b/>
          <w:bCs/>
          <w:sz w:val="32"/>
          <w:szCs w:val="32"/>
        </w:rPr>
        <w:t>Chongqing</w:t>
      </w:r>
      <w:r>
        <w:rPr>
          <w:rFonts w:hint="eastAsia" w:eastAsia="黑体"/>
          <w:b/>
          <w:bCs/>
          <w:sz w:val="32"/>
          <w:szCs w:val="32"/>
        </w:rPr>
        <w:t xml:space="preserve"> </w:t>
      </w:r>
      <w:r>
        <w:rPr>
          <w:rFonts w:eastAsia="黑体"/>
          <w:b/>
          <w:bCs/>
          <w:sz w:val="32"/>
          <w:szCs w:val="32"/>
        </w:rPr>
        <w:t>University</w:t>
      </w:r>
    </w:p>
    <w:p w14:paraId="36E711CD">
      <w:pPr>
        <w:pStyle w:val="8"/>
        <w:spacing w:before="0"/>
        <w:jc w:val="both"/>
        <w:rPr>
          <w:b/>
          <w:bCs/>
          <w:sz w:val="36"/>
          <w:szCs w:val="36"/>
        </w:rPr>
      </w:pPr>
    </w:p>
    <w:p w14:paraId="59A2C30F">
      <w:pPr>
        <w:pStyle w:val="8"/>
        <w:spacing w:before="0"/>
        <w:jc w:val="both"/>
        <w:rPr>
          <w:b/>
          <w:bCs/>
          <w:sz w:val="36"/>
          <w:szCs w:val="36"/>
        </w:rPr>
      </w:pPr>
    </w:p>
    <w:p w14:paraId="5421EB44">
      <w:pPr>
        <w:pStyle w:val="8"/>
        <w:spacing w:before="0"/>
        <w:rPr>
          <w:sz w:val="28"/>
        </w:rPr>
      </w:pPr>
      <w:r>
        <w:rPr>
          <w:rFonts w:eastAsia="黑体"/>
          <w:b/>
          <w:sz w:val="44"/>
          <w:szCs w:val="44"/>
        </w:rPr>
        <w:t>Design and Implementation of a Crypto Simulated Exchange Integrating LLMs and Blockchain</w:t>
      </w:r>
    </w:p>
    <w:p w14:paraId="344B8138"/>
    <w:p w14:paraId="4FA9224D"/>
    <w:p w14:paraId="2695BF76">
      <w:pPr>
        <w:jc w:val="center"/>
        <w:rPr>
          <w:sz w:val="28"/>
        </w:rPr>
      </w:pPr>
      <w:r>
        <w:drawing>
          <wp:inline distT="0" distB="0" distL="114300" distR="114300">
            <wp:extent cx="1534795" cy="1504950"/>
            <wp:effectExtent l="0" t="0" r="8255" b="0"/>
            <wp:docPr id="109" name="图片 2"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 descr="IMG_1332"/>
                    <pic:cNvPicPr>
                      <a:picLocks noChangeAspect="1"/>
                    </pic:cNvPicPr>
                  </pic:nvPicPr>
                  <pic:blipFill>
                    <a:blip r:embed="rId27"/>
                    <a:stretch>
                      <a:fillRect/>
                    </a:stretch>
                  </pic:blipFill>
                  <pic:spPr>
                    <a:xfrm>
                      <a:off x="0" y="0"/>
                      <a:ext cx="1534795" cy="1504950"/>
                    </a:xfrm>
                    <a:prstGeom prst="rect">
                      <a:avLst/>
                    </a:prstGeom>
                    <a:noFill/>
                    <a:ln>
                      <a:noFill/>
                    </a:ln>
                  </pic:spPr>
                </pic:pic>
              </a:graphicData>
            </a:graphic>
          </wp:inline>
        </w:drawing>
      </w:r>
    </w:p>
    <w:p w14:paraId="59DEE363">
      <w:pPr>
        <w:ind w:firstLine="1655" w:firstLineChars="785"/>
        <w:rPr>
          <w:b/>
          <w:bCs/>
        </w:rPr>
      </w:pPr>
    </w:p>
    <w:p w14:paraId="56C63EC8">
      <w:pPr>
        <w:jc w:val="center"/>
        <w:rPr>
          <w:b/>
          <w:bCs/>
          <w:sz w:val="32"/>
          <w:szCs w:val="32"/>
          <w:lang w:val="en-IE"/>
        </w:rPr>
      </w:pPr>
      <w:r>
        <w:rPr>
          <w:b/>
          <w:bCs/>
          <w:sz w:val="32"/>
          <w:szCs w:val="32"/>
        </w:rPr>
        <w:t>By</w:t>
      </w:r>
    </w:p>
    <w:p w14:paraId="0E635520">
      <w:pPr>
        <w:jc w:val="center"/>
        <w:rPr>
          <w:b/>
          <w:bCs/>
          <w:sz w:val="32"/>
          <w:szCs w:val="32"/>
        </w:rPr>
      </w:pPr>
      <w:r>
        <w:rPr>
          <w:b/>
          <w:bCs/>
          <w:sz w:val="32"/>
          <w:szCs w:val="32"/>
          <w:lang w:val="en-IE"/>
        </w:rPr>
        <w:t xml:space="preserve"> </w:t>
      </w:r>
      <w:r>
        <w:rPr>
          <w:rFonts w:hint="eastAsia"/>
          <w:b/>
          <w:bCs/>
          <w:sz w:val="32"/>
          <w:szCs w:val="32"/>
        </w:rPr>
        <w:t>HU</w:t>
      </w:r>
      <w:r>
        <w:rPr>
          <w:b/>
          <w:bCs/>
          <w:sz w:val="32"/>
          <w:szCs w:val="32"/>
        </w:rPr>
        <w:t xml:space="preserve"> </w:t>
      </w:r>
      <w:r>
        <w:rPr>
          <w:rFonts w:hint="eastAsia"/>
          <w:b/>
          <w:bCs/>
          <w:sz w:val="32"/>
          <w:szCs w:val="32"/>
        </w:rPr>
        <w:t>liwen</w:t>
      </w:r>
    </w:p>
    <w:p w14:paraId="13C577A2">
      <w:pPr>
        <w:jc w:val="center"/>
        <w:rPr>
          <w:b/>
          <w:bCs/>
          <w:sz w:val="32"/>
          <w:szCs w:val="32"/>
        </w:rPr>
      </w:pPr>
    </w:p>
    <w:p w14:paraId="198B2E83">
      <w:pPr>
        <w:jc w:val="center"/>
        <w:rPr>
          <w:b/>
          <w:bCs/>
          <w:sz w:val="32"/>
          <w:szCs w:val="32"/>
        </w:rPr>
      </w:pPr>
      <w:r>
        <w:rPr>
          <w:b/>
          <w:bCs/>
          <w:sz w:val="32"/>
          <w:szCs w:val="32"/>
        </w:rPr>
        <w:t>Supervised</w:t>
      </w:r>
      <w:r>
        <w:rPr>
          <w:rFonts w:hint="eastAsia"/>
          <w:b/>
          <w:bCs/>
          <w:sz w:val="32"/>
          <w:szCs w:val="32"/>
        </w:rPr>
        <w:t xml:space="preserve"> by</w:t>
      </w:r>
    </w:p>
    <w:p w14:paraId="0B8414F6">
      <w:pPr>
        <w:jc w:val="center"/>
        <w:rPr>
          <w:b/>
          <w:bCs/>
          <w:sz w:val="32"/>
          <w:szCs w:val="32"/>
        </w:rPr>
      </w:pPr>
      <w:r>
        <w:rPr>
          <w:b/>
          <w:bCs/>
          <w:sz w:val="32"/>
          <w:szCs w:val="32"/>
          <w:lang w:val="en-IE"/>
        </w:rPr>
        <w:t>Prof.</w:t>
      </w:r>
      <w:r>
        <w:rPr>
          <w:rFonts w:hint="eastAsia"/>
          <w:b/>
          <w:bCs/>
          <w:sz w:val="32"/>
          <w:szCs w:val="32"/>
        </w:rPr>
        <w:t xml:space="preserve"> </w:t>
      </w:r>
      <w:r>
        <w:rPr>
          <w:b/>
          <w:bCs/>
          <w:sz w:val="32"/>
          <w:szCs w:val="32"/>
          <w:lang w:val="en-IE"/>
        </w:rPr>
        <w:t>S</w:t>
      </w:r>
      <w:r>
        <w:rPr>
          <w:rFonts w:hint="eastAsia"/>
          <w:b/>
          <w:bCs/>
          <w:sz w:val="32"/>
          <w:szCs w:val="32"/>
        </w:rPr>
        <w:t>ANG</w:t>
      </w:r>
      <w:r>
        <w:rPr>
          <w:b/>
          <w:bCs/>
          <w:sz w:val="32"/>
          <w:szCs w:val="32"/>
          <w:lang w:val="en-IE"/>
        </w:rPr>
        <w:t xml:space="preserve"> Jun</w:t>
      </w:r>
    </w:p>
    <w:p w14:paraId="6524CBC6">
      <w:pPr>
        <w:ind w:left="1714" w:leftChars="772" w:hanging="93" w:hangingChars="29"/>
        <w:rPr>
          <w:b/>
          <w:bCs/>
          <w:sz w:val="32"/>
          <w:szCs w:val="32"/>
        </w:rPr>
      </w:pPr>
      <w:r>
        <w:rPr>
          <w:rFonts w:hint="eastAsia"/>
          <w:b/>
          <w:bCs/>
          <w:sz w:val="32"/>
          <w:szCs w:val="32"/>
        </w:rPr>
        <w:t xml:space="preserve"> </w:t>
      </w:r>
      <w:r>
        <w:rPr>
          <w:b/>
          <w:bCs/>
          <w:sz w:val="32"/>
          <w:szCs w:val="32"/>
        </w:rPr>
        <w:t xml:space="preserve">              </w:t>
      </w:r>
    </w:p>
    <w:p w14:paraId="4FAA63CA">
      <w:pPr>
        <w:jc w:val="center"/>
        <w:rPr>
          <w:b/>
          <w:bCs/>
          <w:sz w:val="36"/>
          <w:szCs w:val="36"/>
        </w:rPr>
      </w:pPr>
      <w:r>
        <w:rPr>
          <w:b/>
          <w:bCs/>
          <w:sz w:val="36"/>
          <w:szCs w:val="36"/>
        </w:rPr>
        <w:t>Software Engineering</w:t>
      </w:r>
    </w:p>
    <w:p w14:paraId="56C315B2">
      <w:pPr>
        <w:jc w:val="center"/>
        <w:rPr>
          <w:b/>
          <w:bCs/>
          <w:sz w:val="36"/>
          <w:szCs w:val="36"/>
        </w:rPr>
      </w:pPr>
      <w:r>
        <w:rPr>
          <w:b/>
          <w:bCs/>
          <w:sz w:val="36"/>
          <w:szCs w:val="36"/>
        </w:rPr>
        <w:t>School of Big Data &amp; Software Engineering</w:t>
      </w:r>
    </w:p>
    <w:p w14:paraId="15243B49">
      <w:pPr>
        <w:jc w:val="center"/>
        <w:rPr>
          <w:b/>
          <w:bCs/>
          <w:sz w:val="36"/>
          <w:szCs w:val="36"/>
        </w:rPr>
      </w:pPr>
      <w:r>
        <w:rPr>
          <w:b/>
          <w:bCs/>
          <w:sz w:val="36"/>
          <w:szCs w:val="36"/>
        </w:rPr>
        <w:t>Chongqing University</w:t>
      </w:r>
    </w:p>
    <w:p w14:paraId="2A032F65">
      <w:pPr>
        <w:jc w:val="center"/>
        <w:rPr>
          <w:b/>
          <w:bCs/>
          <w:sz w:val="32"/>
          <w:szCs w:val="32"/>
        </w:rPr>
        <w:sectPr>
          <w:headerReference r:id="rId5" w:type="default"/>
          <w:pgSz w:w="11906" w:h="16838"/>
          <w:pgMar w:top="1701" w:right="1418" w:bottom="1418" w:left="1418" w:header="907" w:footer="851" w:gutter="567"/>
          <w:pgNumType w:fmt="upperRoman" w:start="1"/>
          <w:cols w:space="720" w:num="1"/>
          <w:docGrid w:type="lines" w:linePitch="312" w:charSpace="0"/>
        </w:sectPr>
      </w:pPr>
      <w:r>
        <w:rPr>
          <w:b/>
          <w:bCs/>
          <w:sz w:val="32"/>
          <w:szCs w:val="32"/>
        </w:rPr>
        <w:t>June，2026</w:t>
      </w:r>
    </w:p>
    <w:p w14:paraId="573E014B">
      <w:pPr>
        <w:spacing w:line="400" w:lineRule="exact"/>
      </w:pPr>
    </w:p>
    <w:p w14:paraId="00C47EA7">
      <w:pPr>
        <w:spacing w:line="400" w:lineRule="exact"/>
        <w:jc w:val="center"/>
        <w:outlineLvl w:val="0"/>
        <w:rPr>
          <w:rFonts w:ascii="黑体" w:eastAsia="黑体"/>
          <w:sz w:val="32"/>
        </w:rPr>
      </w:pPr>
      <w:bookmarkStart w:id="0" w:name="_Toc26084"/>
      <w:r>
        <w:rPr>
          <w:rFonts w:hint="eastAsia"/>
        </w:rPr>
        <mc:AlternateContent>
          <mc:Choice Requires="wps">
            <w:drawing>
              <wp:anchor distT="0" distB="0" distL="114300" distR="114300" simplePos="0" relativeHeight="251661312" behindDoc="0" locked="0" layoutInCell="1" allowOverlap="1">
                <wp:simplePos x="0" y="0"/>
                <wp:positionH relativeFrom="column">
                  <wp:posOffset>4499610</wp:posOffset>
                </wp:positionH>
                <wp:positionV relativeFrom="paragraph">
                  <wp:posOffset>113030</wp:posOffset>
                </wp:positionV>
                <wp:extent cx="503555" cy="0"/>
                <wp:effectExtent l="0" t="0" r="0" b="0"/>
                <wp:wrapNone/>
                <wp:docPr id="48" name="自选图形 177"/>
                <wp:cNvGraphicFramePr/>
                <a:graphic xmlns:a="http://schemas.openxmlformats.org/drawingml/2006/main">
                  <a:graphicData uri="http://schemas.microsoft.com/office/word/2010/wordprocessingShape">
                    <wps:wsp>
                      <wps:cNvCnPr/>
                      <wps:spPr>
                        <a:xfrm>
                          <a:off x="0" y="0"/>
                          <a:ext cx="503555" cy="0"/>
                        </a:xfrm>
                        <a:prstGeom prst="straightConnector1">
                          <a:avLst/>
                        </a:prstGeom>
                        <a:ln>
                          <a:noFill/>
                        </a:ln>
                      </wps:spPr>
                      <wps:bodyPr/>
                    </wps:wsp>
                  </a:graphicData>
                </a:graphic>
              </wp:anchor>
            </w:drawing>
          </mc:Choice>
          <mc:Fallback>
            <w:pict>
              <v:shape id="自选图形 177" o:spid="_x0000_s1026" o:spt="32" type="#_x0000_t32" style="position:absolute;left:0pt;margin-left:354.3pt;margin-top:8.9pt;height:0pt;width:39.65pt;z-index:251661312;mso-width-relative:page;mso-height-relative:page;" filled="f" stroked="f" coordsize="21600,21600" o:gfxdata="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J7vUBHWAAAACQEAAA8AAAAA&#10;AAAAAQAgAAAAIgAAAGRycy9kb3ducmV2LnhtbFBLAQIUABQAAAAIAIdO4kDVVGukpAEAADADAAAO&#10;AAAAAAAAAAEAIAAAACUBAABkcnMvZTJvRG9jLnhtbFBLBQYAAAAABgAGAFkBAAA7BQAAAAA=&#10;">
                <v:fill on="f" focussize="0,0"/>
                <v:stroke on="f"/>
                <v:imagedata o:title=""/>
                <o:lock v:ext="edit" aspectratio="f"/>
              </v:shape>
            </w:pict>
          </mc:Fallback>
        </mc:AlternateContent>
      </w:r>
      <w:r>
        <w:rPr>
          <w:rFonts w:hint="eastAsia"/>
        </w:rPr>
        <mc:AlternateContent>
          <mc:Choice Requires="wps">
            <w:drawing>
              <wp:anchor distT="0" distB="0" distL="114300" distR="114300" simplePos="0" relativeHeight="251660288" behindDoc="0" locked="0" layoutInCell="1" allowOverlap="1">
                <wp:simplePos x="0" y="0"/>
                <wp:positionH relativeFrom="column">
                  <wp:posOffset>4470400</wp:posOffset>
                </wp:positionH>
                <wp:positionV relativeFrom="paragraph">
                  <wp:posOffset>113030</wp:posOffset>
                </wp:positionV>
                <wp:extent cx="532765" cy="0"/>
                <wp:effectExtent l="0" t="0" r="0" b="0"/>
                <wp:wrapNone/>
                <wp:docPr id="47" name="自选图形 176"/>
                <wp:cNvGraphicFramePr/>
                <a:graphic xmlns:a="http://schemas.openxmlformats.org/drawingml/2006/main">
                  <a:graphicData uri="http://schemas.microsoft.com/office/word/2010/wordprocessingShape">
                    <wps:wsp>
                      <wps:cNvCnPr/>
                      <wps:spPr>
                        <a:xfrm>
                          <a:off x="0" y="0"/>
                          <a:ext cx="532765" cy="0"/>
                        </a:xfrm>
                        <a:prstGeom prst="straightConnector1">
                          <a:avLst/>
                        </a:prstGeom>
                        <a:ln>
                          <a:noFill/>
                        </a:ln>
                      </wps:spPr>
                      <wps:bodyPr/>
                    </wps:wsp>
                  </a:graphicData>
                </a:graphic>
              </wp:anchor>
            </w:drawing>
          </mc:Choice>
          <mc:Fallback>
            <w:pict>
              <v:shape id="自选图形 176" o:spid="_x0000_s1026" o:spt="32" type="#_x0000_t32" style="position:absolute;left:0pt;margin-left:352pt;margin-top:8.9pt;height:0pt;width:41.95pt;z-index:251660288;mso-width-relative:page;mso-height-relative:page;" filled="f" stroked="f" coordsize="21600,21600" o:gfxdata="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CGhI0S1gAAAAkBAAAPAAAA&#10;AAAAAAEAIAAAACIAAABkcnMvZG93bnJldi54bWxQSwECFAAUAAAACACHTuJAFrePxqUBAAAwAwAA&#10;DgAAAAAAAAABACAAAAAlAQAAZHJzL2Uyb0RvYy54bWxQSwUGAAAAAAYABgBZAQAAPAUAAAAA&#10;">
                <v:fill on="f" focussize="0,0"/>
                <v:stroke on="f"/>
                <v:imagedata o:title=""/>
                <o:lock v:ext="edit" aspectratio="f"/>
              </v:shape>
            </w:pict>
          </mc:Fallback>
        </mc:AlternateContent>
      </w:r>
      <w:r>
        <w:rPr>
          <w:rFonts w:hint="eastAsia"/>
        </w:rPr>
        <mc:AlternateContent>
          <mc:Choice Requires="wps">
            <w:drawing>
              <wp:anchor distT="0" distB="0" distL="114300" distR="114300" simplePos="0" relativeHeight="251659264" behindDoc="0" locked="0" layoutInCell="1" allowOverlap="1">
                <wp:simplePos x="0" y="0"/>
                <wp:positionH relativeFrom="column">
                  <wp:posOffset>4416425</wp:posOffset>
                </wp:positionH>
                <wp:positionV relativeFrom="paragraph">
                  <wp:posOffset>113030</wp:posOffset>
                </wp:positionV>
                <wp:extent cx="405765" cy="0"/>
                <wp:effectExtent l="0" t="0" r="0" b="0"/>
                <wp:wrapNone/>
                <wp:docPr id="46" name="自选图形 175"/>
                <wp:cNvGraphicFramePr/>
                <a:graphic xmlns:a="http://schemas.openxmlformats.org/drawingml/2006/main">
                  <a:graphicData uri="http://schemas.microsoft.com/office/word/2010/wordprocessingShape">
                    <wps:wsp>
                      <wps:cNvCnPr/>
                      <wps:spPr>
                        <a:xfrm>
                          <a:off x="0" y="0"/>
                          <a:ext cx="405765" cy="0"/>
                        </a:xfrm>
                        <a:prstGeom prst="straightConnector1">
                          <a:avLst/>
                        </a:prstGeom>
                        <a:ln>
                          <a:noFill/>
                        </a:ln>
                      </wps:spPr>
                      <wps:bodyPr/>
                    </wps:wsp>
                  </a:graphicData>
                </a:graphic>
              </wp:anchor>
            </w:drawing>
          </mc:Choice>
          <mc:Fallback>
            <w:pict>
              <v:shape id="自选图形 175" o:spid="_x0000_s1026" o:spt="32" type="#_x0000_t32" style="position:absolute;left:0pt;margin-left:347.75pt;margin-top:8.9pt;height:0pt;width:31.95pt;z-index:251659264;mso-width-relative:page;mso-height-relative:page;" filled="f" stroked="f" coordsize="21600,21600" o:gfxdata="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swtkMtcAAAAJAQAADwAA&#10;AAAAAAABACAAAAAiAAAAZHJzL2Rvd25yZXYueG1sUEsBAhQAFAAAAAgAh07iQCrXmDGlAQAAMAMA&#10;AA4AAAAAAAAAAQAgAAAAJgEAAGRycy9lMm9Eb2MueG1sUEsFBgAAAAAGAAYAWQEAAD0FAAAAAA==&#10;">
                <v:fill on="f" focussize="0,0"/>
                <v:stroke on="f"/>
                <v:imagedata o:title=""/>
                <o:lock v:ext="edit" aspectratio="f"/>
              </v:shape>
            </w:pict>
          </mc:Fallback>
        </mc:AlternateContent>
      </w:r>
      <w:r>
        <w:rPr>
          <w:rFonts w:hint="eastAsia" w:ascii="黑体" w:eastAsia="黑体"/>
          <w:sz w:val="32"/>
        </w:rPr>
        <w:t>摘  要</w:t>
      </w:r>
      <w:bookmarkEnd w:id="0"/>
    </w:p>
    <w:p w14:paraId="0D3B8F6F">
      <w:pPr>
        <w:spacing w:line="400" w:lineRule="exact"/>
        <w:jc w:val="center"/>
        <w:outlineLvl w:val="0"/>
        <w:rPr>
          <w:rFonts w:ascii="黑体" w:eastAsia="黑体"/>
          <w:sz w:val="32"/>
        </w:rPr>
      </w:pPr>
    </w:p>
    <w:p w14:paraId="40FA42BB">
      <w:pPr>
        <w:pStyle w:val="9"/>
        <w:spacing w:before="0" w:line="400" w:lineRule="exact"/>
        <w:ind w:firstLine="492"/>
        <w:rPr>
          <w:rFonts w:hint="eastAsia" w:ascii="ˎ̥" w:hAnsi="ˎ̥" w:cs="Arial"/>
          <w:lang w:val="en-IE"/>
        </w:rPr>
      </w:pPr>
      <w:r>
        <w:rPr>
          <w:rFonts w:hint="eastAsia"/>
        </w:rPr>
        <w:t>随着大语言模型的发展，Agent在金融行业中的占比越来越高。虽然Agent可以在交易中发挥其处理信息和逻辑推理的强大能力，但由于安全风险，几乎没有团队会使用Agent直接操作线上交易。本系统设计并实现了一个集成多Agent引擎和测试区块链的模拟交易所，旨在测试不同提示词、不同基础模型Agent的交易能力，同时利用AI能力为用户提供股票交易建议。</w:t>
      </w:r>
    </w:p>
    <w:p w14:paraId="5BDEE81F">
      <w:pPr>
        <w:pStyle w:val="11"/>
        <w:spacing w:line="400" w:lineRule="atLeast"/>
        <w:ind w:firstLine="480" w:firstLineChars="200"/>
        <w:rPr>
          <w:rFonts w:hint="eastAsia" w:ascii="ˎ̥" w:hAnsi="ˎ̥" w:cs="Arial"/>
          <w:sz w:val="24"/>
        </w:rPr>
      </w:pPr>
      <w:r>
        <w:rPr>
          <w:rFonts w:hint="eastAsia" w:ascii="ˎ̥" w:hAnsi="ˎ̥" w:cs="Arial"/>
          <w:sz w:val="24"/>
        </w:rPr>
        <w:t>本系统分为三个核心模块。</w:t>
      </w:r>
    </w:p>
    <w:p w14:paraId="117BC9E0">
      <w:pPr>
        <w:pStyle w:val="11"/>
        <w:spacing w:line="400" w:lineRule="atLeast"/>
        <w:ind w:firstLine="480" w:firstLineChars="200"/>
        <w:rPr>
          <w:rFonts w:hint="eastAsia" w:ascii="ˎ̥" w:hAnsi="ˎ̥" w:cs="Arial"/>
          <w:sz w:val="24"/>
        </w:rPr>
      </w:pPr>
      <w:r>
        <w:rPr>
          <w:rFonts w:hint="eastAsia" w:ascii="ˎ̥" w:hAnsi="ˎ̥" w:cs="Arial"/>
          <w:sz w:val="24"/>
        </w:rPr>
        <w:t>第一是模拟交易所，接入</w:t>
      </w:r>
      <w:r>
        <w:rPr>
          <w:rFonts w:ascii="Times New Roman" w:hAnsi="Times New Roman"/>
          <w:sz w:val="24"/>
        </w:rPr>
        <w:t>Alpha</w:t>
      </w:r>
      <w:r>
        <w:rPr>
          <w:rFonts w:hint="eastAsia" w:ascii="ˎ̥" w:hAnsi="ˎ̥" w:cs="Arial"/>
          <w:sz w:val="24"/>
        </w:rPr>
        <w:t xml:space="preserve"> </w:t>
      </w:r>
      <w:r>
        <w:rPr>
          <w:rFonts w:ascii="Times New Roman" w:hAnsi="Times New Roman"/>
          <w:sz w:val="24"/>
        </w:rPr>
        <w:t>Vantage</w:t>
      </w:r>
      <w:r>
        <w:rPr>
          <w:rFonts w:hint="eastAsia" w:ascii="ˎ̥" w:hAnsi="ˎ̥" w:cs="Arial"/>
          <w:sz w:val="24"/>
        </w:rPr>
        <w:t>数据接口获取金融数据，使用</w:t>
      </w:r>
      <w:r>
        <w:rPr>
          <w:rFonts w:ascii="Times New Roman" w:hAnsi="Times New Roman"/>
          <w:sz w:val="24"/>
        </w:rPr>
        <w:t>SpringBoot</w:t>
      </w:r>
      <w:r>
        <w:rPr>
          <w:rFonts w:hint="eastAsia" w:ascii="ˎ̥" w:hAnsi="ˎ̥" w:cs="Arial"/>
          <w:sz w:val="24"/>
        </w:rPr>
        <w:t>与</w:t>
      </w:r>
      <w:r>
        <w:rPr>
          <w:rFonts w:ascii="Times New Roman" w:hAnsi="Times New Roman"/>
          <w:sz w:val="24"/>
        </w:rPr>
        <w:t>Vue</w:t>
      </w:r>
      <w:r>
        <w:rPr>
          <w:rFonts w:hint="eastAsia" w:ascii="ˎ̥" w:hAnsi="ˎ̥" w:cs="Arial"/>
          <w:sz w:val="24"/>
        </w:rPr>
        <w:t xml:space="preserve"> 3实现前后端分离的交易平台，买卖操作仅在本地DB执行，实现了与真实市场的隔离。</w:t>
      </w:r>
    </w:p>
    <w:p w14:paraId="54FC5D55">
      <w:pPr>
        <w:pStyle w:val="11"/>
        <w:spacing w:line="400" w:lineRule="atLeast"/>
        <w:ind w:firstLine="480" w:firstLineChars="200"/>
        <w:rPr>
          <w:rFonts w:hint="eastAsia" w:ascii="ˎ̥" w:hAnsi="ˎ̥" w:cs="Arial"/>
          <w:sz w:val="24"/>
        </w:rPr>
      </w:pPr>
      <w:r>
        <w:rPr>
          <w:rFonts w:hint="eastAsia" w:ascii="ˎ̥" w:hAnsi="ˎ̥" w:cs="Arial"/>
          <w:sz w:val="24"/>
        </w:rPr>
        <w:t>第二是并发Agent决策层，基于LangChain4j框架，注册了三位AI交易员，它们搭载着不同厂商的大语言模型，同时配置了保守、适中和激进三种风险偏好的提示词模板，Agent在读取金融数据后，做出决策，调用工具自行执行交易。</w:t>
      </w:r>
    </w:p>
    <w:p w14:paraId="7095603D">
      <w:pPr>
        <w:pStyle w:val="11"/>
        <w:spacing w:line="400" w:lineRule="atLeast"/>
        <w:ind w:firstLine="480" w:firstLineChars="200"/>
        <w:rPr>
          <w:rFonts w:hint="eastAsia" w:ascii="ˎ̥" w:hAnsi="ˎ̥" w:cs="Arial"/>
          <w:sz w:val="24"/>
        </w:rPr>
      </w:pPr>
      <w:r>
        <w:rPr>
          <w:rFonts w:hint="eastAsia" w:ascii="ˎ̥" w:hAnsi="ˎ̥" w:cs="Arial"/>
          <w:sz w:val="24"/>
        </w:rPr>
        <w:t>第三是区块链层，笔者在</w:t>
      </w:r>
      <w:r>
        <w:rPr>
          <w:rFonts w:ascii="Times New Roman" w:hAnsi="Times New Roman"/>
          <w:sz w:val="24"/>
        </w:rPr>
        <w:t>Ganache</w:t>
      </w:r>
      <w:r>
        <w:rPr>
          <w:rFonts w:hint="eastAsia" w:ascii="ˎ̥" w:hAnsi="ˎ̥" w:cs="Arial"/>
          <w:sz w:val="24"/>
        </w:rPr>
        <w:t>测试网中部署了三个同样的ERC-20代币合约，由系统账户提供交易Token所需要的流动性，并使用线性冲击公式动态定价，实现了链上交易功能。</w:t>
      </w:r>
    </w:p>
    <w:p w14:paraId="2D9A069D">
      <w:pPr>
        <w:pStyle w:val="11"/>
        <w:spacing w:line="400" w:lineRule="atLeast"/>
        <w:ind w:firstLine="480" w:firstLineChars="200"/>
        <w:rPr>
          <w:rFonts w:hint="eastAsia" w:ascii="ˎ̥" w:hAnsi="ˎ̥" w:cs="Arial"/>
          <w:sz w:val="24"/>
        </w:rPr>
      </w:pPr>
      <w:r>
        <w:rPr>
          <w:rFonts w:hint="eastAsia" w:ascii="ˎ̥" w:hAnsi="ˎ̥" w:cs="Arial"/>
          <w:sz w:val="24"/>
        </w:rPr>
        <w:t>本系统主要实现了股票辅助决策与斗兽场博弈两部分功能，其一是</w:t>
      </w:r>
      <w:r>
        <w:rPr>
          <w:rFonts w:ascii="Times New Roman" w:hAnsi="Times New Roman"/>
          <w:sz w:val="24"/>
        </w:rPr>
        <w:t>Agent</w:t>
      </w:r>
      <w:r>
        <w:rPr>
          <w:rFonts w:hint="eastAsia" w:ascii="ˎ̥" w:hAnsi="ˎ̥" w:cs="Arial"/>
          <w:sz w:val="24"/>
        </w:rPr>
        <w:t>根据真实股票数据进行决策并执行买卖操作，其二为配置</w:t>
      </w:r>
      <w:r>
        <w:rPr>
          <w:rFonts w:ascii="Times New Roman" w:hAnsi="Times New Roman"/>
          <w:sz w:val="24"/>
        </w:rPr>
        <w:t>AI</w:t>
      </w:r>
      <w:r>
        <w:rPr>
          <w:rFonts w:hint="eastAsia" w:ascii="ˎ̥" w:hAnsi="ˎ̥" w:cs="Arial"/>
          <w:sz w:val="24"/>
        </w:rPr>
        <w:t>在测试链上进行循环的交易博弈。</w:t>
      </w:r>
    </w:p>
    <w:p w14:paraId="08FC71A8">
      <w:pPr>
        <w:pStyle w:val="11"/>
        <w:spacing w:line="400" w:lineRule="atLeast"/>
        <w:ind w:firstLine="480" w:firstLineChars="200"/>
        <w:rPr>
          <w:rFonts w:hint="eastAsia" w:ascii="ˎ̥" w:hAnsi="ˎ̥" w:cs="Arial"/>
          <w:sz w:val="24"/>
        </w:rPr>
      </w:pPr>
      <w:r>
        <w:rPr>
          <w:rFonts w:hint="eastAsia" w:ascii="ˎ̥" w:hAnsi="ˎ̥" w:cs="Arial"/>
          <w:sz w:val="24"/>
        </w:rPr>
        <w:t>本系统为大语言模型在金融场景中的行为研究提供了一个可编程、可复现的工程基础。</w:t>
      </w:r>
    </w:p>
    <w:p w14:paraId="57A0EB7C">
      <w:pPr>
        <w:spacing w:line="400" w:lineRule="exact"/>
        <w:ind w:firstLine="518"/>
        <w:rPr>
          <w:rFonts w:hint="eastAsia" w:ascii="宋体" w:hAnsi="宋体"/>
          <w:b/>
          <w:bCs/>
        </w:rPr>
      </w:pPr>
    </w:p>
    <w:p w14:paraId="5376C964">
      <w:pPr>
        <w:spacing w:line="400" w:lineRule="exact"/>
        <w:ind w:firstLine="518"/>
      </w:pPr>
      <w:r>
        <w:rPr>
          <w:rFonts w:hint="eastAsia" w:ascii="黑体" w:hAnsi="宋体" w:eastAsia="黑体"/>
          <w:bCs/>
          <w:sz w:val="24"/>
        </w:rPr>
        <w:t>关键词：</w:t>
      </w:r>
      <w:r>
        <w:rPr>
          <w:rFonts w:hint="eastAsia" w:ascii="宋体" w:hAnsi="宋体"/>
          <w:sz w:val="24"/>
        </w:rPr>
        <w:t>多</w:t>
      </w:r>
      <w:r>
        <w:rPr>
          <w:sz w:val="24"/>
        </w:rPr>
        <w:t>Agent</w:t>
      </w:r>
      <w:r>
        <w:rPr>
          <w:rFonts w:hint="eastAsia" w:ascii="宋体" w:hAnsi="宋体"/>
          <w:sz w:val="24"/>
        </w:rPr>
        <w:t>决策；</w:t>
      </w:r>
      <w:r>
        <w:rPr>
          <w:rFonts w:ascii="宋体" w:hAnsi="宋体"/>
          <w:sz w:val="24"/>
        </w:rPr>
        <w:t>金融交易模拟</w:t>
      </w:r>
      <w:r>
        <w:rPr>
          <w:rFonts w:hint="eastAsia" w:ascii="宋体" w:hAnsi="宋体"/>
          <w:sz w:val="24"/>
        </w:rPr>
        <w:t>；</w:t>
      </w:r>
      <w:r>
        <w:rPr>
          <w:rFonts w:ascii="宋体" w:hAnsi="宋体"/>
          <w:sz w:val="24"/>
        </w:rPr>
        <w:t>区块链</w:t>
      </w:r>
      <w:r>
        <w:rPr>
          <w:rFonts w:hint="eastAsia" w:ascii="宋体" w:hAnsi="宋体"/>
          <w:sz w:val="24"/>
        </w:rPr>
        <w:t>交易；</w:t>
      </w:r>
      <w:r>
        <w:rPr>
          <w:sz w:val="24"/>
        </w:rPr>
        <w:t>LangChain</w:t>
      </w:r>
      <w:r>
        <w:rPr>
          <w:rFonts w:ascii="宋体" w:hAnsi="宋体"/>
          <w:sz w:val="24"/>
        </w:rPr>
        <w:t>4</w:t>
      </w:r>
      <w:r>
        <w:rPr>
          <w:sz w:val="24"/>
        </w:rPr>
        <w:t>j</w:t>
      </w:r>
    </w:p>
    <w:p w14:paraId="0F18D6E6">
      <w:pPr>
        <w:spacing w:line="400" w:lineRule="exact"/>
      </w:pPr>
    </w:p>
    <w:p w14:paraId="46F8F9AA">
      <w:pPr>
        <w:spacing w:line="400" w:lineRule="exact"/>
        <w:sectPr>
          <w:headerReference r:id="rId6" w:type="default"/>
          <w:footerReference r:id="rId7" w:type="default"/>
          <w:pgSz w:w="11906" w:h="16838"/>
          <w:pgMar w:top="1701" w:right="1418" w:bottom="1418" w:left="1418" w:header="907" w:footer="851" w:gutter="567"/>
          <w:pgNumType w:fmt="upperRoman" w:start="1"/>
          <w:cols w:space="720" w:num="1"/>
          <w:docGrid w:type="lines" w:linePitch="312" w:charSpace="0"/>
        </w:sectPr>
      </w:pPr>
    </w:p>
    <w:p w14:paraId="588ECCDE">
      <w:pPr>
        <w:spacing w:line="400" w:lineRule="exact"/>
      </w:pPr>
    </w:p>
    <w:p w14:paraId="79563FE1">
      <w:pPr>
        <w:jc w:val="center"/>
        <w:outlineLvl w:val="0"/>
        <w:rPr>
          <w:b/>
          <w:sz w:val="32"/>
          <w:szCs w:val="32"/>
        </w:rPr>
      </w:pPr>
      <w:bookmarkStart w:id="1" w:name="_Toc18554"/>
      <w:r>
        <w:rPr>
          <w:b/>
          <w:sz w:val="32"/>
          <w:szCs w:val="32"/>
        </w:rPr>
        <w:t>ABSTRACT</w:t>
      </w:r>
      <w:bookmarkEnd w:id="1"/>
    </w:p>
    <w:p w14:paraId="7CDD95C4">
      <w:pPr>
        <w:pStyle w:val="21"/>
        <w:spacing w:line="400" w:lineRule="exact"/>
        <w:ind w:firstLine="0" w:firstLineChars="0"/>
        <w:rPr>
          <w:b w:val="0"/>
          <w:bCs w:val="0"/>
          <w:sz w:val="24"/>
        </w:rPr>
      </w:pPr>
    </w:p>
    <w:p w14:paraId="5BC78A4B">
      <w:pPr>
        <w:pStyle w:val="11"/>
        <w:spacing w:line="400" w:lineRule="atLeast"/>
        <w:ind w:firstLine="480" w:firstLineChars="200"/>
        <w:rPr>
          <w:rFonts w:ascii="Times New Roman" w:hAnsi="Times New Roman"/>
          <w:sz w:val="24"/>
        </w:rPr>
      </w:pPr>
      <w:r>
        <w:rPr>
          <w:rFonts w:ascii="Times New Roman" w:hAnsi="Times New Roman"/>
          <w:sz w:val="24"/>
        </w:rPr>
        <w:t>With the development of Large Language Models (LLMs), AI Agents have become increasingly prominent in the financial sector. Although Agents exhibit sophisticated information processing and logical reasoning capabilities, inherent security risks have deterred their direct application in live online trading. This system designs and implements a simulated exchange platform that integrates a multi-Agent engine and a test blockchain, aiming to evaluate the trading performance of Agents across various prompt templates and foundational models, while simultaneously providing users with AI-driven stock trading recommendations.</w:t>
      </w:r>
    </w:p>
    <w:p w14:paraId="11115676">
      <w:pPr>
        <w:pStyle w:val="11"/>
        <w:spacing w:line="400" w:lineRule="atLeast"/>
        <w:ind w:firstLine="480" w:firstLineChars="200"/>
        <w:rPr>
          <w:rFonts w:ascii="Times New Roman" w:hAnsi="Times New Roman"/>
          <w:sz w:val="24"/>
        </w:rPr>
      </w:pPr>
      <w:r>
        <w:rPr>
          <w:rFonts w:ascii="Times New Roman" w:hAnsi="Times New Roman"/>
          <w:sz w:val="24"/>
        </w:rPr>
        <w:t>The system architecture is comprised of three core modules: first, a simulated exchange module that acquires financial data via the Alpha Vantage API and employs a SpringBoot and Vue 3 decoupled architecture, ensuring market isolation by confining trade executions to a local database; second, a concurrent Agent decision layer based on the LangChain4j framework, which incorporates three AI traders powered by heterogeneous LLMs and configured with conservative, moderate, and aggressive risk-preference prompts to perform autonomous decision-making and tool invocation; and third, a blockchain layer where three identical ERC-20 token contracts are deployed on a Ganache test network, with liquidity provided by system accounts and dynamic pricing governed by a linear impact formula to facilitate on-chain transactions.</w:t>
      </w:r>
    </w:p>
    <w:p w14:paraId="612E9FF7">
      <w:pPr>
        <w:pStyle w:val="11"/>
        <w:spacing w:line="400" w:lineRule="atLeast"/>
        <w:ind w:firstLine="480" w:firstLineChars="200"/>
        <w:rPr>
          <w:rFonts w:ascii="Times New Roman" w:hAnsi="Times New Roman" w:eastAsia="Segoe UI"/>
          <w:color w:val="F9FAFB"/>
          <w:sz w:val="24"/>
        </w:rPr>
      </w:pPr>
      <w:r>
        <w:rPr>
          <w:rFonts w:ascii="Times New Roman" w:hAnsi="Times New Roman"/>
          <w:sz w:val="24"/>
        </w:rPr>
        <w:t>The system primarily supports two functional scenarios: AI-assisted stock decision-making based on real-market data and a "Colosseum" game for iterative trading competition on the test chain. Ultimately, this work provides a programmable and reproducible engineering foundation for the behavioral research of Large Language Models within financial scenarios.</w:t>
      </w:r>
    </w:p>
    <w:p w14:paraId="54BBC249">
      <w:pPr>
        <w:spacing w:line="400" w:lineRule="atLeast"/>
        <w:rPr>
          <w:sz w:val="24"/>
        </w:rPr>
      </w:pPr>
      <w:r>
        <w:rPr>
          <w:rFonts w:hint="eastAsia"/>
          <w:sz w:val="24"/>
        </w:rPr>
        <w:t xml:space="preserve"> </w:t>
      </w:r>
    </w:p>
    <w:p w14:paraId="42195884">
      <w:pPr>
        <w:spacing w:line="400" w:lineRule="atLeast"/>
        <w:ind w:left="1494" w:hanging="1494" w:hangingChars="620"/>
        <w:rPr>
          <w:sz w:val="24"/>
        </w:rPr>
      </w:pPr>
      <w:r>
        <w:rPr>
          <w:b/>
          <w:bCs/>
          <w:sz w:val="24"/>
        </w:rPr>
        <w:t>Key</w:t>
      </w:r>
      <w:r>
        <w:rPr>
          <w:rFonts w:hint="eastAsia"/>
          <w:b/>
          <w:bCs/>
          <w:sz w:val="24"/>
        </w:rPr>
        <w:t xml:space="preserve"> </w:t>
      </w:r>
      <w:r>
        <w:rPr>
          <w:b/>
          <w:bCs/>
          <w:sz w:val="24"/>
        </w:rPr>
        <w:t>words</w:t>
      </w:r>
      <w:r>
        <w:rPr>
          <w:rFonts w:hint="eastAsia"/>
          <w:b/>
          <w:bCs/>
          <w:sz w:val="24"/>
        </w:rPr>
        <w:t>：</w:t>
      </w:r>
      <w:r>
        <w:rPr>
          <w:sz w:val="24"/>
        </w:rPr>
        <w:t>Multi</w:t>
      </w:r>
      <w:r>
        <w:rPr>
          <w:sz w:val="24"/>
        </w:rPr>
        <w:noBreakHyphen/>
      </w:r>
      <w:r>
        <w:rPr>
          <w:sz w:val="24"/>
        </w:rPr>
        <w:t>Agent Decision</w:t>
      </w:r>
      <w:r>
        <w:rPr>
          <w:sz w:val="24"/>
        </w:rPr>
        <w:noBreakHyphen/>
      </w:r>
      <w:r>
        <w:rPr>
          <w:sz w:val="24"/>
        </w:rPr>
        <w:t>Making; Financial Trading Simulation; Blockchain Trading; LangChain</w:t>
      </w:r>
    </w:p>
    <w:p w14:paraId="61658C4E">
      <w:pPr>
        <w:spacing w:line="400" w:lineRule="atLeast"/>
        <w:ind w:left="1488" w:hanging="1488" w:hangingChars="620"/>
        <w:rPr>
          <w:sz w:val="24"/>
        </w:rPr>
      </w:pPr>
    </w:p>
    <w:p w14:paraId="0FC469B3">
      <w:pPr>
        <w:spacing w:line="400" w:lineRule="atLeast"/>
        <w:ind w:left="1488" w:hanging="1488" w:hangingChars="620"/>
        <w:rPr>
          <w:sz w:val="24"/>
        </w:rPr>
      </w:pPr>
    </w:p>
    <w:p w14:paraId="7D17B7F0">
      <w:pPr>
        <w:widowControl/>
        <w:pBdr>
          <w:bottom w:val="none" w:color="808080" w:sz="0" w:space="0"/>
        </w:pBdr>
        <w:spacing w:before="480" w:after="480"/>
        <w:rPr>
          <w:rFonts w:ascii="Arial" w:hAnsi="Arial" w:cs="Arial"/>
          <w:szCs w:val="21"/>
        </w:rPr>
      </w:pPr>
    </w:p>
    <w:p w14:paraId="11F87012">
      <w:pPr>
        <w:spacing w:line="400" w:lineRule="atLeast"/>
        <w:ind w:left="1488" w:hanging="1488" w:hangingChars="620"/>
        <w:rPr>
          <w:sz w:val="24"/>
        </w:rPr>
        <w:sectPr>
          <w:pgSz w:w="11906" w:h="16838"/>
          <w:pgMar w:top="1701" w:right="1418" w:bottom="1418" w:left="1418" w:header="907" w:footer="851" w:gutter="567"/>
          <w:pgNumType w:fmt="upperRoman"/>
          <w:cols w:space="720" w:num="1"/>
          <w:docGrid w:type="lines" w:linePitch="312" w:charSpace="0"/>
        </w:sectPr>
      </w:pPr>
    </w:p>
    <w:p w14:paraId="02F01C03">
      <w:pPr>
        <w:tabs>
          <w:tab w:val="right" w:leader="dot" w:pos="8280"/>
        </w:tabs>
        <w:spacing w:line="400" w:lineRule="exact"/>
        <w:rPr>
          <w:rFonts w:hint="eastAsia" w:hAnsi="宋体"/>
          <w:b/>
        </w:rPr>
      </w:pPr>
    </w:p>
    <w:sdt>
      <w:sdtPr>
        <w:rPr>
          <w:rFonts w:ascii="宋体" w:hAnsi="宋体"/>
        </w:rPr>
        <w:id w:val="147465199"/>
        <w15:color w:val="DBDBDB"/>
        <w:docPartObj>
          <w:docPartGallery w:val="Table of Contents"/>
          <w:docPartUnique/>
        </w:docPartObj>
      </w:sdtPr>
      <w:sdtEndPr>
        <w:rPr>
          <w:rFonts w:ascii="宋体" w:hAnsi="宋体"/>
        </w:rPr>
      </w:sdtEndPr>
      <w:sdtContent>
        <w:p w14:paraId="506F5EC7">
          <w:pPr>
            <w:jc w:val="center"/>
            <w:rPr>
              <w:rFonts w:hint="eastAsia" w:ascii="黑体" w:hAnsi="黑体" w:eastAsia="黑体" w:cs="黑体"/>
              <w:b/>
              <w:bCs/>
              <w:sz w:val="32"/>
              <w:szCs w:val="32"/>
            </w:rPr>
          </w:pPr>
          <w:r>
            <w:rPr>
              <w:rFonts w:hint="eastAsia" w:ascii="黑体" w:hAnsi="黑体" w:eastAsia="黑体" w:cs="黑体"/>
              <w:b/>
              <w:bCs/>
              <w:sz w:val="32"/>
              <w:szCs w:val="32"/>
            </w:rPr>
            <w:t>目  录</w:t>
          </w:r>
        </w:p>
        <w:p w14:paraId="5B93E145">
          <w:pPr>
            <w:jc w:val="center"/>
            <w:rPr>
              <w:rFonts w:hint="eastAsia" w:ascii="宋体" w:hAnsi="宋体"/>
            </w:rPr>
          </w:pPr>
        </w:p>
        <w:p w14:paraId="5335F0E7">
          <w:pPr>
            <w:pStyle w:val="16"/>
            <w:tabs>
              <w:tab w:val="right" w:leader="dot" w:pos="8503"/>
            </w:tabs>
            <w:spacing w:line="400" w:lineRule="exact"/>
          </w:pPr>
          <w:r>
            <w:fldChar w:fldCharType="begin"/>
          </w:r>
          <w:r>
            <w:instrText xml:space="preserve">TOC \o "1-3" \h \u </w:instrText>
          </w:r>
          <w:r>
            <w:fldChar w:fldCharType="separate"/>
          </w:r>
          <w:r>
            <w:fldChar w:fldCharType="begin"/>
          </w:r>
          <w:r>
            <w:instrText xml:space="preserve"> HYPERLINK \l "_Toc26084" </w:instrText>
          </w:r>
          <w:r>
            <w:fldChar w:fldCharType="separate"/>
          </w:r>
          <w:r>
            <w:rPr>
              <w:rFonts w:hint="eastAsia" w:ascii="黑体" w:hAnsi="黑体" w:eastAsia="黑体" w:cs="黑体"/>
              <w:sz w:val="28"/>
              <w:szCs w:val="28"/>
            </w:rPr>
            <w:t>摘要</w:t>
          </w:r>
          <w:r>
            <w:rPr>
              <w:rFonts w:hint="eastAsia" w:ascii="黑体" w:hAnsi="黑体" w:eastAsia="黑体" w:cs="黑体"/>
              <w:sz w:val="28"/>
              <w:szCs w:val="28"/>
            </w:rPr>
            <w:tab/>
          </w:r>
          <w:r>
            <w:rPr>
              <w:rFonts w:eastAsia="黑体"/>
              <w:szCs w:val="21"/>
            </w:rPr>
            <w:fldChar w:fldCharType="begin"/>
          </w:r>
          <w:r>
            <w:rPr>
              <w:rFonts w:eastAsia="黑体"/>
              <w:szCs w:val="21"/>
            </w:rPr>
            <w:instrText xml:space="preserve"> PAGEREF _Toc26084 \h </w:instrText>
          </w:r>
          <w:r>
            <w:rPr>
              <w:rFonts w:eastAsia="黑体"/>
              <w:szCs w:val="21"/>
            </w:rPr>
            <w:fldChar w:fldCharType="separate"/>
          </w:r>
          <w:r>
            <w:rPr>
              <w:rFonts w:eastAsia="黑体"/>
              <w:szCs w:val="21"/>
            </w:rPr>
            <w:t>I</w:t>
          </w:r>
          <w:r>
            <w:rPr>
              <w:rFonts w:eastAsia="黑体"/>
              <w:szCs w:val="21"/>
            </w:rPr>
            <w:fldChar w:fldCharType="end"/>
          </w:r>
          <w:r>
            <w:rPr>
              <w:rFonts w:eastAsia="黑体"/>
              <w:szCs w:val="21"/>
            </w:rPr>
            <w:fldChar w:fldCharType="end"/>
          </w:r>
        </w:p>
        <w:p w14:paraId="5767A9C7">
          <w:pPr>
            <w:pStyle w:val="16"/>
            <w:tabs>
              <w:tab w:val="right" w:leader="dot" w:pos="8503"/>
            </w:tabs>
            <w:spacing w:line="400" w:lineRule="exact"/>
            <w:rPr>
              <w:rFonts w:hint="eastAsia" w:ascii="黑体" w:hAnsi="黑体" w:eastAsia="黑体" w:cs="黑体"/>
              <w:sz w:val="28"/>
              <w:szCs w:val="28"/>
            </w:rPr>
          </w:pPr>
          <w:r>
            <w:fldChar w:fldCharType="begin"/>
          </w:r>
          <w:r>
            <w:instrText xml:space="preserve"> HYPERLINK \l "_Toc18554" </w:instrText>
          </w:r>
          <w:r>
            <w:fldChar w:fldCharType="separate"/>
          </w:r>
          <w:r>
            <w:rPr>
              <w:rFonts w:eastAsia="黑体"/>
              <w:sz w:val="28"/>
              <w:szCs w:val="28"/>
            </w:rPr>
            <w:t>ABSTRACT</w:t>
          </w:r>
          <w:r>
            <w:rPr>
              <w:rFonts w:hint="eastAsia" w:ascii="黑体" w:hAnsi="黑体" w:eastAsia="黑体" w:cs="黑体"/>
              <w:sz w:val="28"/>
              <w:szCs w:val="28"/>
            </w:rPr>
            <w:tab/>
          </w:r>
          <w:r>
            <w:rPr>
              <w:rFonts w:eastAsia="黑体"/>
              <w:szCs w:val="21"/>
            </w:rPr>
            <w:fldChar w:fldCharType="begin"/>
          </w:r>
          <w:r>
            <w:rPr>
              <w:rFonts w:eastAsia="黑体"/>
              <w:szCs w:val="21"/>
            </w:rPr>
            <w:instrText xml:space="preserve"> PAGEREF _Toc18554 \h </w:instrText>
          </w:r>
          <w:r>
            <w:rPr>
              <w:rFonts w:eastAsia="黑体"/>
              <w:szCs w:val="21"/>
            </w:rPr>
            <w:fldChar w:fldCharType="separate"/>
          </w:r>
          <w:r>
            <w:rPr>
              <w:rFonts w:eastAsia="黑体"/>
              <w:szCs w:val="21"/>
            </w:rPr>
            <w:t>II</w:t>
          </w:r>
          <w:r>
            <w:rPr>
              <w:rFonts w:eastAsia="黑体"/>
              <w:szCs w:val="21"/>
            </w:rPr>
            <w:fldChar w:fldCharType="end"/>
          </w:r>
          <w:r>
            <w:rPr>
              <w:rFonts w:eastAsia="黑体"/>
              <w:szCs w:val="21"/>
            </w:rPr>
            <w:fldChar w:fldCharType="end"/>
          </w:r>
        </w:p>
        <w:p w14:paraId="3EE92BA8">
          <w:pPr>
            <w:pStyle w:val="16"/>
            <w:tabs>
              <w:tab w:val="right" w:leader="dot" w:pos="8503"/>
            </w:tabs>
            <w:spacing w:line="400" w:lineRule="exact"/>
          </w:pPr>
          <w:r>
            <w:fldChar w:fldCharType="begin"/>
          </w:r>
          <w:r>
            <w:instrText xml:space="preserve"> HYPERLINK \l "_Toc25002" </w:instrText>
          </w:r>
          <w:r>
            <w:fldChar w:fldCharType="separate"/>
          </w:r>
          <w:r>
            <w:rPr>
              <w:rFonts w:hint="eastAsia" w:ascii="黑体" w:hAnsi="黑体" w:eastAsia="黑体" w:cs="黑体"/>
              <w:sz w:val="28"/>
              <w:szCs w:val="28"/>
            </w:rPr>
            <w:t>1 绪论</w:t>
          </w:r>
          <w:r>
            <w:rPr>
              <w:rFonts w:hint="eastAsia" w:ascii="黑体" w:hAnsi="黑体" w:eastAsia="黑体" w:cs="黑体"/>
              <w:sz w:val="28"/>
              <w:szCs w:val="28"/>
            </w:rPr>
            <w:tab/>
          </w:r>
          <w:r>
            <w:rPr>
              <w:rFonts w:eastAsia="黑体"/>
              <w:szCs w:val="21"/>
            </w:rPr>
            <w:fldChar w:fldCharType="begin"/>
          </w:r>
          <w:r>
            <w:rPr>
              <w:rFonts w:eastAsia="黑体"/>
              <w:szCs w:val="21"/>
            </w:rPr>
            <w:instrText xml:space="preserve"> PAGEREF _Toc25002 \h </w:instrText>
          </w:r>
          <w:r>
            <w:rPr>
              <w:rFonts w:eastAsia="黑体"/>
              <w:szCs w:val="21"/>
            </w:rPr>
            <w:fldChar w:fldCharType="separate"/>
          </w:r>
          <w:r>
            <w:rPr>
              <w:rFonts w:eastAsia="黑体"/>
              <w:szCs w:val="21"/>
            </w:rPr>
            <w:t>1</w:t>
          </w:r>
          <w:r>
            <w:rPr>
              <w:rFonts w:eastAsia="黑体"/>
              <w:szCs w:val="21"/>
            </w:rPr>
            <w:fldChar w:fldCharType="end"/>
          </w:r>
          <w:r>
            <w:rPr>
              <w:rFonts w:eastAsia="黑体"/>
              <w:szCs w:val="21"/>
            </w:rPr>
            <w:fldChar w:fldCharType="end"/>
          </w:r>
        </w:p>
        <w:p w14:paraId="123CA93F">
          <w:pPr>
            <w:pStyle w:val="17"/>
            <w:tabs>
              <w:tab w:val="right" w:leader="dot" w:pos="8503"/>
            </w:tabs>
            <w:spacing w:line="400" w:lineRule="exact"/>
          </w:pPr>
          <w:r>
            <w:fldChar w:fldCharType="begin"/>
          </w:r>
          <w:r>
            <w:instrText xml:space="preserve"> HYPERLINK \l "_Toc4979" </w:instrText>
          </w:r>
          <w:r>
            <w:fldChar w:fldCharType="separate"/>
          </w:r>
          <w:r>
            <w:rPr>
              <w:rFonts w:hint="eastAsia" w:ascii="黑体" w:eastAsia="黑体"/>
            </w:rPr>
            <w:t>1.1</w:t>
          </w:r>
          <w:r>
            <w:rPr>
              <w:rFonts w:ascii="黑体" w:eastAsia="黑体"/>
            </w:rPr>
            <w:t xml:space="preserve"> </w:t>
          </w:r>
          <w:r>
            <w:rPr>
              <w:rFonts w:hint="eastAsia" w:ascii="黑体" w:eastAsia="黑体"/>
            </w:rPr>
            <w:t>研究背景与意义</w:t>
          </w:r>
          <w:r>
            <w:tab/>
          </w:r>
          <w:r>
            <w:fldChar w:fldCharType="begin"/>
          </w:r>
          <w:r>
            <w:instrText xml:space="preserve"> PAGEREF _Toc4979 \h </w:instrText>
          </w:r>
          <w:r>
            <w:fldChar w:fldCharType="separate"/>
          </w:r>
          <w:r>
            <w:t>1</w:t>
          </w:r>
          <w:r>
            <w:fldChar w:fldCharType="end"/>
          </w:r>
          <w:r>
            <w:fldChar w:fldCharType="end"/>
          </w:r>
        </w:p>
        <w:p w14:paraId="3C3587DD">
          <w:pPr>
            <w:pStyle w:val="17"/>
            <w:tabs>
              <w:tab w:val="right" w:leader="dot" w:pos="8503"/>
            </w:tabs>
            <w:spacing w:line="400" w:lineRule="exact"/>
          </w:pPr>
          <w:r>
            <w:fldChar w:fldCharType="begin"/>
          </w:r>
          <w:r>
            <w:instrText xml:space="preserve"> HYPERLINK \l "_Toc1404" </w:instrText>
          </w:r>
          <w:r>
            <w:fldChar w:fldCharType="separate"/>
          </w:r>
          <w:r>
            <w:rPr>
              <w:rFonts w:hint="eastAsia" w:ascii="黑体" w:eastAsia="黑体"/>
            </w:rPr>
            <w:t>1.2 国内外研究现状</w:t>
          </w:r>
          <w:r>
            <w:tab/>
          </w:r>
          <w:r>
            <w:rPr>
              <w:rFonts w:eastAsia="黑体"/>
              <w:szCs w:val="21"/>
            </w:rPr>
            <w:fldChar w:fldCharType="begin"/>
          </w:r>
          <w:r>
            <w:rPr>
              <w:rFonts w:eastAsia="黑体"/>
              <w:szCs w:val="21"/>
            </w:rPr>
            <w:instrText xml:space="preserve"> PAGEREF _Toc1404 \h </w:instrText>
          </w:r>
          <w:r>
            <w:rPr>
              <w:rFonts w:eastAsia="黑体"/>
              <w:szCs w:val="21"/>
            </w:rPr>
            <w:fldChar w:fldCharType="separate"/>
          </w:r>
          <w:r>
            <w:rPr>
              <w:rFonts w:eastAsia="黑体"/>
              <w:szCs w:val="21"/>
            </w:rPr>
            <w:t>2</w:t>
          </w:r>
          <w:r>
            <w:rPr>
              <w:rFonts w:eastAsia="黑体"/>
              <w:szCs w:val="21"/>
            </w:rPr>
            <w:fldChar w:fldCharType="end"/>
          </w:r>
          <w:r>
            <w:rPr>
              <w:rFonts w:eastAsia="黑体"/>
              <w:szCs w:val="21"/>
            </w:rPr>
            <w:fldChar w:fldCharType="end"/>
          </w:r>
        </w:p>
        <w:p w14:paraId="6CAA090B">
          <w:pPr>
            <w:pStyle w:val="10"/>
            <w:tabs>
              <w:tab w:val="right" w:leader="dot" w:pos="8503"/>
            </w:tabs>
            <w:spacing w:line="400" w:lineRule="exact"/>
            <w:rPr>
              <w:rFonts w:hint="eastAsia" w:ascii="宋体" w:hAnsi="宋体" w:cs="宋体"/>
              <w:szCs w:val="28"/>
            </w:rPr>
          </w:pPr>
          <w:r>
            <w:fldChar w:fldCharType="begin"/>
          </w:r>
          <w:r>
            <w:instrText xml:space="preserve"> HYPERLINK \l "_Toc23268" </w:instrText>
          </w:r>
          <w:r>
            <w:fldChar w:fldCharType="separate"/>
          </w:r>
          <w:r>
            <w:rPr>
              <w:rFonts w:hint="eastAsia" w:ascii="宋体" w:hAnsi="宋体" w:cs="宋体"/>
              <w:szCs w:val="28"/>
            </w:rPr>
            <w:t>1.2.1大语言模型在金融领域的应用</w:t>
          </w:r>
          <w:r>
            <w:rPr>
              <w:rFonts w:hint="eastAsia" w:ascii="宋体" w:hAnsi="宋体" w:cs="宋体"/>
              <w:szCs w:val="28"/>
            </w:rPr>
            <w:tab/>
          </w:r>
          <w:r>
            <w:rPr>
              <w:szCs w:val="28"/>
            </w:rPr>
            <w:fldChar w:fldCharType="begin"/>
          </w:r>
          <w:r>
            <w:rPr>
              <w:szCs w:val="28"/>
            </w:rPr>
            <w:instrText xml:space="preserve"> PAGEREF _Toc23268 \h </w:instrText>
          </w:r>
          <w:r>
            <w:rPr>
              <w:szCs w:val="28"/>
            </w:rPr>
            <w:fldChar w:fldCharType="separate"/>
          </w:r>
          <w:r>
            <w:rPr>
              <w:szCs w:val="28"/>
            </w:rPr>
            <w:t>2</w:t>
          </w:r>
          <w:r>
            <w:rPr>
              <w:szCs w:val="28"/>
            </w:rPr>
            <w:fldChar w:fldCharType="end"/>
          </w:r>
          <w:r>
            <w:rPr>
              <w:szCs w:val="28"/>
            </w:rPr>
            <w:fldChar w:fldCharType="end"/>
          </w:r>
        </w:p>
        <w:p w14:paraId="5229CA14">
          <w:pPr>
            <w:pStyle w:val="10"/>
            <w:tabs>
              <w:tab w:val="right" w:leader="dot" w:pos="8503"/>
            </w:tabs>
            <w:spacing w:line="400" w:lineRule="exact"/>
          </w:pPr>
          <w:r>
            <w:fldChar w:fldCharType="begin"/>
          </w:r>
          <w:r>
            <w:instrText xml:space="preserve"> HYPERLINK \l "_Toc21270" </w:instrText>
          </w:r>
          <w:r>
            <w:fldChar w:fldCharType="separate"/>
          </w:r>
          <w:r>
            <w:rPr>
              <w:rFonts w:hint="eastAsia" w:ascii="宋体" w:hAnsi="宋体" w:cs="宋体"/>
              <w:szCs w:val="28"/>
            </w:rPr>
            <w:t>1.2.3模拟交易所的工程积累</w:t>
          </w:r>
          <w:r>
            <w:rPr>
              <w:rFonts w:hint="eastAsia" w:ascii="宋体" w:hAnsi="宋体" w:cs="宋体"/>
              <w:szCs w:val="28"/>
            </w:rPr>
            <w:tab/>
          </w:r>
          <w:r>
            <w:rPr>
              <w:rFonts w:hint="eastAsia"/>
              <w:szCs w:val="28"/>
            </w:rPr>
            <w:fldChar w:fldCharType="begin"/>
          </w:r>
          <w:r>
            <w:rPr>
              <w:rFonts w:hint="eastAsia"/>
              <w:szCs w:val="28"/>
            </w:rPr>
            <w:instrText xml:space="preserve"> PAGEREF _Toc21270 \h </w:instrText>
          </w:r>
          <w:r>
            <w:rPr>
              <w:rFonts w:hint="eastAsia"/>
              <w:szCs w:val="28"/>
            </w:rPr>
            <w:fldChar w:fldCharType="separate"/>
          </w:r>
          <w:r>
            <w:rPr>
              <w:rFonts w:hint="eastAsia"/>
              <w:szCs w:val="28"/>
            </w:rPr>
            <w:t>2</w:t>
          </w:r>
          <w:r>
            <w:rPr>
              <w:rFonts w:hint="eastAsia"/>
              <w:szCs w:val="28"/>
            </w:rPr>
            <w:fldChar w:fldCharType="end"/>
          </w:r>
          <w:r>
            <w:rPr>
              <w:rFonts w:hint="eastAsia"/>
              <w:szCs w:val="28"/>
            </w:rPr>
            <w:fldChar w:fldCharType="end"/>
          </w:r>
        </w:p>
        <w:p w14:paraId="283A4E70">
          <w:pPr>
            <w:pStyle w:val="17"/>
            <w:tabs>
              <w:tab w:val="right" w:leader="dot" w:pos="8503"/>
            </w:tabs>
            <w:spacing w:line="400" w:lineRule="exact"/>
          </w:pPr>
          <w:r>
            <w:fldChar w:fldCharType="begin"/>
          </w:r>
          <w:r>
            <w:instrText xml:space="preserve"> HYPERLINK \l "_Toc20594" </w:instrText>
          </w:r>
          <w:r>
            <w:fldChar w:fldCharType="separate"/>
          </w:r>
          <w:r>
            <w:rPr>
              <w:rFonts w:hint="eastAsia" w:ascii="黑体" w:eastAsia="黑体"/>
            </w:rPr>
            <w:t>1.3 主要研究内容</w:t>
          </w:r>
          <w:r>
            <w:tab/>
          </w:r>
          <w:r>
            <w:rPr>
              <w:rFonts w:hint="eastAsia"/>
              <w:szCs w:val="28"/>
            </w:rPr>
            <w:fldChar w:fldCharType="begin"/>
          </w:r>
          <w:r>
            <w:rPr>
              <w:rFonts w:hint="eastAsia"/>
              <w:szCs w:val="28"/>
            </w:rPr>
            <w:instrText xml:space="preserve"> PAGEREF _Toc20594 \h </w:instrText>
          </w:r>
          <w:r>
            <w:rPr>
              <w:rFonts w:hint="eastAsia"/>
              <w:szCs w:val="28"/>
            </w:rPr>
            <w:fldChar w:fldCharType="separate"/>
          </w:r>
          <w:r>
            <w:rPr>
              <w:rFonts w:hint="eastAsia"/>
              <w:szCs w:val="28"/>
            </w:rPr>
            <w:t>2</w:t>
          </w:r>
          <w:r>
            <w:rPr>
              <w:rFonts w:hint="eastAsia"/>
              <w:szCs w:val="28"/>
            </w:rPr>
            <w:fldChar w:fldCharType="end"/>
          </w:r>
          <w:r>
            <w:rPr>
              <w:rFonts w:hint="eastAsia"/>
              <w:szCs w:val="28"/>
            </w:rPr>
            <w:fldChar w:fldCharType="end"/>
          </w:r>
        </w:p>
        <w:p w14:paraId="5FDFEB1D">
          <w:pPr>
            <w:pStyle w:val="16"/>
            <w:tabs>
              <w:tab w:val="right" w:leader="dot" w:pos="8503"/>
            </w:tabs>
            <w:spacing w:line="400" w:lineRule="exact"/>
          </w:pPr>
          <w:r>
            <w:fldChar w:fldCharType="begin"/>
          </w:r>
          <w:r>
            <w:instrText xml:space="preserve"> HYPERLINK \l "_Toc30967" </w:instrText>
          </w:r>
          <w:r>
            <w:fldChar w:fldCharType="separate"/>
          </w:r>
          <w:r>
            <w:rPr>
              <w:rFonts w:hint="eastAsia" w:ascii="黑体" w:hAnsi="黑体" w:eastAsia="黑体" w:cs="黑体"/>
              <w:sz w:val="28"/>
              <w:szCs w:val="28"/>
            </w:rPr>
            <w:t xml:space="preserve"> 2 相关理论与关键技术</w:t>
          </w:r>
          <w:r>
            <w:tab/>
          </w:r>
          <w:r>
            <w:rPr>
              <w:rFonts w:hint="eastAsia"/>
              <w:szCs w:val="28"/>
            </w:rPr>
            <w:fldChar w:fldCharType="begin"/>
          </w:r>
          <w:r>
            <w:rPr>
              <w:rFonts w:hint="eastAsia"/>
              <w:szCs w:val="28"/>
            </w:rPr>
            <w:instrText xml:space="preserve"> PAGEREF _Toc30967 \h </w:instrText>
          </w:r>
          <w:r>
            <w:rPr>
              <w:rFonts w:hint="eastAsia"/>
              <w:szCs w:val="28"/>
            </w:rPr>
            <w:fldChar w:fldCharType="separate"/>
          </w:r>
          <w:r>
            <w:rPr>
              <w:rFonts w:hint="eastAsia"/>
              <w:szCs w:val="28"/>
            </w:rPr>
            <w:t>4</w:t>
          </w:r>
          <w:r>
            <w:rPr>
              <w:rFonts w:hint="eastAsia"/>
              <w:szCs w:val="28"/>
            </w:rPr>
            <w:fldChar w:fldCharType="end"/>
          </w:r>
          <w:r>
            <w:rPr>
              <w:rFonts w:hint="eastAsia"/>
              <w:szCs w:val="28"/>
            </w:rPr>
            <w:fldChar w:fldCharType="end"/>
          </w:r>
        </w:p>
        <w:p w14:paraId="2C4B9BDE">
          <w:pPr>
            <w:pStyle w:val="17"/>
            <w:tabs>
              <w:tab w:val="right" w:leader="dot" w:pos="8503"/>
            </w:tabs>
            <w:spacing w:line="400" w:lineRule="exact"/>
          </w:pPr>
          <w:r>
            <w:fldChar w:fldCharType="begin"/>
          </w:r>
          <w:r>
            <w:instrText xml:space="preserve"> HYPERLINK \l "_Toc26186" </w:instrText>
          </w:r>
          <w:r>
            <w:fldChar w:fldCharType="separate"/>
          </w:r>
          <w:r>
            <w:rPr>
              <w:rFonts w:hint="eastAsia" w:ascii="黑体" w:eastAsia="黑体"/>
            </w:rPr>
            <w:t>2.1 前后端框架</w:t>
          </w:r>
          <w:r>
            <w:tab/>
          </w:r>
          <w:r>
            <w:rPr>
              <w:rFonts w:hint="eastAsia"/>
              <w:szCs w:val="28"/>
            </w:rPr>
            <w:fldChar w:fldCharType="begin"/>
          </w:r>
          <w:r>
            <w:rPr>
              <w:rFonts w:hint="eastAsia"/>
              <w:szCs w:val="28"/>
            </w:rPr>
            <w:instrText xml:space="preserve"> PAGEREF _Toc26186 \h </w:instrText>
          </w:r>
          <w:r>
            <w:rPr>
              <w:rFonts w:hint="eastAsia"/>
              <w:szCs w:val="28"/>
            </w:rPr>
            <w:fldChar w:fldCharType="separate"/>
          </w:r>
          <w:r>
            <w:rPr>
              <w:rFonts w:hint="eastAsia"/>
              <w:szCs w:val="28"/>
            </w:rPr>
            <w:t>4</w:t>
          </w:r>
          <w:r>
            <w:rPr>
              <w:rFonts w:hint="eastAsia"/>
              <w:szCs w:val="28"/>
            </w:rPr>
            <w:fldChar w:fldCharType="end"/>
          </w:r>
          <w:r>
            <w:rPr>
              <w:rFonts w:hint="eastAsia"/>
              <w:szCs w:val="28"/>
            </w:rPr>
            <w:fldChar w:fldCharType="end"/>
          </w:r>
        </w:p>
        <w:p w14:paraId="6BA74F70">
          <w:pPr>
            <w:pStyle w:val="10"/>
            <w:tabs>
              <w:tab w:val="right" w:leader="dot" w:pos="8503"/>
            </w:tabs>
            <w:spacing w:line="400" w:lineRule="exact"/>
            <w:rPr>
              <w:rFonts w:hint="eastAsia" w:ascii="宋体" w:hAnsi="宋体" w:cs="宋体"/>
              <w:szCs w:val="28"/>
            </w:rPr>
          </w:pPr>
          <w:r>
            <w:fldChar w:fldCharType="begin"/>
          </w:r>
          <w:r>
            <w:instrText xml:space="preserve"> HYPERLINK \l "_Toc20382" </w:instrText>
          </w:r>
          <w:r>
            <w:fldChar w:fldCharType="separate"/>
          </w:r>
          <w:r>
            <w:rPr>
              <w:rFonts w:hint="eastAsia" w:ascii="宋体" w:hAnsi="宋体" w:cs="宋体"/>
              <w:szCs w:val="28"/>
            </w:rPr>
            <w:t xml:space="preserve">2.1.1 </w:t>
          </w:r>
          <w:r>
            <w:rPr>
              <w:rFonts w:ascii="宋体" w:hAnsi="宋体" w:cs="宋体"/>
              <w:szCs w:val="28"/>
            </w:rPr>
            <w:t>SpringBoot</w:t>
          </w:r>
          <w:r>
            <w:rPr>
              <w:rFonts w:hint="eastAsia" w:ascii="宋体" w:hAnsi="宋体" w:cs="宋体"/>
              <w:szCs w:val="28"/>
            </w:rPr>
            <w:t>框架</w:t>
          </w:r>
          <w:r>
            <w:rPr>
              <w:rFonts w:hint="eastAsia" w:ascii="宋体" w:hAnsi="宋体" w:cs="宋体"/>
              <w:szCs w:val="28"/>
            </w:rPr>
            <w:tab/>
          </w:r>
          <w:r>
            <w:rPr>
              <w:rFonts w:hint="eastAsia"/>
              <w:szCs w:val="28"/>
            </w:rPr>
            <w:fldChar w:fldCharType="begin"/>
          </w:r>
          <w:r>
            <w:rPr>
              <w:rFonts w:hint="eastAsia"/>
              <w:szCs w:val="28"/>
            </w:rPr>
            <w:instrText xml:space="preserve"> PAGEREF _Toc20382 \h </w:instrText>
          </w:r>
          <w:r>
            <w:rPr>
              <w:rFonts w:hint="eastAsia"/>
              <w:szCs w:val="28"/>
            </w:rPr>
            <w:fldChar w:fldCharType="separate"/>
          </w:r>
          <w:r>
            <w:rPr>
              <w:rFonts w:hint="eastAsia"/>
              <w:szCs w:val="28"/>
            </w:rPr>
            <w:t>4</w:t>
          </w:r>
          <w:r>
            <w:rPr>
              <w:rFonts w:hint="eastAsia"/>
              <w:szCs w:val="28"/>
            </w:rPr>
            <w:fldChar w:fldCharType="end"/>
          </w:r>
          <w:r>
            <w:rPr>
              <w:rFonts w:hint="eastAsia"/>
              <w:szCs w:val="28"/>
            </w:rPr>
            <w:fldChar w:fldCharType="end"/>
          </w:r>
        </w:p>
        <w:p w14:paraId="0C9F79F2">
          <w:pPr>
            <w:pStyle w:val="10"/>
            <w:tabs>
              <w:tab w:val="right" w:leader="dot" w:pos="8503"/>
            </w:tabs>
            <w:spacing w:line="400" w:lineRule="exact"/>
          </w:pPr>
          <w:r>
            <w:fldChar w:fldCharType="begin"/>
          </w:r>
          <w:r>
            <w:instrText xml:space="preserve"> HYPERLINK \l "_Toc3562" </w:instrText>
          </w:r>
          <w:r>
            <w:fldChar w:fldCharType="separate"/>
          </w:r>
          <w:r>
            <w:rPr>
              <w:rFonts w:hint="eastAsia" w:ascii="宋体" w:hAnsi="宋体" w:cs="宋体"/>
              <w:szCs w:val="28"/>
            </w:rPr>
            <w:t xml:space="preserve">2.1.2 </w:t>
          </w:r>
          <w:r>
            <w:rPr>
              <w:rFonts w:ascii="宋体" w:hAnsi="宋体" w:cs="宋体"/>
              <w:szCs w:val="28"/>
            </w:rPr>
            <w:t>Vue</w:t>
          </w:r>
          <w:r>
            <w:rPr>
              <w:rFonts w:hint="eastAsia" w:ascii="宋体" w:hAnsi="宋体" w:cs="宋体"/>
              <w:szCs w:val="28"/>
            </w:rPr>
            <w:t xml:space="preserve"> 3框架</w:t>
          </w:r>
          <w:r>
            <w:rPr>
              <w:rFonts w:hint="eastAsia" w:ascii="宋体" w:hAnsi="宋体" w:cs="宋体"/>
              <w:szCs w:val="28"/>
            </w:rPr>
            <w:tab/>
          </w:r>
          <w:r>
            <w:rPr>
              <w:rFonts w:hint="eastAsia"/>
              <w:szCs w:val="28"/>
            </w:rPr>
            <w:fldChar w:fldCharType="begin"/>
          </w:r>
          <w:r>
            <w:rPr>
              <w:rFonts w:hint="eastAsia"/>
              <w:szCs w:val="28"/>
            </w:rPr>
            <w:instrText xml:space="preserve"> PAGEREF _Toc3562 \h </w:instrText>
          </w:r>
          <w:r>
            <w:rPr>
              <w:rFonts w:hint="eastAsia"/>
              <w:szCs w:val="28"/>
            </w:rPr>
            <w:fldChar w:fldCharType="separate"/>
          </w:r>
          <w:r>
            <w:rPr>
              <w:rFonts w:hint="eastAsia"/>
              <w:szCs w:val="28"/>
            </w:rPr>
            <w:t>4</w:t>
          </w:r>
          <w:r>
            <w:rPr>
              <w:rFonts w:hint="eastAsia"/>
              <w:szCs w:val="28"/>
            </w:rPr>
            <w:fldChar w:fldCharType="end"/>
          </w:r>
          <w:r>
            <w:rPr>
              <w:rFonts w:hint="eastAsia"/>
              <w:szCs w:val="28"/>
            </w:rPr>
            <w:fldChar w:fldCharType="end"/>
          </w:r>
        </w:p>
        <w:p w14:paraId="5D15EEF0">
          <w:pPr>
            <w:pStyle w:val="17"/>
            <w:tabs>
              <w:tab w:val="right" w:leader="dot" w:pos="8503"/>
            </w:tabs>
            <w:spacing w:line="400" w:lineRule="exact"/>
          </w:pPr>
          <w:r>
            <w:fldChar w:fldCharType="begin"/>
          </w:r>
          <w:r>
            <w:instrText xml:space="preserve"> HYPERLINK \l "_Toc31136" </w:instrText>
          </w:r>
          <w:r>
            <w:fldChar w:fldCharType="separate"/>
          </w:r>
          <w:r>
            <w:rPr>
              <w:rFonts w:hint="eastAsia" w:ascii="黑体" w:eastAsia="黑体"/>
            </w:rPr>
            <w:t xml:space="preserve">2.2 </w:t>
          </w:r>
          <w:r>
            <w:rPr>
              <w:rFonts w:eastAsia="黑体"/>
            </w:rPr>
            <w:t>Alpha</w:t>
          </w:r>
          <w:r>
            <w:rPr>
              <w:rFonts w:hint="eastAsia" w:ascii="黑体" w:eastAsia="黑体"/>
            </w:rPr>
            <w:t xml:space="preserve"> </w:t>
          </w:r>
          <w:r>
            <w:rPr>
              <w:rFonts w:eastAsia="黑体"/>
            </w:rPr>
            <w:t>Vantage</w:t>
          </w:r>
          <w:r>
            <w:rPr>
              <w:rFonts w:hint="eastAsia" w:ascii="黑体" w:eastAsia="黑体"/>
            </w:rPr>
            <w:t>金融数据</w:t>
          </w:r>
          <w:r>
            <w:rPr>
              <w:rFonts w:eastAsia="黑体"/>
            </w:rPr>
            <w:t>API</w:t>
          </w:r>
          <w:r>
            <w:tab/>
          </w:r>
          <w:r>
            <w:fldChar w:fldCharType="begin"/>
          </w:r>
          <w:r>
            <w:instrText xml:space="preserve"> PAGEREF _Toc31136 \h </w:instrText>
          </w:r>
          <w:r>
            <w:fldChar w:fldCharType="separate"/>
          </w:r>
          <w:r>
            <w:t>4</w:t>
          </w:r>
          <w:r>
            <w:fldChar w:fldCharType="end"/>
          </w:r>
          <w:r>
            <w:fldChar w:fldCharType="end"/>
          </w:r>
        </w:p>
        <w:p w14:paraId="2D7C459B">
          <w:pPr>
            <w:pStyle w:val="17"/>
            <w:tabs>
              <w:tab w:val="right" w:leader="dot" w:pos="8503"/>
            </w:tabs>
            <w:spacing w:line="400" w:lineRule="exact"/>
          </w:pPr>
          <w:r>
            <w:fldChar w:fldCharType="begin"/>
          </w:r>
          <w:r>
            <w:instrText xml:space="preserve"> HYPERLINK \l "_Toc16986" </w:instrText>
          </w:r>
          <w:r>
            <w:fldChar w:fldCharType="separate"/>
          </w:r>
          <w:r>
            <w:rPr>
              <w:rFonts w:hint="eastAsia" w:ascii="黑体" w:eastAsia="黑体"/>
            </w:rPr>
            <w:t xml:space="preserve">2.3 </w:t>
          </w:r>
          <w:r>
            <w:rPr>
              <w:rFonts w:eastAsia="黑体"/>
            </w:rPr>
            <w:t>LangChain</w:t>
          </w:r>
          <w:r>
            <w:rPr>
              <w:rFonts w:hint="eastAsia" w:ascii="黑体" w:eastAsia="黑体"/>
            </w:rPr>
            <w:t>4</w:t>
          </w:r>
          <w:r>
            <w:rPr>
              <w:rFonts w:eastAsia="黑体"/>
            </w:rPr>
            <w:t>j</w:t>
          </w:r>
          <w:r>
            <w:rPr>
              <w:rFonts w:hint="eastAsia" w:ascii="黑体" w:eastAsia="黑体"/>
            </w:rPr>
            <w:t>大模型调用框架</w:t>
          </w:r>
          <w:r>
            <w:tab/>
          </w:r>
          <w:r>
            <w:fldChar w:fldCharType="begin"/>
          </w:r>
          <w:r>
            <w:instrText xml:space="preserve"> PAGEREF _Toc16986 \h </w:instrText>
          </w:r>
          <w:r>
            <w:fldChar w:fldCharType="separate"/>
          </w:r>
          <w:r>
            <w:t>5</w:t>
          </w:r>
          <w:r>
            <w:fldChar w:fldCharType="end"/>
          </w:r>
          <w:r>
            <w:fldChar w:fldCharType="end"/>
          </w:r>
        </w:p>
        <w:p w14:paraId="13870BAD">
          <w:pPr>
            <w:pStyle w:val="10"/>
            <w:tabs>
              <w:tab w:val="right" w:leader="dot" w:pos="8503"/>
            </w:tabs>
            <w:spacing w:line="400" w:lineRule="exact"/>
            <w:rPr>
              <w:rFonts w:hint="eastAsia" w:ascii="宋体" w:hAnsi="宋体" w:cs="宋体"/>
              <w:szCs w:val="28"/>
            </w:rPr>
          </w:pPr>
          <w:r>
            <w:fldChar w:fldCharType="begin"/>
          </w:r>
          <w:r>
            <w:instrText xml:space="preserve"> HYPERLINK \l "_Toc1418" </w:instrText>
          </w:r>
          <w:r>
            <w:fldChar w:fldCharType="separate"/>
          </w:r>
          <w:r>
            <w:rPr>
              <w:rFonts w:hint="eastAsia" w:ascii="宋体" w:hAnsi="宋体" w:cs="宋体"/>
              <w:szCs w:val="28"/>
            </w:rPr>
            <w:t>2.3.1 @</w:t>
          </w:r>
          <w:r>
            <w:rPr>
              <w:rFonts w:ascii="宋体" w:hAnsi="宋体" w:cs="宋体"/>
              <w:szCs w:val="28"/>
            </w:rPr>
            <w:t>Tool</w:t>
          </w:r>
          <w:r>
            <w:rPr>
              <w:rFonts w:hint="eastAsia" w:ascii="宋体" w:hAnsi="宋体" w:cs="宋体"/>
              <w:szCs w:val="28"/>
            </w:rPr>
            <w:t>注解</w:t>
          </w:r>
          <w:r>
            <w:rPr>
              <w:rFonts w:hint="eastAsia" w:ascii="宋体" w:hAnsi="宋体" w:cs="宋体"/>
              <w:szCs w:val="28"/>
            </w:rPr>
            <w:tab/>
          </w:r>
          <w:r>
            <w:rPr>
              <w:rFonts w:hint="eastAsia"/>
              <w:szCs w:val="28"/>
            </w:rPr>
            <w:fldChar w:fldCharType="begin"/>
          </w:r>
          <w:r>
            <w:rPr>
              <w:rFonts w:hint="eastAsia"/>
              <w:szCs w:val="28"/>
            </w:rPr>
            <w:instrText xml:space="preserve"> PAGEREF _Toc1418 \h </w:instrText>
          </w:r>
          <w:r>
            <w:rPr>
              <w:rFonts w:hint="eastAsia"/>
              <w:szCs w:val="28"/>
            </w:rPr>
            <w:fldChar w:fldCharType="separate"/>
          </w:r>
          <w:r>
            <w:rPr>
              <w:rFonts w:hint="eastAsia"/>
              <w:szCs w:val="28"/>
            </w:rPr>
            <w:t>5</w:t>
          </w:r>
          <w:r>
            <w:rPr>
              <w:rFonts w:hint="eastAsia"/>
              <w:szCs w:val="28"/>
            </w:rPr>
            <w:fldChar w:fldCharType="end"/>
          </w:r>
          <w:r>
            <w:rPr>
              <w:rFonts w:hint="eastAsia"/>
              <w:szCs w:val="28"/>
            </w:rPr>
            <w:fldChar w:fldCharType="end"/>
          </w:r>
        </w:p>
        <w:p w14:paraId="3ED7A073">
          <w:pPr>
            <w:pStyle w:val="10"/>
            <w:tabs>
              <w:tab w:val="right" w:leader="dot" w:pos="8503"/>
            </w:tabs>
            <w:spacing w:line="400" w:lineRule="exact"/>
          </w:pPr>
          <w:r>
            <w:fldChar w:fldCharType="begin"/>
          </w:r>
          <w:r>
            <w:instrText xml:space="preserve"> HYPERLINK \l "_Toc24849" </w:instrText>
          </w:r>
          <w:r>
            <w:fldChar w:fldCharType="separate"/>
          </w:r>
          <w:r>
            <w:rPr>
              <w:rFonts w:hint="eastAsia" w:ascii="宋体" w:hAnsi="宋体" w:cs="宋体"/>
              <w:szCs w:val="28"/>
            </w:rPr>
            <w:t xml:space="preserve">2.3.2 </w:t>
          </w:r>
          <w:r>
            <w:rPr>
              <w:rFonts w:ascii="宋体" w:hAnsi="宋体" w:cs="宋体"/>
              <w:szCs w:val="28"/>
            </w:rPr>
            <w:t>AiServices</w:t>
          </w:r>
          <w:r>
            <w:rPr>
              <w:rFonts w:hint="eastAsia" w:ascii="宋体" w:hAnsi="宋体" w:cs="宋体"/>
              <w:szCs w:val="28"/>
            </w:rPr>
            <w:t>代理机制</w:t>
          </w:r>
          <w:r>
            <w:rPr>
              <w:rFonts w:hint="eastAsia" w:ascii="宋体" w:hAnsi="宋体" w:cs="宋体"/>
              <w:szCs w:val="28"/>
            </w:rPr>
            <w:tab/>
          </w:r>
          <w:r>
            <w:rPr>
              <w:rFonts w:hint="eastAsia"/>
              <w:szCs w:val="28"/>
            </w:rPr>
            <w:fldChar w:fldCharType="begin"/>
          </w:r>
          <w:r>
            <w:rPr>
              <w:rFonts w:hint="eastAsia"/>
              <w:szCs w:val="28"/>
            </w:rPr>
            <w:instrText xml:space="preserve"> PAGEREF _Toc24849 \h </w:instrText>
          </w:r>
          <w:r>
            <w:rPr>
              <w:rFonts w:hint="eastAsia"/>
              <w:szCs w:val="28"/>
            </w:rPr>
            <w:fldChar w:fldCharType="separate"/>
          </w:r>
          <w:r>
            <w:rPr>
              <w:rFonts w:hint="eastAsia"/>
              <w:szCs w:val="28"/>
            </w:rPr>
            <w:t>5</w:t>
          </w:r>
          <w:r>
            <w:rPr>
              <w:rFonts w:hint="eastAsia"/>
              <w:szCs w:val="28"/>
            </w:rPr>
            <w:fldChar w:fldCharType="end"/>
          </w:r>
          <w:r>
            <w:rPr>
              <w:rFonts w:hint="eastAsia"/>
              <w:szCs w:val="28"/>
            </w:rPr>
            <w:fldChar w:fldCharType="end"/>
          </w:r>
        </w:p>
        <w:p w14:paraId="713322E2">
          <w:pPr>
            <w:pStyle w:val="17"/>
            <w:tabs>
              <w:tab w:val="right" w:leader="dot" w:pos="8503"/>
            </w:tabs>
            <w:spacing w:line="400" w:lineRule="exact"/>
          </w:pPr>
          <w:r>
            <w:fldChar w:fldCharType="begin"/>
          </w:r>
          <w:r>
            <w:instrText xml:space="preserve"> HYPERLINK \l "_Toc10151" </w:instrText>
          </w:r>
          <w:r>
            <w:fldChar w:fldCharType="separate"/>
          </w:r>
          <w:r>
            <w:rPr>
              <w:rFonts w:hint="eastAsia" w:ascii="黑体" w:eastAsia="黑体"/>
            </w:rPr>
            <w:t>2.4 区块链与智能合约相关技术</w:t>
          </w:r>
          <w:r>
            <w:tab/>
          </w:r>
          <w:r>
            <w:fldChar w:fldCharType="begin"/>
          </w:r>
          <w:r>
            <w:instrText xml:space="preserve"> PAGEREF _Toc10151 \h </w:instrText>
          </w:r>
          <w:r>
            <w:fldChar w:fldCharType="separate"/>
          </w:r>
          <w:r>
            <w:t>5</w:t>
          </w:r>
          <w:r>
            <w:fldChar w:fldCharType="end"/>
          </w:r>
          <w:r>
            <w:fldChar w:fldCharType="end"/>
          </w:r>
        </w:p>
        <w:p w14:paraId="51CE2067">
          <w:pPr>
            <w:pStyle w:val="10"/>
            <w:tabs>
              <w:tab w:val="right" w:leader="dot" w:pos="8503"/>
            </w:tabs>
            <w:spacing w:line="400" w:lineRule="exact"/>
            <w:rPr>
              <w:rFonts w:hint="eastAsia" w:ascii="宋体" w:hAnsi="宋体" w:cs="宋体"/>
              <w:szCs w:val="28"/>
            </w:rPr>
          </w:pPr>
          <w:r>
            <w:fldChar w:fldCharType="begin"/>
          </w:r>
          <w:r>
            <w:instrText xml:space="preserve"> HYPERLINK \l "_Toc12054" </w:instrText>
          </w:r>
          <w:r>
            <w:fldChar w:fldCharType="separate"/>
          </w:r>
          <w:r>
            <w:rPr>
              <w:rFonts w:hint="eastAsia" w:ascii="宋体" w:hAnsi="宋体" w:cs="宋体"/>
              <w:szCs w:val="28"/>
            </w:rPr>
            <w:t>2.4.1 以太坊与</w:t>
          </w:r>
          <w:r>
            <w:rPr>
              <w:rFonts w:ascii="宋体" w:hAnsi="宋体" w:cs="宋体"/>
              <w:szCs w:val="28"/>
            </w:rPr>
            <w:t>ERC</w:t>
          </w:r>
          <w:r>
            <w:rPr>
              <w:rFonts w:hint="eastAsia" w:ascii="宋体" w:hAnsi="宋体" w:cs="宋体"/>
              <w:szCs w:val="28"/>
            </w:rPr>
            <w:t>-20代币标准</w:t>
          </w:r>
          <w:r>
            <w:rPr>
              <w:rFonts w:hint="eastAsia" w:ascii="宋体" w:hAnsi="宋体" w:cs="宋体"/>
              <w:szCs w:val="28"/>
            </w:rPr>
            <w:tab/>
          </w:r>
          <w:r>
            <w:rPr>
              <w:rFonts w:hint="eastAsia"/>
              <w:szCs w:val="28"/>
            </w:rPr>
            <w:fldChar w:fldCharType="begin"/>
          </w:r>
          <w:r>
            <w:rPr>
              <w:rFonts w:hint="eastAsia"/>
              <w:szCs w:val="28"/>
            </w:rPr>
            <w:instrText xml:space="preserve"> PAGEREF _Toc12054 \h </w:instrText>
          </w:r>
          <w:r>
            <w:rPr>
              <w:rFonts w:hint="eastAsia"/>
              <w:szCs w:val="28"/>
            </w:rPr>
            <w:fldChar w:fldCharType="separate"/>
          </w:r>
          <w:r>
            <w:rPr>
              <w:rFonts w:hint="eastAsia"/>
              <w:szCs w:val="28"/>
            </w:rPr>
            <w:t>5</w:t>
          </w:r>
          <w:r>
            <w:rPr>
              <w:rFonts w:hint="eastAsia"/>
              <w:szCs w:val="28"/>
            </w:rPr>
            <w:fldChar w:fldCharType="end"/>
          </w:r>
          <w:r>
            <w:rPr>
              <w:rFonts w:hint="eastAsia"/>
              <w:szCs w:val="28"/>
            </w:rPr>
            <w:fldChar w:fldCharType="end"/>
          </w:r>
        </w:p>
        <w:p w14:paraId="6BBDE343">
          <w:pPr>
            <w:pStyle w:val="10"/>
            <w:tabs>
              <w:tab w:val="right" w:leader="dot" w:pos="8503"/>
            </w:tabs>
            <w:spacing w:line="400" w:lineRule="exact"/>
            <w:rPr>
              <w:rFonts w:hint="eastAsia" w:ascii="宋体" w:hAnsi="宋体" w:cs="宋体"/>
              <w:szCs w:val="28"/>
            </w:rPr>
          </w:pPr>
          <w:r>
            <w:fldChar w:fldCharType="begin"/>
          </w:r>
          <w:r>
            <w:instrText xml:space="preserve"> HYPERLINK \l "_Toc4898" </w:instrText>
          </w:r>
          <w:r>
            <w:fldChar w:fldCharType="separate"/>
          </w:r>
          <w:r>
            <w:rPr>
              <w:rFonts w:hint="eastAsia" w:ascii="宋体" w:hAnsi="宋体" w:cs="宋体"/>
              <w:szCs w:val="28"/>
            </w:rPr>
            <w:t xml:space="preserve">2.4.2 </w:t>
          </w:r>
          <w:r>
            <w:rPr>
              <w:rFonts w:ascii="宋体" w:hAnsi="宋体" w:cs="宋体"/>
              <w:szCs w:val="28"/>
            </w:rPr>
            <w:t>Web</w:t>
          </w:r>
          <w:r>
            <w:rPr>
              <w:rFonts w:hint="eastAsia" w:ascii="宋体" w:hAnsi="宋体" w:cs="宋体"/>
              <w:szCs w:val="28"/>
            </w:rPr>
            <w:t>3</w:t>
          </w:r>
          <w:r>
            <w:rPr>
              <w:rFonts w:ascii="宋体" w:hAnsi="宋体" w:cs="宋体"/>
              <w:szCs w:val="28"/>
            </w:rPr>
            <w:t>j</w:t>
          </w:r>
          <w:r>
            <w:rPr>
              <w:rFonts w:hint="eastAsia" w:ascii="宋体" w:hAnsi="宋体" w:cs="宋体"/>
              <w:szCs w:val="28"/>
            </w:rPr>
            <w:t>交互库</w:t>
          </w:r>
          <w:r>
            <w:rPr>
              <w:rFonts w:hint="eastAsia" w:ascii="宋体" w:hAnsi="宋体" w:cs="宋体"/>
              <w:szCs w:val="28"/>
            </w:rPr>
            <w:tab/>
          </w:r>
          <w:r>
            <w:rPr>
              <w:rFonts w:hint="eastAsia"/>
              <w:szCs w:val="28"/>
            </w:rPr>
            <w:fldChar w:fldCharType="begin"/>
          </w:r>
          <w:r>
            <w:rPr>
              <w:rFonts w:hint="eastAsia"/>
              <w:szCs w:val="28"/>
            </w:rPr>
            <w:instrText xml:space="preserve"> PAGEREF _Toc4898 \h </w:instrText>
          </w:r>
          <w:r>
            <w:rPr>
              <w:rFonts w:hint="eastAsia"/>
              <w:szCs w:val="28"/>
            </w:rPr>
            <w:fldChar w:fldCharType="separate"/>
          </w:r>
          <w:r>
            <w:rPr>
              <w:rFonts w:hint="eastAsia"/>
              <w:szCs w:val="28"/>
            </w:rPr>
            <w:t>6</w:t>
          </w:r>
          <w:r>
            <w:rPr>
              <w:rFonts w:hint="eastAsia"/>
              <w:szCs w:val="28"/>
            </w:rPr>
            <w:fldChar w:fldCharType="end"/>
          </w:r>
          <w:r>
            <w:rPr>
              <w:rFonts w:hint="eastAsia"/>
              <w:szCs w:val="28"/>
            </w:rPr>
            <w:fldChar w:fldCharType="end"/>
          </w:r>
        </w:p>
        <w:p w14:paraId="6EC464FE">
          <w:pPr>
            <w:pStyle w:val="10"/>
            <w:tabs>
              <w:tab w:val="right" w:leader="dot" w:pos="8503"/>
            </w:tabs>
            <w:spacing w:line="400" w:lineRule="exact"/>
          </w:pPr>
          <w:r>
            <w:fldChar w:fldCharType="begin"/>
          </w:r>
          <w:r>
            <w:instrText xml:space="preserve"> HYPERLINK \l "_Toc5156" </w:instrText>
          </w:r>
          <w:r>
            <w:fldChar w:fldCharType="separate"/>
          </w:r>
          <w:r>
            <w:rPr>
              <w:rFonts w:hint="eastAsia" w:ascii="宋体" w:hAnsi="宋体" w:cs="宋体"/>
              <w:szCs w:val="28"/>
            </w:rPr>
            <w:t xml:space="preserve">2.4.3 </w:t>
          </w:r>
          <w:r>
            <w:rPr>
              <w:rFonts w:ascii="宋体" w:hAnsi="宋体" w:cs="宋体"/>
              <w:szCs w:val="28"/>
            </w:rPr>
            <w:t>Ganache</w:t>
          </w:r>
          <w:r>
            <w:rPr>
              <w:rFonts w:hint="eastAsia" w:ascii="宋体" w:hAnsi="宋体" w:cs="宋体"/>
              <w:szCs w:val="28"/>
            </w:rPr>
            <w:t>测试网络</w:t>
          </w:r>
          <w:r>
            <w:rPr>
              <w:rFonts w:hint="eastAsia" w:ascii="宋体" w:hAnsi="宋体" w:cs="宋体"/>
              <w:szCs w:val="28"/>
            </w:rPr>
            <w:tab/>
          </w:r>
          <w:r>
            <w:rPr>
              <w:rFonts w:hint="eastAsia"/>
              <w:szCs w:val="28"/>
            </w:rPr>
            <w:fldChar w:fldCharType="begin"/>
          </w:r>
          <w:r>
            <w:rPr>
              <w:rFonts w:hint="eastAsia"/>
              <w:szCs w:val="28"/>
            </w:rPr>
            <w:instrText xml:space="preserve"> PAGEREF _Toc5156 \h </w:instrText>
          </w:r>
          <w:r>
            <w:rPr>
              <w:rFonts w:hint="eastAsia"/>
              <w:szCs w:val="28"/>
            </w:rPr>
            <w:fldChar w:fldCharType="separate"/>
          </w:r>
          <w:r>
            <w:rPr>
              <w:rFonts w:hint="eastAsia"/>
              <w:szCs w:val="28"/>
            </w:rPr>
            <w:t>6</w:t>
          </w:r>
          <w:r>
            <w:rPr>
              <w:rFonts w:hint="eastAsia"/>
              <w:szCs w:val="28"/>
            </w:rPr>
            <w:fldChar w:fldCharType="end"/>
          </w:r>
          <w:r>
            <w:rPr>
              <w:rFonts w:hint="eastAsia"/>
              <w:szCs w:val="28"/>
            </w:rPr>
            <w:fldChar w:fldCharType="end"/>
          </w:r>
        </w:p>
        <w:p w14:paraId="7F635496">
          <w:pPr>
            <w:pStyle w:val="16"/>
            <w:tabs>
              <w:tab w:val="right" w:leader="dot" w:pos="8503"/>
            </w:tabs>
            <w:spacing w:line="400" w:lineRule="exact"/>
          </w:pPr>
          <w:r>
            <w:fldChar w:fldCharType="begin"/>
          </w:r>
          <w:r>
            <w:instrText xml:space="preserve"> HYPERLINK \l "_Toc29985" </w:instrText>
          </w:r>
          <w:r>
            <w:fldChar w:fldCharType="separate"/>
          </w:r>
          <w:r>
            <w:rPr>
              <w:rFonts w:hint="eastAsia" w:ascii="黑体" w:hAnsi="黑体" w:eastAsia="黑体" w:cs="黑体"/>
              <w:sz w:val="28"/>
              <w:szCs w:val="28"/>
            </w:rPr>
            <w:t>3 系统需求分析</w:t>
          </w:r>
          <w:r>
            <w:tab/>
          </w:r>
          <w:r>
            <w:fldChar w:fldCharType="begin"/>
          </w:r>
          <w:r>
            <w:instrText xml:space="preserve"> PAGEREF _Toc29985 \h </w:instrText>
          </w:r>
          <w:r>
            <w:fldChar w:fldCharType="separate"/>
          </w:r>
          <w:r>
            <w:t>7</w:t>
          </w:r>
          <w:r>
            <w:fldChar w:fldCharType="end"/>
          </w:r>
          <w:r>
            <w:fldChar w:fldCharType="end"/>
          </w:r>
        </w:p>
        <w:p w14:paraId="20B1097D">
          <w:pPr>
            <w:pStyle w:val="17"/>
            <w:tabs>
              <w:tab w:val="right" w:leader="dot" w:pos="8503"/>
            </w:tabs>
            <w:spacing w:line="400" w:lineRule="exact"/>
          </w:pPr>
          <w:r>
            <w:fldChar w:fldCharType="begin"/>
          </w:r>
          <w:r>
            <w:instrText xml:space="preserve"> HYPERLINK \l "_Toc9165" </w:instrText>
          </w:r>
          <w:r>
            <w:fldChar w:fldCharType="separate"/>
          </w:r>
          <w:r>
            <w:rPr>
              <w:rFonts w:hint="eastAsia" w:ascii="黑体" w:eastAsia="黑体"/>
            </w:rPr>
            <w:t>3.1 系统使用场景与角色</w:t>
          </w:r>
          <w:r>
            <w:tab/>
          </w:r>
          <w:r>
            <w:fldChar w:fldCharType="begin"/>
          </w:r>
          <w:r>
            <w:instrText xml:space="preserve"> PAGEREF _Toc9165 \h </w:instrText>
          </w:r>
          <w:r>
            <w:fldChar w:fldCharType="separate"/>
          </w:r>
          <w:r>
            <w:t>7</w:t>
          </w:r>
          <w:r>
            <w:fldChar w:fldCharType="end"/>
          </w:r>
          <w:r>
            <w:fldChar w:fldCharType="end"/>
          </w:r>
        </w:p>
        <w:p w14:paraId="42C5B1CA">
          <w:pPr>
            <w:pStyle w:val="17"/>
            <w:tabs>
              <w:tab w:val="right" w:leader="dot" w:pos="8503"/>
            </w:tabs>
            <w:spacing w:line="400" w:lineRule="exact"/>
          </w:pPr>
          <w:r>
            <w:fldChar w:fldCharType="begin"/>
          </w:r>
          <w:r>
            <w:instrText xml:space="preserve"> HYPERLINK \l "_Toc27083" </w:instrText>
          </w:r>
          <w:r>
            <w:fldChar w:fldCharType="separate"/>
          </w:r>
          <w:r>
            <w:rPr>
              <w:rFonts w:hint="eastAsia" w:ascii="黑体" w:eastAsia="黑体"/>
            </w:rPr>
            <w:t>3.2 功能性需求</w:t>
          </w:r>
          <w:r>
            <w:tab/>
          </w:r>
          <w:r>
            <w:fldChar w:fldCharType="begin"/>
          </w:r>
          <w:r>
            <w:instrText xml:space="preserve"> PAGEREF _Toc27083 \h </w:instrText>
          </w:r>
          <w:r>
            <w:fldChar w:fldCharType="separate"/>
          </w:r>
          <w:r>
            <w:t>7</w:t>
          </w:r>
          <w:r>
            <w:fldChar w:fldCharType="end"/>
          </w:r>
          <w:r>
            <w:fldChar w:fldCharType="end"/>
          </w:r>
        </w:p>
        <w:p w14:paraId="354260C2">
          <w:pPr>
            <w:pStyle w:val="10"/>
            <w:tabs>
              <w:tab w:val="right" w:leader="dot" w:pos="8503"/>
            </w:tabs>
            <w:spacing w:line="400" w:lineRule="exact"/>
            <w:rPr>
              <w:rFonts w:hint="eastAsia" w:ascii="宋体" w:hAnsi="宋体" w:cs="宋体"/>
              <w:szCs w:val="28"/>
            </w:rPr>
          </w:pPr>
          <w:r>
            <w:fldChar w:fldCharType="begin"/>
          </w:r>
          <w:r>
            <w:instrText xml:space="preserve"> HYPERLINK \l "_Toc3325" </w:instrText>
          </w:r>
          <w:r>
            <w:fldChar w:fldCharType="separate"/>
          </w:r>
          <w:r>
            <w:rPr>
              <w:rFonts w:hint="eastAsia" w:ascii="宋体" w:hAnsi="宋体" w:cs="宋体"/>
              <w:szCs w:val="28"/>
            </w:rPr>
            <w:t>3.2.1 模拟交易所基础功能</w:t>
          </w:r>
          <w:r>
            <w:rPr>
              <w:rFonts w:hint="eastAsia" w:ascii="宋体" w:hAnsi="宋体" w:cs="宋体"/>
              <w:szCs w:val="28"/>
            </w:rPr>
            <w:tab/>
          </w:r>
          <w:r>
            <w:rPr>
              <w:rFonts w:hint="eastAsia"/>
              <w:szCs w:val="28"/>
            </w:rPr>
            <w:fldChar w:fldCharType="begin"/>
          </w:r>
          <w:r>
            <w:rPr>
              <w:rFonts w:hint="eastAsia"/>
              <w:szCs w:val="28"/>
            </w:rPr>
            <w:instrText xml:space="preserve"> PAGEREF _Toc3325 \h </w:instrText>
          </w:r>
          <w:r>
            <w:rPr>
              <w:rFonts w:hint="eastAsia"/>
              <w:szCs w:val="28"/>
            </w:rPr>
            <w:fldChar w:fldCharType="separate"/>
          </w:r>
          <w:r>
            <w:rPr>
              <w:rFonts w:hint="eastAsia"/>
              <w:szCs w:val="28"/>
            </w:rPr>
            <w:t>7</w:t>
          </w:r>
          <w:r>
            <w:rPr>
              <w:rFonts w:hint="eastAsia"/>
              <w:szCs w:val="28"/>
            </w:rPr>
            <w:fldChar w:fldCharType="end"/>
          </w:r>
          <w:r>
            <w:rPr>
              <w:rFonts w:hint="eastAsia"/>
              <w:szCs w:val="28"/>
            </w:rPr>
            <w:fldChar w:fldCharType="end"/>
          </w:r>
        </w:p>
        <w:p w14:paraId="4E86CC2A">
          <w:pPr>
            <w:pStyle w:val="10"/>
            <w:tabs>
              <w:tab w:val="right" w:leader="dot" w:pos="8503"/>
            </w:tabs>
            <w:spacing w:line="400" w:lineRule="exact"/>
            <w:rPr>
              <w:rFonts w:hint="eastAsia" w:ascii="宋体" w:hAnsi="宋体" w:cs="宋体"/>
              <w:szCs w:val="28"/>
            </w:rPr>
          </w:pPr>
          <w:r>
            <w:fldChar w:fldCharType="begin"/>
          </w:r>
          <w:r>
            <w:instrText xml:space="preserve"> HYPERLINK \l "_Toc16977" </w:instrText>
          </w:r>
          <w:r>
            <w:fldChar w:fldCharType="separate"/>
          </w:r>
          <w:r>
            <w:rPr>
              <w:rFonts w:hint="eastAsia" w:ascii="宋体" w:hAnsi="宋体" w:cs="宋体"/>
              <w:szCs w:val="28"/>
            </w:rPr>
            <w:t xml:space="preserve">3.2.2 </w:t>
          </w:r>
          <w:r>
            <w:rPr>
              <w:rFonts w:ascii="宋体" w:hAnsi="宋体" w:cs="宋体"/>
              <w:szCs w:val="28"/>
            </w:rPr>
            <w:t>AI</w:t>
          </w:r>
          <w:r>
            <w:rPr>
              <w:rFonts w:hint="eastAsia" w:ascii="宋体" w:hAnsi="宋体" w:cs="宋体"/>
              <w:szCs w:val="28"/>
            </w:rPr>
            <w:t>辅助交易功能</w:t>
          </w:r>
          <w:r>
            <w:rPr>
              <w:rFonts w:hint="eastAsia" w:ascii="宋体" w:hAnsi="宋体" w:cs="宋体"/>
              <w:szCs w:val="28"/>
            </w:rPr>
            <w:tab/>
          </w:r>
          <w:r>
            <w:rPr>
              <w:rFonts w:hint="eastAsia"/>
              <w:szCs w:val="28"/>
            </w:rPr>
            <w:fldChar w:fldCharType="begin"/>
          </w:r>
          <w:r>
            <w:rPr>
              <w:rFonts w:hint="eastAsia"/>
              <w:szCs w:val="28"/>
            </w:rPr>
            <w:instrText xml:space="preserve"> PAGEREF _Toc16977 \h </w:instrText>
          </w:r>
          <w:r>
            <w:rPr>
              <w:rFonts w:hint="eastAsia"/>
              <w:szCs w:val="28"/>
            </w:rPr>
            <w:fldChar w:fldCharType="separate"/>
          </w:r>
          <w:r>
            <w:rPr>
              <w:rFonts w:hint="eastAsia"/>
              <w:szCs w:val="28"/>
            </w:rPr>
            <w:t>7</w:t>
          </w:r>
          <w:r>
            <w:rPr>
              <w:rFonts w:hint="eastAsia"/>
              <w:szCs w:val="28"/>
            </w:rPr>
            <w:fldChar w:fldCharType="end"/>
          </w:r>
          <w:r>
            <w:rPr>
              <w:rFonts w:hint="eastAsia"/>
              <w:szCs w:val="28"/>
            </w:rPr>
            <w:fldChar w:fldCharType="end"/>
          </w:r>
        </w:p>
        <w:p w14:paraId="2453515C">
          <w:pPr>
            <w:pStyle w:val="10"/>
            <w:tabs>
              <w:tab w:val="right" w:leader="dot" w:pos="8503"/>
            </w:tabs>
            <w:spacing w:line="400" w:lineRule="exact"/>
          </w:pPr>
          <w:r>
            <w:fldChar w:fldCharType="begin"/>
          </w:r>
          <w:r>
            <w:instrText xml:space="preserve"> HYPERLINK \l "_Toc2634" </w:instrText>
          </w:r>
          <w:r>
            <w:fldChar w:fldCharType="separate"/>
          </w:r>
          <w:r>
            <w:rPr>
              <w:rFonts w:hint="eastAsia" w:ascii="宋体" w:hAnsi="宋体" w:cs="宋体"/>
              <w:szCs w:val="28"/>
            </w:rPr>
            <w:t>3.2.3 区块链斗兽场功能</w:t>
          </w:r>
          <w:r>
            <w:rPr>
              <w:rFonts w:hint="eastAsia" w:ascii="宋体" w:hAnsi="宋体" w:cs="宋体"/>
              <w:szCs w:val="28"/>
            </w:rPr>
            <w:tab/>
          </w:r>
          <w:r>
            <w:rPr>
              <w:rFonts w:hint="eastAsia"/>
              <w:szCs w:val="28"/>
            </w:rPr>
            <w:fldChar w:fldCharType="begin"/>
          </w:r>
          <w:r>
            <w:rPr>
              <w:rFonts w:hint="eastAsia"/>
              <w:szCs w:val="28"/>
            </w:rPr>
            <w:instrText xml:space="preserve"> PAGEREF _Toc2634 \h </w:instrText>
          </w:r>
          <w:r>
            <w:rPr>
              <w:rFonts w:hint="eastAsia"/>
              <w:szCs w:val="28"/>
            </w:rPr>
            <w:fldChar w:fldCharType="separate"/>
          </w:r>
          <w:r>
            <w:rPr>
              <w:rFonts w:hint="eastAsia"/>
              <w:szCs w:val="28"/>
            </w:rPr>
            <w:t>8</w:t>
          </w:r>
          <w:r>
            <w:rPr>
              <w:rFonts w:hint="eastAsia"/>
              <w:szCs w:val="28"/>
            </w:rPr>
            <w:fldChar w:fldCharType="end"/>
          </w:r>
          <w:r>
            <w:rPr>
              <w:rFonts w:hint="eastAsia"/>
              <w:szCs w:val="28"/>
            </w:rPr>
            <w:fldChar w:fldCharType="end"/>
          </w:r>
        </w:p>
        <w:p w14:paraId="2B64F1B1">
          <w:pPr>
            <w:pStyle w:val="17"/>
            <w:tabs>
              <w:tab w:val="right" w:leader="dot" w:pos="8503"/>
            </w:tabs>
            <w:spacing w:line="400" w:lineRule="exact"/>
          </w:pPr>
          <w:r>
            <w:fldChar w:fldCharType="begin"/>
          </w:r>
          <w:r>
            <w:instrText xml:space="preserve"> HYPERLINK \l "_Toc27764" </w:instrText>
          </w:r>
          <w:r>
            <w:fldChar w:fldCharType="separate"/>
          </w:r>
          <w:r>
            <w:rPr>
              <w:rFonts w:hint="eastAsia" w:ascii="黑体" w:eastAsia="黑体"/>
            </w:rPr>
            <w:t>3.3 非功能性需求</w:t>
          </w:r>
          <w:r>
            <w:tab/>
          </w:r>
          <w:r>
            <w:fldChar w:fldCharType="begin"/>
          </w:r>
          <w:r>
            <w:instrText xml:space="preserve"> PAGEREF _Toc27764 \h </w:instrText>
          </w:r>
          <w:r>
            <w:fldChar w:fldCharType="separate"/>
          </w:r>
          <w:r>
            <w:t>8</w:t>
          </w:r>
          <w:r>
            <w:fldChar w:fldCharType="end"/>
          </w:r>
          <w:r>
            <w:fldChar w:fldCharType="end"/>
          </w:r>
        </w:p>
        <w:p w14:paraId="5A98E0C6">
          <w:pPr>
            <w:pStyle w:val="10"/>
            <w:tabs>
              <w:tab w:val="right" w:leader="dot" w:pos="8503"/>
            </w:tabs>
            <w:spacing w:line="400" w:lineRule="exact"/>
            <w:rPr>
              <w:rFonts w:hint="eastAsia" w:ascii="宋体" w:hAnsi="宋体" w:cs="宋体"/>
              <w:szCs w:val="28"/>
            </w:rPr>
          </w:pPr>
          <w:r>
            <w:fldChar w:fldCharType="begin"/>
          </w:r>
          <w:r>
            <w:instrText xml:space="preserve"> HYPERLINK \l "_Toc488" </w:instrText>
          </w:r>
          <w:r>
            <w:fldChar w:fldCharType="separate"/>
          </w:r>
          <w:r>
            <w:rPr>
              <w:rFonts w:hint="eastAsia" w:ascii="宋体" w:hAnsi="宋体" w:cs="宋体"/>
              <w:szCs w:val="28"/>
            </w:rPr>
            <w:t>3.3.1 数据一致性</w:t>
          </w:r>
          <w:r>
            <w:rPr>
              <w:rFonts w:hint="eastAsia" w:ascii="宋体" w:hAnsi="宋体" w:cs="宋体"/>
              <w:szCs w:val="28"/>
            </w:rPr>
            <w:tab/>
          </w:r>
          <w:r>
            <w:rPr>
              <w:rFonts w:hint="eastAsia"/>
              <w:szCs w:val="28"/>
            </w:rPr>
            <w:fldChar w:fldCharType="begin"/>
          </w:r>
          <w:r>
            <w:rPr>
              <w:rFonts w:hint="eastAsia"/>
              <w:szCs w:val="28"/>
            </w:rPr>
            <w:instrText xml:space="preserve"> PAGEREF _Toc488 \h </w:instrText>
          </w:r>
          <w:r>
            <w:rPr>
              <w:rFonts w:hint="eastAsia"/>
              <w:szCs w:val="28"/>
            </w:rPr>
            <w:fldChar w:fldCharType="separate"/>
          </w:r>
          <w:r>
            <w:rPr>
              <w:rFonts w:hint="eastAsia"/>
              <w:szCs w:val="28"/>
            </w:rPr>
            <w:t>9</w:t>
          </w:r>
          <w:r>
            <w:rPr>
              <w:rFonts w:hint="eastAsia"/>
              <w:szCs w:val="28"/>
            </w:rPr>
            <w:fldChar w:fldCharType="end"/>
          </w:r>
          <w:r>
            <w:rPr>
              <w:rFonts w:hint="eastAsia"/>
              <w:szCs w:val="28"/>
            </w:rPr>
            <w:fldChar w:fldCharType="end"/>
          </w:r>
        </w:p>
        <w:p w14:paraId="35F40517">
          <w:pPr>
            <w:pStyle w:val="10"/>
            <w:tabs>
              <w:tab w:val="right" w:leader="dot" w:pos="8503"/>
            </w:tabs>
            <w:spacing w:line="400" w:lineRule="exact"/>
            <w:rPr>
              <w:rFonts w:hint="eastAsia" w:ascii="宋体" w:hAnsi="宋体" w:cs="宋体"/>
              <w:szCs w:val="28"/>
            </w:rPr>
          </w:pPr>
          <w:r>
            <w:fldChar w:fldCharType="begin"/>
          </w:r>
          <w:r>
            <w:instrText xml:space="preserve"> HYPERLINK \l "_Toc3878" </w:instrText>
          </w:r>
          <w:r>
            <w:fldChar w:fldCharType="separate"/>
          </w:r>
          <w:r>
            <w:rPr>
              <w:rFonts w:hint="eastAsia" w:ascii="宋体" w:hAnsi="宋体" w:cs="宋体"/>
              <w:szCs w:val="28"/>
            </w:rPr>
            <w:t>3.3.2 多线程并发</w:t>
          </w:r>
          <w:r>
            <w:rPr>
              <w:rFonts w:hint="eastAsia" w:ascii="宋体" w:hAnsi="宋体" w:cs="宋体"/>
              <w:szCs w:val="28"/>
            </w:rPr>
            <w:tab/>
          </w:r>
          <w:r>
            <w:rPr>
              <w:rFonts w:hint="eastAsia"/>
              <w:szCs w:val="28"/>
            </w:rPr>
            <w:fldChar w:fldCharType="begin"/>
          </w:r>
          <w:r>
            <w:rPr>
              <w:rFonts w:hint="eastAsia"/>
              <w:szCs w:val="28"/>
            </w:rPr>
            <w:instrText xml:space="preserve"> PAGEREF _Toc3878 \h </w:instrText>
          </w:r>
          <w:r>
            <w:rPr>
              <w:rFonts w:hint="eastAsia"/>
              <w:szCs w:val="28"/>
            </w:rPr>
            <w:fldChar w:fldCharType="separate"/>
          </w:r>
          <w:r>
            <w:rPr>
              <w:rFonts w:hint="eastAsia"/>
              <w:szCs w:val="28"/>
            </w:rPr>
            <w:t>9</w:t>
          </w:r>
          <w:r>
            <w:rPr>
              <w:rFonts w:hint="eastAsia"/>
              <w:szCs w:val="28"/>
            </w:rPr>
            <w:fldChar w:fldCharType="end"/>
          </w:r>
          <w:r>
            <w:rPr>
              <w:rFonts w:hint="eastAsia"/>
              <w:szCs w:val="28"/>
            </w:rPr>
            <w:fldChar w:fldCharType="end"/>
          </w:r>
        </w:p>
        <w:p w14:paraId="6D74122D">
          <w:pPr>
            <w:pStyle w:val="10"/>
            <w:tabs>
              <w:tab w:val="right" w:leader="dot" w:pos="8503"/>
            </w:tabs>
            <w:spacing w:line="400" w:lineRule="exact"/>
            <w:rPr>
              <w:rFonts w:hint="eastAsia" w:ascii="宋体" w:hAnsi="宋体" w:cs="宋体"/>
              <w:szCs w:val="28"/>
            </w:rPr>
          </w:pPr>
          <w:r>
            <w:fldChar w:fldCharType="begin"/>
          </w:r>
          <w:r>
            <w:instrText xml:space="preserve"> HYPERLINK \l "_Toc14923" </w:instrText>
          </w:r>
          <w:r>
            <w:fldChar w:fldCharType="separate"/>
          </w:r>
          <w:r>
            <w:rPr>
              <w:rFonts w:hint="eastAsia" w:ascii="宋体" w:hAnsi="宋体" w:cs="宋体"/>
              <w:szCs w:val="28"/>
            </w:rPr>
            <w:t>3.3.3 外部</w:t>
          </w:r>
          <w:r>
            <w:rPr>
              <w:rFonts w:ascii="宋体" w:hAnsi="宋体" w:cs="宋体"/>
              <w:szCs w:val="28"/>
            </w:rPr>
            <w:t>API</w:t>
          </w:r>
          <w:r>
            <w:rPr>
              <w:rFonts w:hint="eastAsia" w:ascii="宋体" w:hAnsi="宋体" w:cs="宋体"/>
              <w:szCs w:val="28"/>
            </w:rPr>
            <w:t>调用容错</w:t>
          </w:r>
          <w:r>
            <w:rPr>
              <w:rFonts w:hint="eastAsia" w:ascii="宋体" w:hAnsi="宋体" w:cs="宋体"/>
              <w:szCs w:val="28"/>
            </w:rPr>
            <w:tab/>
          </w:r>
          <w:r>
            <w:rPr>
              <w:rFonts w:hint="eastAsia"/>
              <w:szCs w:val="28"/>
            </w:rPr>
            <w:fldChar w:fldCharType="begin"/>
          </w:r>
          <w:r>
            <w:rPr>
              <w:rFonts w:hint="eastAsia"/>
              <w:szCs w:val="28"/>
            </w:rPr>
            <w:instrText xml:space="preserve"> PAGEREF _Toc14923 \h </w:instrText>
          </w:r>
          <w:r>
            <w:rPr>
              <w:rFonts w:hint="eastAsia"/>
              <w:szCs w:val="28"/>
            </w:rPr>
            <w:fldChar w:fldCharType="separate"/>
          </w:r>
          <w:r>
            <w:rPr>
              <w:rFonts w:hint="eastAsia"/>
              <w:szCs w:val="28"/>
            </w:rPr>
            <w:t>9</w:t>
          </w:r>
          <w:r>
            <w:rPr>
              <w:rFonts w:hint="eastAsia"/>
              <w:szCs w:val="28"/>
            </w:rPr>
            <w:fldChar w:fldCharType="end"/>
          </w:r>
          <w:r>
            <w:rPr>
              <w:rFonts w:hint="eastAsia"/>
              <w:szCs w:val="28"/>
            </w:rPr>
            <w:fldChar w:fldCharType="end"/>
          </w:r>
        </w:p>
        <w:p w14:paraId="18EA4BD9">
          <w:pPr>
            <w:pStyle w:val="10"/>
            <w:tabs>
              <w:tab w:val="right" w:leader="dot" w:pos="8503"/>
            </w:tabs>
            <w:spacing w:line="400" w:lineRule="exact"/>
            <w:rPr>
              <w:rFonts w:hint="eastAsia" w:ascii="宋体" w:hAnsi="宋体" w:cs="宋体"/>
              <w:szCs w:val="28"/>
            </w:rPr>
            <w:sectPr>
              <w:headerReference r:id="rId9" w:type="first"/>
              <w:footerReference r:id="rId11" w:type="first"/>
              <w:headerReference r:id="rId8" w:type="default"/>
              <w:footerReference r:id="rId10" w:type="default"/>
              <w:type w:val="continuous"/>
              <w:pgSz w:w="11906" w:h="16838"/>
              <w:pgMar w:top="1701" w:right="1418" w:bottom="1418" w:left="1418" w:header="907" w:footer="851" w:gutter="567"/>
              <w:cols w:space="720" w:num="1"/>
              <w:docGrid w:type="lines" w:linePitch="312" w:charSpace="0"/>
            </w:sectPr>
          </w:pPr>
        </w:p>
        <w:p w14:paraId="6F6C9547">
          <w:pPr>
            <w:pStyle w:val="10"/>
            <w:tabs>
              <w:tab w:val="right" w:leader="dot" w:pos="8503"/>
            </w:tabs>
            <w:spacing w:line="400" w:lineRule="exact"/>
            <w:rPr>
              <w:rFonts w:hint="eastAsia" w:ascii="宋体" w:hAnsi="宋体" w:cs="宋体"/>
              <w:szCs w:val="28"/>
            </w:rPr>
          </w:pPr>
          <w:r>
            <w:fldChar w:fldCharType="begin"/>
          </w:r>
          <w:r>
            <w:instrText xml:space="preserve"> HYPERLINK \l "_Toc19760" </w:instrText>
          </w:r>
          <w:r>
            <w:fldChar w:fldCharType="separate"/>
          </w:r>
          <w:r>
            <w:rPr>
              <w:rFonts w:hint="eastAsia" w:ascii="宋体" w:hAnsi="宋体" w:cs="宋体"/>
              <w:szCs w:val="28"/>
            </w:rPr>
            <w:t>3.3.4 前端响应与展示性能</w:t>
          </w:r>
          <w:r>
            <w:rPr>
              <w:rFonts w:hint="eastAsia" w:ascii="宋体" w:hAnsi="宋体" w:cs="宋体"/>
              <w:szCs w:val="28"/>
            </w:rPr>
            <w:tab/>
          </w:r>
          <w:r>
            <w:rPr>
              <w:rFonts w:hint="eastAsia"/>
              <w:szCs w:val="28"/>
            </w:rPr>
            <w:fldChar w:fldCharType="begin"/>
          </w:r>
          <w:r>
            <w:rPr>
              <w:rFonts w:hint="eastAsia"/>
              <w:szCs w:val="28"/>
            </w:rPr>
            <w:instrText xml:space="preserve"> PAGEREF _Toc19760 \h </w:instrText>
          </w:r>
          <w:r>
            <w:rPr>
              <w:rFonts w:hint="eastAsia"/>
              <w:szCs w:val="28"/>
            </w:rPr>
            <w:fldChar w:fldCharType="separate"/>
          </w:r>
          <w:r>
            <w:rPr>
              <w:rFonts w:hint="eastAsia"/>
              <w:szCs w:val="28"/>
            </w:rPr>
            <w:t>9</w:t>
          </w:r>
          <w:r>
            <w:rPr>
              <w:rFonts w:hint="eastAsia"/>
              <w:szCs w:val="28"/>
            </w:rPr>
            <w:fldChar w:fldCharType="end"/>
          </w:r>
          <w:r>
            <w:rPr>
              <w:rFonts w:hint="eastAsia"/>
              <w:szCs w:val="28"/>
            </w:rPr>
            <w:fldChar w:fldCharType="end"/>
          </w:r>
        </w:p>
        <w:p w14:paraId="33A7AFA4">
          <w:pPr>
            <w:pStyle w:val="10"/>
            <w:tabs>
              <w:tab w:val="right" w:leader="dot" w:pos="8503"/>
            </w:tabs>
            <w:spacing w:line="400" w:lineRule="exact"/>
          </w:pPr>
          <w:r>
            <w:fldChar w:fldCharType="begin"/>
          </w:r>
          <w:r>
            <w:instrText xml:space="preserve"> HYPERLINK \l "_Toc28851" </w:instrText>
          </w:r>
          <w:r>
            <w:fldChar w:fldCharType="separate"/>
          </w:r>
          <w:r>
            <w:rPr>
              <w:rFonts w:hint="eastAsia" w:ascii="宋体" w:hAnsi="宋体" w:cs="宋体"/>
              <w:szCs w:val="28"/>
            </w:rPr>
            <w:t>3.3.5 系统可观测性</w:t>
          </w:r>
          <w:r>
            <w:rPr>
              <w:rFonts w:hint="eastAsia" w:ascii="宋体" w:hAnsi="宋体" w:cs="宋体"/>
              <w:szCs w:val="28"/>
            </w:rPr>
            <w:tab/>
          </w:r>
          <w:r>
            <w:rPr>
              <w:rFonts w:hint="eastAsia"/>
              <w:szCs w:val="28"/>
            </w:rPr>
            <w:fldChar w:fldCharType="begin"/>
          </w:r>
          <w:r>
            <w:rPr>
              <w:rFonts w:hint="eastAsia"/>
              <w:szCs w:val="28"/>
            </w:rPr>
            <w:instrText xml:space="preserve"> PAGEREF _Toc28851 \h </w:instrText>
          </w:r>
          <w:r>
            <w:rPr>
              <w:rFonts w:hint="eastAsia"/>
              <w:szCs w:val="28"/>
            </w:rPr>
            <w:fldChar w:fldCharType="separate"/>
          </w:r>
          <w:r>
            <w:rPr>
              <w:rFonts w:hint="eastAsia"/>
              <w:szCs w:val="28"/>
            </w:rPr>
            <w:t>9</w:t>
          </w:r>
          <w:r>
            <w:rPr>
              <w:rFonts w:hint="eastAsia"/>
              <w:szCs w:val="28"/>
            </w:rPr>
            <w:fldChar w:fldCharType="end"/>
          </w:r>
          <w:r>
            <w:rPr>
              <w:rFonts w:hint="eastAsia"/>
              <w:szCs w:val="28"/>
            </w:rPr>
            <w:fldChar w:fldCharType="end"/>
          </w:r>
        </w:p>
        <w:p w14:paraId="430A0151">
          <w:pPr>
            <w:pStyle w:val="16"/>
            <w:tabs>
              <w:tab w:val="right" w:leader="dot" w:pos="8503"/>
            </w:tabs>
            <w:spacing w:line="400" w:lineRule="exact"/>
          </w:pPr>
          <w:r>
            <w:fldChar w:fldCharType="begin"/>
          </w:r>
          <w:r>
            <w:instrText xml:space="preserve"> HYPERLINK \l "_Toc26116" </w:instrText>
          </w:r>
          <w:r>
            <w:fldChar w:fldCharType="separate"/>
          </w:r>
          <w:r>
            <w:rPr>
              <w:rFonts w:hint="eastAsia" w:ascii="黑体" w:hAnsi="黑体" w:eastAsia="黑体" w:cs="黑体"/>
              <w:sz w:val="28"/>
              <w:szCs w:val="28"/>
            </w:rPr>
            <w:t>4 系统设计</w:t>
          </w:r>
          <w:r>
            <w:tab/>
          </w:r>
          <w:r>
            <w:rPr>
              <w:rFonts w:hint="eastAsia"/>
              <w:szCs w:val="28"/>
            </w:rPr>
            <w:fldChar w:fldCharType="begin"/>
          </w:r>
          <w:r>
            <w:rPr>
              <w:rFonts w:hint="eastAsia"/>
              <w:szCs w:val="28"/>
            </w:rPr>
            <w:instrText xml:space="preserve"> PAGEREF _Toc26116 \h </w:instrText>
          </w:r>
          <w:r>
            <w:rPr>
              <w:rFonts w:hint="eastAsia"/>
              <w:szCs w:val="28"/>
            </w:rPr>
            <w:fldChar w:fldCharType="separate"/>
          </w:r>
          <w:r>
            <w:rPr>
              <w:rFonts w:hint="eastAsia"/>
              <w:szCs w:val="28"/>
            </w:rPr>
            <w:t>10</w:t>
          </w:r>
          <w:r>
            <w:rPr>
              <w:rFonts w:hint="eastAsia"/>
              <w:szCs w:val="28"/>
            </w:rPr>
            <w:fldChar w:fldCharType="end"/>
          </w:r>
          <w:r>
            <w:rPr>
              <w:rFonts w:hint="eastAsia"/>
              <w:szCs w:val="28"/>
            </w:rPr>
            <w:fldChar w:fldCharType="end"/>
          </w:r>
        </w:p>
        <w:p w14:paraId="71E158FD">
          <w:pPr>
            <w:pStyle w:val="17"/>
            <w:tabs>
              <w:tab w:val="right" w:leader="dot" w:pos="8503"/>
            </w:tabs>
            <w:spacing w:line="400" w:lineRule="exact"/>
          </w:pPr>
          <w:r>
            <w:fldChar w:fldCharType="begin"/>
          </w:r>
          <w:r>
            <w:instrText xml:space="preserve"> HYPERLINK \l "_Toc18741" </w:instrText>
          </w:r>
          <w:r>
            <w:fldChar w:fldCharType="separate"/>
          </w:r>
          <w:r>
            <w:rPr>
              <w:rFonts w:hint="eastAsia" w:ascii="黑体" w:eastAsia="黑体"/>
            </w:rPr>
            <w:t>4.1 系统架构设计</w:t>
          </w:r>
          <w:r>
            <w:tab/>
          </w:r>
          <w:r>
            <w:fldChar w:fldCharType="begin"/>
          </w:r>
          <w:r>
            <w:instrText xml:space="preserve"> PAGEREF _Toc18741 \h </w:instrText>
          </w:r>
          <w:r>
            <w:fldChar w:fldCharType="separate"/>
          </w:r>
          <w:r>
            <w:t>10</w:t>
          </w:r>
          <w:r>
            <w:fldChar w:fldCharType="end"/>
          </w:r>
          <w:r>
            <w:fldChar w:fldCharType="end"/>
          </w:r>
        </w:p>
        <w:p w14:paraId="6D1FD692">
          <w:pPr>
            <w:pStyle w:val="17"/>
            <w:tabs>
              <w:tab w:val="right" w:leader="dot" w:pos="8503"/>
            </w:tabs>
            <w:spacing w:line="400" w:lineRule="exact"/>
          </w:pPr>
          <w:r>
            <w:fldChar w:fldCharType="begin"/>
          </w:r>
          <w:r>
            <w:instrText xml:space="preserve"> HYPERLINK \l "_Toc28196" </w:instrText>
          </w:r>
          <w:r>
            <w:fldChar w:fldCharType="separate"/>
          </w:r>
          <w:r>
            <w:rPr>
              <w:rFonts w:hint="eastAsia" w:ascii="黑体" w:eastAsia="黑体"/>
            </w:rPr>
            <w:t>4.2 功能模块划分</w:t>
          </w:r>
          <w:r>
            <w:tab/>
          </w:r>
          <w:r>
            <w:fldChar w:fldCharType="begin"/>
          </w:r>
          <w:r>
            <w:instrText xml:space="preserve"> PAGEREF _Toc28196 \h </w:instrText>
          </w:r>
          <w:r>
            <w:fldChar w:fldCharType="separate"/>
          </w:r>
          <w:r>
            <w:t>11</w:t>
          </w:r>
          <w:r>
            <w:fldChar w:fldCharType="end"/>
          </w:r>
          <w:r>
            <w:fldChar w:fldCharType="end"/>
          </w:r>
        </w:p>
        <w:p w14:paraId="79779832">
          <w:pPr>
            <w:pStyle w:val="17"/>
            <w:tabs>
              <w:tab w:val="right" w:leader="dot" w:pos="8503"/>
            </w:tabs>
            <w:spacing w:line="400" w:lineRule="exact"/>
          </w:pPr>
          <w:r>
            <w:fldChar w:fldCharType="begin"/>
          </w:r>
          <w:r>
            <w:instrText xml:space="preserve"> HYPERLINK \l "_Toc3076" </w:instrText>
          </w:r>
          <w:r>
            <w:fldChar w:fldCharType="separate"/>
          </w:r>
          <w:r>
            <w:rPr>
              <w:rFonts w:hint="eastAsia" w:ascii="黑体" w:eastAsia="黑体"/>
            </w:rPr>
            <w:t>4.3 系统用例</w:t>
          </w:r>
          <w:r>
            <w:tab/>
          </w:r>
          <w:r>
            <w:fldChar w:fldCharType="begin"/>
          </w:r>
          <w:r>
            <w:instrText xml:space="preserve"> PAGEREF _Toc3076 \h </w:instrText>
          </w:r>
          <w:r>
            <w:fldChar w:fldCharType="separate"/>
          </w:r>
          <w:r>
            <w:t>12</w:t>
          </w:r>
          <w:r>
            <w:fldChar w:fldCharType="end"/>
          </w:r>
          <w:r>
            <w:fldChar w:fldCharType="end"/>
          </w:r>
        </w:p>
        <w:p w14:paraId="7C16AB6C">
          <w:pPr>
            <w:pStyle w:val="17"/>
            <w:tabs>
              <w:tab w:val="right" w:leader="dot" w:pos="8503"/>
            </w:tabs>
            <w:spacing w:line="400" w:lineRule="exact"/>
          </w:pPr>
          <w:r>
            <w:fldChar w:fldCharType="begin"/>
          </w:r>
          <w:r>
            <w:instrText xml:space="preserve"> HYPERLINK \l "_Toc25544" </w:instrText>
          </w:r>
          <w:r>
            <w:fldChar w:fldCharType="separate"/>
          </w:r>
          <w:r>
            <w:rPr>
              <w:rFonts w:hint="eastAsia" w:ascii="黑体" w:eastAsia="黑体"/>
            </w:rPr>
            <w:t>4.4 数据库表设计</w:t>
          </w:r>
          <w:r>
            <w:tab/>
          </w:r>
          <w:r>
            <w:fldChar w:fldCharType="begin"/>
          </w:r>
          <w:r>
            <w:instrText xml:space="preserve"> PAGEREF _Toc25544 \h </w:instrText>
          </w:r>
          <w:r>
            <w:fldChar w:fldCharType="separate"/>
          </w:r>
          <w:r>
            <w:t>14</w:t>
          </w:r>
          <w:r>
            <w:fldChar w:fldCharType="end"/>
          </w:r>
          <w:r>
            <w:fldChar w:fldCharType="end"/>
          </w:r>
        </w:p>
        <w:p w14:paraId="0CBB58C8">
          <w:pPr>
            <w:pStyle w:val="10"/>
            <w:tabs>
              <w:tab w:val="right" w:leader="dot" w:pos="8503"/>
            </w:tabs>
            <w:spacing w:line="400" w:lineRule="exact"/>
            <w:rPr>
              <w:rFonts w:hint="eastAsia" w:ascii="宋体" w:hAnsi="宋体" w:cs="宋体"/>
              <w:szCs w:val="28"/>
            </w:rPr>
          </w:pPr>
          <w:r>
            <w:fldChar w:fldCharType="begin"/>
          </w:r>
          <w:r>
            <w:instrText xml:space="preserve"> HYPERLINK \l "_Toc517" </w:instrText>
          </w:r>
          <w:r>
            <w:fldChar w:fldCharType="separate"/>
          </w:r>
          <w:r>
            <w:rPr>
              <w:rFonts w:hint="eastAsia" w:ascii="宋体" w:hAnsi="宋体" w:cs="宋体"/>
              <w:szCs w:val="28"/>
            </w:rPr>
            <w:t>4.4.1 股票行情相关表</w:t>
          </w:r>
          <w:r>
            <w:rPr>
              <w:rFonts w:hint="eastAsia" w:ascii="宋体" w:hAnsi="宋体" w:cs="宋体"/>
              <w:szCs w:val="28"/>
            </w:rPr>
            <w:tab/>
          </w:r>
          <w:r>
            <w:rPr>
              <w:rFonts w:hint="eastAsia"/>
              <w:szCs w:val="28"/>
            </w:rPr>
            <w:fldChar w:fldCharType="begin"/>
          </w:r>
          <w:r>
            <w:rPr>
              <w:rFonts w:hint="eastAsia"/>
              <w:szCs w:val="28"/>
            </w:rPr>
            <w:instrText xml:space="preserve"> PAGEREF _Toc517 \h </w:instrText>
          </w:r>
          <w:r>
            <w:rPr>
              <w:rFonts w:hint="eastAsia"/>
              <w:szCs w:val="28"/>
            </w:rPr>
            <w:fldChar w:fldCharType="separate"/>
          </w:r>
          <w:r>
            <w:rPr>
              <w:rFonts w:hint="eastAsia"/>
              <w:szCs w:val="28"/>
            </w:rPr>
            <w:t>14</w:t>
          </w:r>
          <w:r>
            <w:rPr>
              <w:rFonts w:hint="eastAsia"/>
              <w:szCs w:val="28"/>
            </w:rPr>
            <w:fldChar w:fldCharType="end"/>
          </w:r>
          <w:r>
            <w:rPr>
              <w:rFonts w:hint="eastAsia"/>
              <w:szCs w:val="28"/>
            </w:rPr>
            <w:fldChar w:fldCharType="end"/>
          </w:r>
        </w:p>
        <w:p w14:paraId="0A499E97">
          <w:pPr>
            <w:pStyle w:val="10"/>
            <w:tabs>
              <w:tab w:val="right" w:leader="dot" w:pos="8503"/>
            </w:tabs>
            <w:spacing w:line="400" w:lineRule="exact"/>
            <w:rPr>
              <w:rFonts w:hint="eastAsia" w:ascii="宋体" w:hAnsi="宋体" w:cs="宋体"/>
              <w:szCs w:val="28"/>
            </w:rPr>
          </w:pPr>
          <w:r>
            <w:fldChar w:fldCharType="begin"/>
          </w:r>
          <w:r>
            <w:instrText xml:space="preserve"> HYPERLINK \l "_Toc18852" </w:instrText>
          </w:r>
          <w:r>
            <w:fldChar w:fldCharType="separate"/>
          </w:r>
          <w:r>
            <w:rPr>
              <w:rFonts w:hint="eastAsia" w:ascii="宋体" w:hAnsi="宋体" w:cs="宋体"/>
              <w:szCs w:val="28"/>
            </w:rPr>
            <w:t xml:space="preserve">4.4.2 </w:t>
          </w:r>
          <w:r>
            <w:rPr>
              <w:rFonts w:ascii="宋体" w:hAnsi="宋体" w:cs="宋体"/>
              <w:szCs w:val="28"/>
            </w:rPr>
            <w:t>AI</w:t>
          </w:r>
          <w:r>
            <w:rPr>
              <w:rFonts w:hint="eastAsia" w:ascii="宋体" w:hAnsi="宋体" w:cs="宋体"/>
              <w:szCs w:val="28"/>
            </w:rPr>
            <w:t>辅助交易相关表</w:t>
          </w:r>
          <w:r>
            <w:rPr>
              <w:rFonts w:hint="eastAsia" w:ascii="宋体" w:hAnsi="宋体" w:cs="宋体"/>
              <w:szCs w:val="28"/>
            </w:rPr>
            <w:tab/>
          </w:r>
          <w:r>
            <w:rPr>
              <w:rFonts w:hint="eastAsia"/>
              <w:szCs w:val="28"/>
            </w:rPr>
            <w:fldChar w:fldCharType="begin"/>
          </w:r>
          <w:r>
            <w:rPr>
              <w:rFonts w:hint="eastAsia"/>
              <w:szCs w:val="28"/>
            </w:rPr>
            <w:instrText xml:space="preserve"> PAGEREF _Toc18852 \h </w:instrText>
          </w:r>
          <w:r>
            <w:rPr>
              <w:rFonts w:hint="eastAsia"/>
              <w:szCs w:val="28"/>
            </w:rPr>
            <w:fldChar w:fldCharType="separate"/>
          </w:r>
          <w:r>
            <w:rPr>
              <w:rFonts w:hint="eastAsia"/>
              <w:szCs w:val="28"/>
            </w:rPr>
            <w:t>14</w:t>
          </w:r>
          <w:r>
            <w:rPr>
              <w:rFonts w:hint="eastAsia"/>
              <w:szCs w:val="28"/>
            </w:rPr>
            <w:fldChar w:fldCharType="end"/>
          </w:r>
          <w:r>
            <w:rPr>
              <w:rFonts w:hint="eastAsia"/>
              <w:szCs w:val="28"/>
            </w:rPr>
            <w:fldChar w:fldCharType="end"/>
          </w:r>
        </w:p>
        <w:p w14:paraId="4555C798">
          <w:pPr>
            <w:pStyle w:val="10"/>
            <w:tabs>
              <w:tab w:val="right" w:leader="dot" w:pos="8503"/>
            </w:tabs>
            <w:spacing w:line="400" w:lineRule="exact"/>
            <w:rPr>
              <w:rFonts w:hint="eastAsia" w:ascii="宋体" w:hAnsi="宋体" w:cs="宋体"/>
              <w:szCs w:val="28"/>
            </w:rPr>
          </w:pPr>
          <w:r>
            <w:fldChar w:fldCharType="begin"/>
          </w:r>
          <w:r>
            <w:instrText xml:space="preserve"> HYPERLINK \l "_Toc4847" </w:instrText>
          </w:r>
          <w:r>
            <w:fldChar w:fldCharType="separate"/>
          </w:r>
          <w:r>
            <w:rPr>
              <w:rFonts w:hint="eastAsia" w:ascii="宋体" w:hAnsi="宋体" w:cs="宋体"/>
              <w:szCs w:val="28"/>
            </w:rPr>
            <w:t>4.4.3 斗兽场相关表</w:t>
          </w:r>
          <w:r>
            <w:rPr>
              <w:rFonts w:hint="eastAsia" w:ascii="宋体" w:hAnsi="宋体" w:cs="宋体"/>
              <w:szCs w:val="28"/>
            </w:rPr>
            <w:tab/>
          </w:r>
          <w:r>
            <w:rPr>
              <w:rFonts w:hint="eastAsia"/>
              <w:szCs w:val="28"/>
            </w:rPr>
            <w:fldChar w:fldCharType="begin"/>
          </w:r>
          <w:r>
            <w:rPr>
              <w:rFonts w:hint="eastAsia"/>
              <w:szCs w:val="28"/>
            </w:rPr>
            <w:instrText xml:space="preserve"> PAGEREF _Toc4847 \h </w:instrText>
          </w:r>
          <w:r>
            <w:rPr>
              <w:rFonts w:hint="eastAsia"/>
              <w:szCs w:val="28"/>
            </w:rPr>
            <w:fldChar w:fldCharType="separate"/>
          </w:r>
          <w:r>
            <w:rPr>
              <w:rFonts w:hint="eastAsia"/>
              <w:szCs w:val="28"/>
            </w:rPr>
            <w:t>15</w:t>
          </w:r>
          <w:r>
            <w:rPr>
              <w:rFonts w:hint="eastAsia"/>
              <w:szCs w:val="28"/>
            </w:rPr>
            <w:fldChar w:fldCharType="end"/>
          </w:r>
          <w:r>
            <w:rPr>
              <w:rFonts w:hint="eastAsia"/>
              <w:szCs w:val="28"/>
            </w:rPr>
            <w:fldChar w:fldCharType="end"/>
          </w:r>
        </w:p>
        <w:p w14:paraId="06D6E9AA">
          <w:pPr>
            <w:pStyle w:val="10"/>
            <w:tabs>
              <w:tab w:val="right" w:leader="dot" w:pos="8503"/>
            </w:tabs>
            <w:spacing w:line="400" w:lineRule="exact"/>
          </w:pPr>
          <w:r>
            <w:fldChar w:fldCharType="begin"/>
          </w:r>
          <w:r>
            <w:instrText xml:space="preserve"> HYPERLINK \l "_Toc262" </w:instrText>
          </w:r>
          <w:r>
            <w:fldChar w:fldCharType="separate"/>
          </w:r>
          <w:r>
            <w:rPr>
              <w:rFonts w:hint="eastAsia" w:ascii="宋体" w:hAnsi="宋体" w:cs="宋体"/>
              <w:szCs w:val="28"/>
            </w:rPr>
            <w:t>4.4.4 区块链流水表</w:t>
          </w:r>
          <w:r>
            <w:rPr>
              <w:rFonts w:hint="eastAsia" w:ascii="宋体" w:hAnsi="宋体" w:cs="宋体"/>
              <w:szCs w:val="28"/>
            </w:rPr>
            <w:tab/>
          </w:r>
          <w:r>
            <w:rPr>
              <w:rFonts w:hint="eastAsia"/>
              <w:szCs w:val="28"/>
            </w:rPr>
            <w:fldChar w:fldCharType="begin"/>
          </w:r>
          <w:r>
            <w:rPr>
              <w:rFonts w:hint="eastAsia"/>
              <w:szCs w:val="28"/>
            </w:rPr>
            <w:instrText xml:space="preserve"> PAGEREF _Toc262 \h </w:instrText>
          </w:r>
          <w:r>
            <w:rPr>
              <w:rFonts w:hint="eastAsia"/>
              <w:szCs w:val="28"/>
            </w:rPr>
            <w:fldChar w:fldCharType="separate"/>
          </w:r>
          <w:r>
            <w:rPr>
              <w:rFonts w:hint="eastAsia"/>
              <w:szCs w:val="28"/>
            </w:rPr>
            <w:t>16</w:t>
          </w:r>
          <w:r>
            <w:rPr>
              <w:rFonts w:hint="eastAsia"/>
              <w:szCs w:val="28"/>
            </w:rPr>
            <w:fldChar w:fldCharType="end"/>
          </w:r>
          <w:r>
            <w:rPr>
              <w:rFonts w:hint="eastAsia"/>
              <w:szCs w:val="28"/>
            </w:rPr>
            <w:fldChar w:fldCharType="end"/>
          </w:r>
        </w:p>
        <w:p w14:paraId="7DCED142">
          <w:pPr>
            <w:pStyle w:val="17"/>
            <w:tabs>
              <w:tab w:val="right" w:leader="dot" w:pos="8503"/>
            </w:tabs>
            <w:spacing w:line="400" w:lineRule="exact"/>
          </w:pPr>
          <w:r>
            <w:fldChar w:fldCharType="begin"/>
          </w:r>
          <w:r>
            <w:instrText xml:space="preserve"> HYPERLINK \l "_Toc6538" </w:instrText>
          </w:r>
          <w:r>
            <w:fldChar w:fldCharType="separate"/>
          </w:r>
          <w:r>
            <w:rPr>
              <w:rFonts w:hint="eastAsia" w:ascii="黑体" w:eastAsia="黑体"/>
            </w:rPr>
            <w:t>4.5 本章小结</w:t>
          </w:r>
          <w:r>
            <w:tab/>
          </w:r>
          <w:r>
            <w:fldChar w:fldCharType="begin"/>
          </w:r>
          <w:r>
            <w:instrText xml:space="preserve"> PAGEREF _Toc6538 \h </w:instrText>
          </w:r>
          <w:r>
            <w:fldChar w:fldCharType="separate"/>
          </w:r>
          <w:r>
            <w:t>16</w:t>
          </w:r>
          <w:r>
            <w:fldChar w:fldCharType="end"/>
          </w:r>
          <w:r>
            <w:fldChar w:fldCharType="end"/>
          </w:r>
        </w:p>
        <w:p w14:paraId="023EBB27">
          <w:pPr>
            <w:pStyle w:val="16"/>
            <w:tabs>
              <w:tab w:val="right" w:leader="dot" w:pos="8503"/>
            </w:tabs>
            <w:spacing w:line="400" w:lineRule="exact"/>
          </w:pPr>
          <w:r>
            <w:fldChar w:fldCharType="begin"/>
          </w:r>
          <w:r>
            <w:instrText xml:space="preserve"> HYPERLINK \l "_Toc9625" </w:instrText>
          </w:r>
          <w:r>
            <w:fldChar w:fldCharType="separate"/>
          </w:r>
          <w:r>
            <w:rPr>
              <w:rFonts w:hint="eastAsia" w:ascii="黑体" w:hAnsi="黑体" w:eastAsia="黑体" w:cs="黑体"/>
              <w:sz w:val="28"/>
              <w:szCs w:val="28"/>
            </w:rPr>
            <w:t>5 系统详细设计与实现</w:t>
          </w:r>
          <w:r>
            <w:tab/>
          </w:r>
          <w:r>
            <w:rPr>
              <w:rFonts w:hint="eastAsia"/>
            </w:rPr>
            <w:fldChar w:fldCharType="begin"/>
          </w:r>
          <w:r>
            <w:rPr>
              <w:rFonts w:hint="eastAsia"/>
            </w:rPr>
            <w:instrText xml:space="preserve"> PAGEREF _Toc9625 \h </w:instrText>
          </w:r>
          <w:r>
            <w:rPr>
              <w:rFonts w:hint="eastAsia"/>
            </w:rPr>
            <w:fldChar w:fldCharType="separate"/>
          </w:r>
          <w:r>
            <w:rPr>
              <w:rFonts w:hint="eastAsia"/>
            </w:rPr>
            <w:t>17</w:t>
          </w:r>
          <w:r>
            <w:rPr>
              <w:rFonts w:hint="eastAsia"/>
            </w:rPr>
            <w:fldChar w:fldCharType="end"/>
          </w:r>
          <w:r>
            <w:rPr>
              <w:rFonts w:hint="eastAsia"/>
            </w:rPr>
            <w:fldChar w:fldCharType="end"/>
          </w:r>
        </w:p>
        <w:p w14:paraId="3B9E897B">
          <w:pPr>
            <w:pStyle w:val="17"/>
            <w:tabs>
              <w:tab w:val="right" w:leader="dot" w:pos="8503"/>
            </w:tabs>
            <w:spacing w:line="400" w:lineRule="exact"/>
          </w:pPr>
          <w:r>
            <w:fldChar w:fldCharType="begin"/>
          </w:r>
          <w:r>
            <w:instrText xml:space="preserve"> HYPERLINK \l "_Toc18120" </w:instrText>
          </w:r>
          <w:r>
            <w:fldChar w:fldCharType="separate"/>
          </w:r>
          <w:r>
            <w:rPr>
              <w:rFonts w:hint="eastAsia" w:ascii="黑体" w:eastAsia="黑体"/>
            </w:rPr>
            <w:t>5.1 行情数据模块</w:t>
          </w:r>
          <w:r>
            <w:tab/>
          </w:r>
          <w:r>
            <w:fldChar w:fldCharType="begin"/>
          </w:r>
          <w:r>
            <w:instrText xml:space="preserve"> PAGEREF _Toc18120 \h </w:instrText>
          </w:r>
          <w:r>
            <w:fldChar w:fldCharType="separate"/>
          </w:r>
          <w:r>
            <w:t>17</w:t>
          </w:r>
          <w:r>
            <w:fldChar w:fldCharType="end"/>
          </w:r>
          <w:r>
            <w:fldChar w:fldCharType="end"/>
          </w:r>
        </w:p>
        <w:p w14:paraId="4C0D0402">
          <w:pPr>
            <w:pStyle w:val="10"/>
            <w:tabs>
              <w:tab w:val="right" w:leader="dot" w:pos="8503"/>
            </w:tabs>
            <w:spacing w:line="400" w:lineRule="exact"/>
            <w:rPr>
              <w:rFonts w:hint="eastAsia" w:ascii="宋体" w:hAnsi="宋体" w:cs="宋体"/>
              <w:szCs w:val="28"/>
            </w:rPr>
          </w:pPr>
          <w:r>
            <w:fldChar w:fldCharType="begin"/>
          </w:r>
          <w:r>
            <w:instrText xml:space="preserve"> HYPERLINK \l "_Toc148" </w:instrText>
          </w:r>
          <w:r>
            <w:fldChar w:fldCharType="separate"/>
          </w:r>
          <w:r>
            <w:rPr>
              <w:rFonts w:hint="eastAsia" w:ascii="宋体" w:hAnsi="宋体" w:cs="宋体"/>
              <w:szCs w:val="28"/>
            </w:rPr>
            <w:t>5.1.1 股票数据查询与缓存</w:t>
          </w:r>
          <w:r>
            <w:rPr>
              <w:rFonts w:hint="eastAsia" w:ascii="宋体" w:hAnsi="宋体" w:cs="宋体"/>
              <w:szCs w:val="28"/>
            </w:rPr>
            <w:tab/>
          </w:r>
          <w:r>
            <w:rPr>
              <w:rFonts w:hint="eastAsia"/>
            </w:rPr>
            <w:fldChar w:fldCharType="begin"/>
          </w:r>
          <w:r>
            <w:rPr>
              <w:rFonts w:hint="eastAsia"/>
            </w:rPr>
            <w:instrText xml:space="preserve"> PAGEREF _Toc148 \h </w:instrText>
          </w:r>
          <w:r>
            <w:rPr>
              <w:rFonts w:hint="eastAsia"/>
            </w:rPr>
            <w:fldChar w:fldCharType="separate"/>
          </w:r>
          <w:r>
            <w:rPr>
              <w:rFonts w:hint="eastAsia"/>
            </w:rPr>
            <w:t>17</w:t>
          </w:r>
          <w:r>
            <w:rPr>
              <w:rFonts w:hint="eastAsia"/>
            </w:rPr>
            <w:fldChar w:fldCharType="end"/>
          </w:r>
          <w:r>
            <w:rPr>
              <w:rFonts w:hint="eastAsia"/>
            </w:rPr>
            <w:fldChar w:fldCharType="end"/>
          </w:r>
        </w:p>
        <w:p w14:paraId="2A5FA6C8">
          <w:pPr>
            <w:pStyle w:val="10"/>
            <w:tabs>
              <w:tab w:val="right" w:leader="dot" w:pos="8503"/>
            </w:tabs>
            <w:spacing w:line="400" w:lineRule="exact"/>
          </w:pPr>
          <w:r>
            <w:fldChar w:fldCharType="begin"/>
          </w:r>
          <w:r>
            <w:instrText xml:space="preserve"> HYPERLINK \l "_Toc29394" </w:instrText>
          </w:r>
          <w:r>
            <w:fldChar w:fldCharType="separate"/>
          </w:r>
          <w:r>
            <w:rPr>
              <w:rFonts w:hint="eastAsia" w:ascii="宋体" w:hAnsi="宋体" w:cs="宋体"/>
              <w:szCs w:val="28"/>
            </w:rPr>
            <w:t>5.1.2 股票技术指标的计算</w:t>
          </w:r>
          <w:r>
            <w:rPr>
              <w:rFonts w:hint="eastAsia" w:ascii="宋体" w:hAnsi="宋体" w:cs="宋体"/>
              <w:szCs w:val="28"/>
            </w:rPr>
            <w:tab/>
          </w:r>
          <w:r>
            <w:rPr>
              <w:rFonts w:hint="eastAsia"/>
            </w:rPr>
            <w:fldChar w:fldCharType="begin"/>
          </w:r>
          <w:r>
            <w:rPr>
              <w:rFonts w:hint="eastAsia"/>
            </w:rPr>
            <w:instrText xml:space="preserve"> PAGEREF _Toc29394 \h </w:instrText>
          </w:r>
          <w:r>
            <w:rPr>
              <w:rFonts w:hint="eastAsia"/>
            </w:rPr>
            <w:fldChar w:fldCharType="separate"/>
          </w:r>
          <w:r>
            <w:rPr>
              <w:rFonts w:hint="eastAsia"/>
            </w:rPr>
            <w:t>18</w:t>
          </w:r>
          <w:r>
            <w:rPr>
              <w:rFonts w:hint="eastAsia"/>
            </w:rPr>
            <w:fldChar w:fldCharType="end"/>
          </w:r>
          <w:r>
            <w:rPr>
              <w:rFonts w:hint="eastAsia"/>
            </w:rPr>
            <w:fldChar w:fldCharType="end"/>
          </w:r>
        </w:p>
        <w:p w14:paraId="328E0945">
          <w:pPr>
            <w:pStyle w:val="17"/>
            <w:tabs>
              <w:tab w:val="right" w:leader="dot" w:pos="8503"/>
            </w:tabs>
            <w:spacing w:line="400" w:lineRule="exact"/>
          </w:pPr>
          <w:r>
            <w:fldChar w:fldCharType="begin"/>
          </w:r>
          <w:r>
            <w:instrText xml:space="preserve"> HYPERLINK \l "_Toc5670" </w:instrText>
          </w:r>
          <w:r>
            <w:fldChar w:fldCharType="separate"/>
          </w:r>
          <w:r>
            <w:rPr>
              <w:rFonts w:hint="eastAsia" w:ascii="黑体" w:eastAsia="黑体"/>
            </w:rPr>
            <w:t xml:space="preserve">5.2 </w:t>
          </w:r>
          <w:r>
            <w:rPr>
              <w:rFonts w:ascii="黑体" w:eastAsia="黑体"/>
            </w:rPr>
            <w:t>AI</w:t>
          </w:r>
          <w:r>
            <w:rPr>
              <w:rFonts w:hint="eastAsia" w:ascii="黑体" w:eastAsia="黑体"/>
            </w:rPr>
            <w:t>决策模块</w:t>
          </w:r>
          <w:r>
            <w:tab/>
          </w:r>
          <w:r>
            <w:fldChar w:fldCharType="begin"/>
          </w:r>
          <w:r>
            <w:instrText xml:space="preserve"> PAGEREF _Toc5670 \h </w:instrText>
          </w:r>
          <w:r>
            <w:fldChar w:fldCharType="separate"/>
          </w:r>
          <w:r>
            <w:t>18</w:t>
          </w:r>
          <w:r>
            <w:fldChar w:fldCharType="end"/>
          </w:r>
          <w:r>
            <w:fldChar w:fldCharType="end"/>
          </w:r>
        </w:p>
        <w:p w14:paraId="0E0661E7">
          <w:pPr>
            <w:pStyle w:val="10"/>
            <w:tabs>
              <w:tab w:val="right" w:leader="dot" w:pos="8503"/>
            </w:tabs>
            <w:spacing w:line="400" w:lineRule="exact"/>
            <w:rPr>
              <w:rFonts w:hint="eastAsia" w:ascii="宋体" w:hAnsi="宋体" w:cs="宋体"/>
              <w:szCs w:val="28"/>
            </w:rPr>
          </w:pPr>
          <w:r>
            <w:fldChar w:fldCharType="begin"/>
          </w:r>
          <w:r>
            <w:instrText xml:space="preserve"> HYPERLINK \l "_Toc29494" </w:instrText>
          </w:r>
          <w:r>
            <w:fldChar w:fldCharType="separate"/>
          </w:r>
          <w:r>
            <w:rPr>
              <w:rFonts w:hint="eastAsia" w:ascii="宋体" w:hAnsi="宋体" w:cs="宋体"/>
              <w:szCs w:val="28"/>
            </w:rPr>
            <w:t>5.2.1 模型配置与加载</w:t>
          </w:r>
          <w:r>
            <w:rPr>
              <w:rFonts w:hint="eastAsia" w:ascii="宋体" w:hAnsi="宋体" w:cs="宋体"/>
              <w:szCs w:val="28"/>
            </w:rPr>
            <w:tab/>
          </w:r>
          <w:r>
            <w:rPr>
              <w:rFonts w:hint="eastAsia"/>
            </w:rPr>
            <w:fldChar w:fldCharType="begin"/>
          </w:r>
          <w:r>
            <w:rPr>
              <w:rFonts w:hint="eastAsia"/>
            </w:rPr>
            <w:instrText xml:space="preserve"> PAGEREF _Toc29494 \h </w:instrText>
          </w:r>
          <w:r>
            <w:rPr>
              <w:rFonts w:hint="eastAsia"/>
            </w:rPr>
            <w:fldChar w:fldCharType="separate"/>
          </w:r>
          <w:r>
            <w:rPr>
              <w:rFonts w:hint="eastAsia"/>
            </w:rPr>
            <w:t>19</w:t>
          </w:r>
          <w:r>
            <w:rPr>
              <w:rFonts w:hint="eastAsia"/>
            </w:rPr>
            <w:fldChar w:fldCharType="end"/>
          </w:r>
          <w:r>
            <w:rPr>
              <w:rFonts w:hint="eastAsia"/>
            </w:rPr>
            <w:fldChar w:fldCharType="end"/>
          </w:r>
        </w:p>
        <w:p w14:paraId="25E6997C">
          <w:pPr>
            <w:pStyle w:val="10"/>
            <w:tabs>
              <w:tab w:val="right" w:leader="dot" w:pos="8503"/>
            </w:tabs>
            <w:spacing w:line="400" w:lineRule="exact"/>
            <w:rPr>
              <w:rFonts w:hint="eastAsia" w:ascii="宋体" w:hAnsi="宋体" w:cs="宋体"/>
              <w:szCs w:val="28"/>
            </w:rPr>
          </w:pPr>
          <w:r>
            <w:fldChar w:fldCharType="begin"/>
          </w:r>
          <w:r>
            <w:instrText xml:space="preserve"> HYPERLINK \l "_Toc10061" </w:instrText>
          </w:r>
          <w:r>
            <w:fldChar w:fldCharType="separate"/>
          </w:r>
          <w:r>
            <w:rPr>
              <w:rFonts w:hint="eastAsia" w:ascii="宋体" w:hAnsi="宋体" w:cs="宋体"/>
              <w:szCs w:val="28"/>
            </w:rPr>
            <w:t>5.2.2 提示词模板管理</w:t>
          </w:r>
          <w:r>
            <w:rPr>
              <w:rFonts w:hint="eastAsia" w:ascii="宋体" w:hAnsi="宋体" w:cs="宋体"/>
              <w:szCs w:val="28"/>
            </w:rPr>
            <w:tab/>
          </w:r>
          <w:r>
            <w:rPr>
              <w:rFonts w:hint="eastAsia"/>
            </w:rPr>
            <w:fldChar w:fldCharType="begin"/>
          </w:r>
          <w:r>
            <w:rPr>
              <w:rFonts w:hint="eastAsia"/>
            </w:rPr>
            <w:instrText xml:space="preserve"> PAGEREF _Toc10061 \h </w:instrText>
          </w:r>
          <w:r>
            <w:rPr>
              <w:rFonts w:hint="eastAsia"/>
            </w:rPr>
            <w:fldChar w:fldCharType="separate"/>
          </w:r>
          <w:r>
            <w:rPr>
              <w:rFonts w:hint="eastAsia"/>
            </w:rPr>
            <w:t>19</w:t>
          </w:r>
          <w:r>
            <w:rPr>
              <w:rFonts w:hint="eastAsia"/>
            </w:rPr>
            <w:fldChar w:fldCharType="end"/>
          </w:r>
          <w:r>
            <w:rPr>
              <w:rFonts w:hint="eastAsia"/>
            </w:rPr>
            <w:fldChar w:fldCharType="end"/>
          </w:r>
        </w:p>
        <w:p w14:paraId="1A9AF73A">
          <w:pPr>
            <w:pStyle w:val="10"/>
            <w:tabs>
              <w:tab w:val="right" w:leader="dot" w:pos="8503"/>
            </w:tabs>
            <w:spacing w:line="400" w:lineRule="exact"/>
            <w:rPr>
              <w:rFonts w:hint="eastAsia" w:ascii="宋体" w:hAnsi="宋体" w:cs="宋体"/>
              <w:szCs w:val="28"/>
            </w:rPr>
          </w:pPr>
          <w:r>
            <w:fldChar w:fldCharType="begin"/>
          </w:r>
          <w:r>
            <w:instrText xml:space="preserve"> HYPERLINK \l "_Toc2018" </w:instrText>
          </w:r>
          <w:r>
            <w:fldChar w:fldCharType="separate"/>
          </w:r>
          <w:r>
            <w:rPr>
              <w:rFonts w:hint="eastAsia" w:ascii="宋体" w:hAnsi="宋体" w:cs="宋体"/>
              <w:szCs w:val="28"/>
            </w:rPr>
            <w:t>5.2.3 单次决策的无状态设计</w:t>
          </w:r>
          <w:r>
            <w:rPr>
              <w:rFonts w:hint="eastAsia" w:ascii="宋体" w:hAnsi="宋体" w:cs="宋体"/>
              <w:szCs w:val="28"/>
            </w:rPr>
            <w:tab/>
          </w:r>
          <w:r>
            <w:rPr>
              <w:rFonts w:hint="eastAsia"/>
            </w:rPr>
            <w:fldChar w:fldCharType="begin"/>
          </w:r>
          <w:r>
            <w:rPr>
              <w:rFonts w:hint="eastAsia"/>
            </w:rPr>
            <w:instrText xml:space="preserve"> PAGEREF _Toc2018 \h </w:instrText>
          </w:r>
          <w:r>
            <w:rPr>
              <w:rFonts w:hint="eastAsia"/>
            </w:rPr>
            <w:fldChar w:fldCharType="separate"/>
          </w:r>
          <w:r>
            <w:rPr>
              <w:rFonts w:hint="eastAsia"/>
            </w:rPr>
            <w:t>21</w:t>
          </w:r>
          <w:r>
            <w:rPr>
              <w:rFonts w:hint="eastAsia"/>
            </w:rPr>
            <w:fldChar w:fldCharType="end"/>
          </w:r>
          <w:r>
            <w:rPr>
              <w:rFonts w:hint="eastAsia"/>
            </w:rPr>
            <w:fldChar w:fldCharType="end"/>
          </w:r>
        </w:p>
        <w:p w14:paraId="460B22FE">
          <w:pPr>
            <w:pStyle w:val="10"/>
            <w:tabs>
              <w:tab w:val="right" w:leader="dot" w:pos="8503"/>
            </w:tabs>
            <w:spacing w:line="400" w:lineRule="exact"/>
          </w:pPr>
          <w:r>
            <w:fldChar w:fldCharType="begin"/>
          </w:r>
          <w:r>
            <w:instrText xml:space="preserve"> HYPERLINK \l "_Toc5003" </w:instrText>
          </w:r>
          <w:r>
            <w:fldChar w:fldCharType="separate"/>
          </w:r>
          <w:r>
            <w:rPr>
              <w:rFonts w:hint="eastAsia" w:ascii="宋体" w:hAnsi="宋体" w:cs="宋体"/>
              <w:szCs w:val="28"/>
            </w:rPr>
            <w:t>5.2.4 线程池配置</w:t>
          </w:r>
          <w:r>
            <w:rPr>
              <w:rFonts w:hint="eastAsia" w:ascii="宋体" w:hAnsi="宋体" w:cs="宋体"/>
              <w:szCs w:val="28"/>
            </w:rPr>
            <w:tab/>
          </w:r>
          <w:r>
            <w:rPr>
              <w:rFonts w:hint="eastAsia"/>
            </w:rPr>
            <w:fldChar w:fldCharType="begin"/>
          </w:r>
          <w:r>
            <w:rPr>
              <w:rFonts w:hint="eastAsia"/>
            </w:rPr>
            <w:instrText xml:space="preserve"> PAGEREF _Toc5003 \h </w:instrText>
          </w:r>
          <w:r>
            <w:rPr>
              <w:rFonts w:hint="eastAsia"/>
            </w:rPr>
            <w:fldChar w:fldCharType="separate"/>
          </w:r>
          <w:r>
            <w:rPr>
              <w:rFonts w:hint="eastAsia"/>
            </w:rPr>
            <w:t>21</w:t>
          </w:r>
          <w:r>
            <w:rPr>
              <w:rFonts w:hint="eastAsia"/>
            </w:rPr>
            <w:fldChar w:fldCharType="end"/>
          </w:r>
          <w:r>
            <w:rPr>
              <w:rFonts w:hint="eastAsia"/>
            </w:rPr>
            <w:fldChar w:fldCharType="end"/>
          </w:r>
        </w:p>
        <w:p w14:paraId="344A4995">
          <w:pPr>
            <w:pStyle w:val="17"/>
            <w:tabs>
              <w:tab w:val="right" w:leader="dot" w:pos="8503"/>
            </w:tabs>
            <w:spacing w:line="400" w:lineRule="exact"/>
          </w:pPr>
          <w:r>
            <w:fldChar w:fldCharType="begin"/>
          </w:r>
          <w:r>
            <w:instrText xml:space="preserve"> HYPERLINK \l "_Toc15497" </w:instrText>
          </w:r>
          <w:r>
            <w:fldChar w:fldCharType="separate"/>
          </w:r>
          <w:r>
            <w:rPr>
              <w:rFonts w:hint="eastAsia" w:ascii="黑体" w:eastAsia="黑体"/>
            </w:rPr>
            <w:t>5.3 模拟交易模块</w:t>
          </w:r>
          <w:r>
            <w:tab/>
          </w:r>
          <w:r>
            <w:fldChar w:fldCharType="begin"/>
          </w:r>
          <w:r>
            <w:instrText xml:space="preserve"> PAGEREF _Toc15497 \h </w:instrText>
          </w:r>
          <w:r>
            <w:fldChar w:fldCharType="separate"/>
          </w:r>
          <w:r>
            <w:t>22</w:t>
          </w:r>
          <w:r>
            <w:fldChar w:fldCharType="end"/>
          </w:r>
          <w:r>
            <w:fldChar w:fldCharType="end"/>
          </w:r>
        </w:p>
        <w:p w14:paraId="20F5B4C5">
          <w:pPr>
            <w:pStyle w:val="10"/>
            <w:tabs>
              <w:tab w:val="right" w:leader="dot" w:pos="8503"/>
            </w:tabs>
            <w:spacing w:line="400" w:lineRule="exact"/>
            <w:rPr>
              <w:rFonts w:hint="eastAsia" w:ascii="宋体" w:hAnsi="宋体" w:cs="宋体"/>
              <w:szCs w:val="28"/>
            </w:rPr>
          </w:pPr>
          <w:r>
            <w:fldChar w:fldCharType="begin"/>
          </w:r>
          <w:r>
            <w:instrText xml:space="preserve"> HYPERLINK \l "_Toc8463" </w:instrText>
          </w:r>
          <w:r>
            <w:fldChar w:fldCharType="separate"/>
          </w:r>
          <w:r>
            <w:rPr>
              <w:rFonts w:hint="eastAsia" w:ascii="宋体" w:hAnsi="宋体" w:cs="宋体"/>
              <w:szCs w:val="28"/>
            </w:rPr>
            <w:t>5.3.1 买卖工具方法</w:t>
          </w:r>
          <w:r>
            <w:rPr>
              <w:rFonts w:hint="eastAsia" w:ascii="宋体" w:hAnsi="宋体" w:cs="宋体"/>
              <w:szCs w:val="28"/>
            </w:rPr>
            <w:tab/>
          </w:r>
          <w:r>
            <w:rPr>
              <w:rFonts w:hint="eastAsia"/>
            </w:rPr>
            <w:fldChar w:fldCharType="begin"/>
          </w:r>
          <w:r>
            <w:rPr>
              <w:rFonts w:hint="eastAsia"/>
            </w:rPr>
            <w:instrText xml:space="preserve"> PAGEREF _Toc8463 \h </w:instrText>
          </w:r>
          <w:r>
            <w:rPr>
              <w:rFonts w:hint="eastAsia"/>
            </w:rPr>
            <w:fldChar w:fldCharType="separate"/>
          </w:r>
          <w:r>
            <w:rPr>
              <w:rFonts w:hint="eastAsia"/>
            </w:rPr>
            <w:t>22</w:t>
          </w:r>
          <w:r>
            <w:rPr>
              <w:rFonts w:hint="eastAsia"/>
            </w:rPr>
            <w:fldChar w:fldCharType="end"/>
          </w:r>
          <w:r>
            <w:rPr>
              <w:rFonts w:hint="eastAsia"/>
            </w:rPr>
            <w:fldChar w:fldCharType="end"/>
          </w:r>
        </w:p>
        <w:p w14:paraId="0D24A2AA">
          <w:pPr>
            <w:pStyle w:val="10"/>
            <w:tabs>
              <w:tab w:val="right" w:leader="dot" w:pos="8503"/>
            </w:tabs>
            <w:spacing w:line="400" w:lineRule="exact"/>
          </w:pPr>
          <w:r>
            <w:fldChar w:fldCharType="begin"/>
          </w:r>
          <w:r>
            <w:instrText xml:space="preserve"> HYPERLINK \l "_Toc19113" </w:instrText>
          </w:r>
          <w:r>
            <w:fldChar w:fldCharType="separate"/>
          </w:r>
          <w:r>
            <w:rPr>
              <w:rFonts w:hint="eastAsia" w:ascii="宋体" w:hAnsi="宋体" w:cs="宋体"/>
              <w:szCs w:val="28"/>
            </w:rPr>
            <w:t>5.3.2 AI交易员初始化</w:t>
          </w:r>
          <w:r>
            <w:rPr>
              <w:rFonts w:hint="eastAsia" w:ascii="宋体" w:hAnsi="宋体" w:cs="宋体"/>
              <w:szCs w:val="28"/>
            </w:rPr>
            <w:tab/>
          </w:r>
          <w:r>
            <w:rPr>
              <w:rFonts w:hint="eastAsia"/>
            </w:rPr>
            <w:fldChar w:fldCharType="begin"/>
          </w:r>
          <w:r>
            <w:rPr>
              <w:rFonts w:hint="eastAsia"/>
            </w:rPr>
            <w:instrText xml:space="preserve"> PAGEREF _Toc19113 \h </w:instrText>
          </w:r>
          <w:r>
            <w:rPr>
              <w:rFonts w:hint="eastAsia"/>
            </w:rPr>
            <w:fldChar w:fldCharType="separate"/>
          </w:r>
          <w:r>
            <w:rPr>
              <w:rFonts w:hint="eastAsia"/>
            </w:rPr>
            <w:t>23</w:t>
          </w:r>
          <w:r>
            <w:rPr>
              <w:rFonts w:hint="eastAsia"/>
            </w:rPr>
            <w:fldChar w:fldCharType="end"/>
          </w:r>
          <w:r>
            <w:rPr>
              <w:rFonts w:hint="eastAsia"/>
            </w:rPr>
            <w:fldChar w:fldCharType="end"/>
          </w:r>
        </w:p>
        <w:p w14:paraId="518116F8">
          <w:pPr>
            <w:pStyle w:val="17"/>
            <w:tabs>
              <w:tab w:val="right" w:leader="dot" w:pos="8503"/>
            </w:tabs>
            <w:spacing w:line="400" w:lineRule="exact"/>
          </w:pPr>
          <w:r>
            <w:fldChar w:fldCharType="begin"/>
          </w:r>
          <w:r>
            <w:instrText xml:space="preserve"> HYPERLINK \l "_Toc10057" </w:instrText>
          </w:r>
          <w:r>
            <w:fldChar w:fldCharType="separate"/>
          </w:r>
          <w:r>
            <w:rPr>
              <w:rFonts w:hint="eastAsia" w:ascii="黑体" w:eastAsia="黑体"/>
            </w:rPr>
            <w:t>5.4 区块链斗兽场模块</w:t>
          </w:r>
          <w:r>
            <w:tab/>
          </w:r>
          <w:r>
            <w:fldChar w:fldCharType="begin"/>
          </w:r>
          <w:r>
            <w:instrText xml:space="preserve"> PAGEREF _Toc10057 \h </w:instrText>
          </w:r>
          <w:r>
            <w:fldChar w:fldCharType="separate"/>
          </w:r>
          <w:r>
            <w:t>23</w:t>
          </w:r>
          <w:r>
            <w:fldChar w:fldCharType="end"/>
          </w:r>
          <w:r>
            <w:fldChar w:fldCharType="end"/>
          </w:r>
        </w:p>
        <w:p w14:paraId="605AFF4F">
          <w:pPr>
            <w:pStyle w:val="10"/>
            <w:tabs>
              <w:tab w:val="right" w:leader="dot" w:pos="8503"/>
            </w:tabs>
            <w:spacing w:line="400" w:lineRule="exact"/>
            <w:rPr>
              <w:rFonts w:hint="eastAsia" w:ascii="宋体" w:hAnsi="宋体" w:cs="宋体"/>
              <w:szCs w:val="28"/>
            </w:rPr>
          </w:pPr>
          <w:r>
            <w:fldChar w:fldCharType="begin"/>
          </w:r>
          <w:r>
            <w:instrText xml:space="preserve"> HYPERLINK \l "_Toc10318" </w:instrText>
          </w:r>
          <w:r>
            <w:fldChar w:fldCharType="separate"/>
          </w:r>
          <w:r>
            <w:rPr>
              <w:rFonts w:hint="eastAsia" w:ascii="宋体" w:hAnsi="宋体" w:cs="宋体"/>
              <w:szCs w:val="28"/>
            </w:rPr>
            <w:t>5.4.1 角色配置与启动</w:t>
          </w:r>
          <w:r>
            <w:rPr>
              <w:rFonts w:hint="eastAsia" w:ascii="宋体" w:hAnsi="宋体" w:cs="宋体"/>
              <w:szCs w:val="28"/>
            </w:rPr>
            <w:tab/>
          </w:r>
          <w:r>
            <w:rPr>
              <w:rFonts w:hint="eastAsia"/>
            </w:rPr>
            <w:fldChar w:fldCharType="begin"/>
          </w:r>
          <w:r>
            <w:rPr>
              <w:rFonts w:hint="eastAsia"/>
            </w:rPr>
            <w:instrText xml:space="preserve"> PAGEREF _Toc10318 \h </w:instrText>
          </w:r>
          <w:r>
            <w:rPr>
              <w:rFonts w:hint="eastAsia"/>
            </w:rPr>
            <w:fldChar w:fldCharType="separate"/>
          </w:r>
          <w:r>
            <w:rPr>
              <w:rFonts w:hint="eastAsia"/>
            </w:rPr>
            <w:t>23</w:t>
          </w:r>
          <w:r>
            <w:rPr>
              <w:rFonts w:hint="eastAsia"/>
            </w:rPr>
            <w:fldChar w:fldCharType="end"/>
          </w:r>
          <w:r>
            <w:rPr>
              <w:rFonts w:hint="eastAsia"/>
            </w:rPr>
            <w:fldChar w:fldCharType="end"/>
          </w:r>
        </w:p>
        <w:p w14:paraId="1E016406">
          <w:pPr>
            <w:pStyle w:val="10"/>
            <w:tabs>
              <w:tab w:val="right" w:leader="dot" w:pos="8503"/>
            </w:tabs>
            <w:spacing w:line="400" w:lineRule="exact"/>
            <w:rPr>
              <w:rFonts w:hint="eastAsia" w:ascii="宋体" w:hAnsi="宋体" w:cs="宋体"/>
              <w:szCs w:val="28"/>
            </w:rPr>
          </w:pPr>
          <w:r>
            <w:fldChar w:fldCharType="begin"/>
          </w:r>
          <w:r>
            <w:instrText xml:space="preserve"> HYPERLINK \l "_Toc14086" </w:instrText>
          </w:r>
          <w:r>
            <w:fldChar w:fldCharType="separate"/>
          </w:r>
          <w:r>
            <w:rPr>
              <w:rFonts w:hint="eastAsia" w:ascii="宋体" w:hAnsi="宋体" w:cs="宋体"/>
              <w:szCs w:val="28"/>
            </w:rPr>
            <w:t>5.4.2 竞争排序与轮转执行</w:t>
          </w:r>
          <w:r>
            <w:rPr>
              <w:rFonts w:hint="eastAsia" w:ascii="宋体" w:hAnsi="宋体" w:cs="宋体"/>
              <w:szCs w:val="28"/>
            </w:rPr>
            <w:tab/>
          </w:r>
          <w:r>
            <w:rPr>
              <w:rFonts w:hint="eastAsia"/>
            </w:rPr>
            <w:fldChar w:fldCharType="begin"/>
          </w:r>
          <w:r>
            <w:rPr>
              <w:rFonts w:hint="eastAsia"/>
            </w:rPr>
            <w:instrText xml:space="preserve"> PAGEREF _Toc14086 \h </w:instrText>
          </w:r>
          <w:r>
            <w:rPr>
              <w:rFonts w:hint="eastAsia"/>
            </w:rPr>
            <w:fldChar w:fldCharType="separate"/>
          </w:r>
          <w:r>
            <w:rPr>
              <w:rFonts w:hint="eastAsia"/>
            </w:rPr>
            <w:t>25</w:t>
          </w:r>
          <w:r>
            <w:rPr>
              <w:rFonts w:hint="eastAsia"/>
            </w:rPr>
            <w:fldChar w:fldCharType="end"/>
          </w:r>
          <w:r>
            <w:rPr>
              <w:rFonts w:hint="eastAsia"/>
            </w:rPr>
            <w:fldChar w:fldCharType="end"/>
          </w:r>
        </w:p>
        <w:p w14:paraId="36670A5B">
          <w:pPr>
            <w:pStyle w:val="10"/>
            <w:tabs>
              <w:tab w:val="right" w:leader="dot" w:pos="8503"/>
            </w:tabs>
            <w:spacing w:line="400" w:lineRule="exact"/>
            <w:rPr>
              <w:rFonts w:hint="eastAsia" w:ascii="宋体" w:hAnsi="宋体" w:cs="宋体"/>
              <w:szCs w:val="28"/>
            </w:rPr>
          </w:pPr>
          <w:r>
            <w:fldChar w:fldCharType="begin"/>
          </w:r>
          <w:r>
            <w:instrText xml:space="preserve"> HYPERLINK \l "_Toc4663" </w:instrText>
          </w:r>
          <w:r>
            <w:fldChar w:fldCharType="separate"/>
          </w:r>
          <w:r>
            <w:rPr>
              <w:rFonts w:hint="eastAsia" w:ascii="宋体" w:hAnsi="宋体" w:cs="宋体"/>
              <w:szCs w:val="28"/>
            </w:rPr>
            <w:t>5.4.3 代币兑换与价格更新</w:t>
          </w:r>
          <w:r>
            <w:rPr>
              <w:rFonts w:hint="eastAsia" w:ascii="宋体" w:hAnsi="宋体" w:cs="宋体"/>
              <w:szCs w:val="28"/>
            </w:rPr>
            <w:tab/>
          </w:r>
          <w:r>
            <w:rPr>
              <w:rFonts w:hint="eastAsia"/>
            </w:rPr>
            <w:fldChar w:fldCharType="begin"/>
          </w:r>
          <w:r>
            <w:rPr>
              <w:rFonts w:hint="eastAsia"/>
            </w:rPr>
            <w:instrText xml:space="preserve"> PAGEREF _Toc4663 \h </w:instrText>
          </w:r>
          <w:r>
            <w:rPr>
              <w:rFonts w:hint="eastAsia"/>
            </w:rPr>
            <w:fldChar w:fldCharType="separate"/>
          </w:r>
          <w:r>
            <w:rPr>
              <w:rFonts w:hint="eastAsia"/>
            </w:rPr>
            <w:t>26</w:t>
          </w:r>
          <w:r>
            <w:rPr>
              <w:rFonts w:hint="eastAsia"/>
            </w:rPr>
            <w:fldChar w:fldCharType="end"/>
          </w:r>
          <w:r>
            <w:rPr>
              <w:rFonts w:hint="eastAsia"/>
            </w:rPr>
            <w:fldChar w:fldCharType="end"/>
          </w:r>
        </w:p>
        <w:p w14:paraId="2A05062C">
          <w:pPr>
            <w:pStyle w:val="10"/>
            <w:tabs>
              <w:tab w:val="right" w:leader="dot" w:pos="8503"/>
            </w:tabs>
            <w:spacing w:line="400" w:lineRule="exact"/>
          </w:pPr>
          <w:r>
            <w:fldChar w:fldCharType="begin"/>
          </w:r>
          <w:r>
            <w:instrText xml:space="preserve"> HYPERLINK \l "_Toc29831" </w:instrText>
          </w:r>
          <w:r>
            <w:fldChar w:fldCharType="separate"/>
          </w:r>
          <w:r>
            <w:rPr>
              <w:rFonts w:hint="eastAsia" w:ascii="宋体" w:hAnsi="宋体" w:cs="宋体"/>
              <w:szCs w:val="28"/>
            </w:rPr>
            <w:t>5.4.4 链上交互与私钥管理</w:t>
          </w:r>
          <w:r>
            <w:rPr>
              <w:rFonts w:hint="eastAsia" w:ascii="宋体" w:hAnsi="宋体" w:cs="宋体"/>
              <w:szCs w:val="28"/>
            </w:rPr>
            <w:tab/>
          </w:r>
          <w:r>
            <w:rPr>
              <w:rFonts w:hint="eastAsia"/>
            </w:rPr>
            <w:fldChar w:fldCharType="begin"/>
          </w:r>
          <w:r>
            <w:rPr>
              <w:rFonts w:hint="eastAsia"/>
            </w:rPr>
            <w:instrText xml:space="preserve"> PAGEREF _Toc29831 \h </w:instrText>
          </w:r>
          <w:r>
            <w:rPr>
              <w:rFonts w:hint="eastAsia"/>
            </w:rPr>
            <w:fldChar w:fldCharType="separate"/>
          </w:r>
          <w:r>
            <w:rPr>
              <w:rFonts w:hint="eastAsia"/>
            </w:rPr>
            <w:t>27</w:t>
          </w:r>
          <w:r>
            <w:rPr>
              <w:rFonts w:hint="eastAsia"/>
            </w:rPr>
            <w:fldChar w:fldCharType="end"/>
          </w:r>
          <w:r>
            <w:rPr>
              <w:rFonts w:hint="eastAsia"/>
            </w:rPr>
            <w:fldChar w:fldCharType="end"/>
          </w:r>
        </w:p>
        <w:p w14:paraId="1DCA99E8">
          <w:pPr>
            <w:pStyle w:val="17"/>
            <w:tabs>
              <w:tab w:val="right" w:leader="dot" w:pos="8503"/>
            </w:tabs>
            <w:spacing w:line="400" w:lineRule="exact"/>
          </w:pPr>
          <w:r>
            <w:fldChar w:fldCharType="begin"/>
          </w:r>
          <w:r>
            <w:instrText xml:space="preserve"> HYPERLINK \l "_Toc5152" </w:instrText>
          </w:r>
          <w:r>
            <w:fldChar w:fldCharType="separate"/>
          </w:r>
          <w:r>
            <w:rPr>
              <w:rFonts w:hint="eastAsia" w:ascii="黑体" w:eastAsia="黑体"/>
            </w:rPr>
            <w:t>5.5 前端与后端的交互</w:t>
          </w:r>
          <w:r>
            <w:tab/>
          </w:r>
          <w:r>
            <w:fldChar w:fldCharType="begin"/>
          </w:r>
          <w:r>
            <w:instrText xml:space="preserve"> PAGEREF _Toc5152 \h </w:instrText>
          </w:r>
          <w:r>
            <w:fldChar w:fldCharType="separate"/>
          </w:r>
          <w:r>
            <w:t>28</w:t>
          </w:r>
          <w:r>
            <w:fldChar w:fldCharType="end"/>
          </w:r>
          <w:r>
            <w:fldChar w:fldCharType="end"/>
          </w:r>
        </w:p>
        <w:p w14:paraId="007F1D8C">
          <w:pPr>
            <w:pStyle w:val="10"/>
            <w:tabs>
              <w:tab w:val="right" w:leader="dot" w:pos="8503"/>
            </w:tabs>
            <w:spacing w:line="400" w:lineRule="exact"/>
            <w:rPr>
              <w:rFonts w:hint="eastAsia" w:ascii="宋体" w:hAnsi="宋体" w:cs="宋体"/>
              <w:szCs w:val="28"/>
            </w:rPr>
          </w:pPr>
          <w:r>
            <w:fldChar w:fldCharType="begin"/>
          </w:r>
          <w:r>
            <w:instrText xml:space="preserve"> HYPERLINK \l "_Toc15149" </w:instrText>
          </w:r>
          <w:r>
            <w:fldChar w:fldCharType="separate"/>
          </w:r>
          <w:r>
            <w:rPr>
              <w:rFonts w:hint="eastAsia" w:ascii="宋体" w:hAnsi="宋体" w:cs="宋体"/>
              <w:szCs w:val="28"/>
            </w:rPr>
            <w:t>5.5.1 实时数据推送</w:t>
          </w:r>
          <w:r>
            <w:rPr>
              <w:rFonts w:hint="eastAsia" w:ascii="宋体" w:hAnsi="宋体" w:cs="宋体"/>
              <w:szCs w:val="28"/>
            </w:rPr>
            <w:tab/>
          </w:r>
          <w:r>
            <w:rPr>
              <w:rFonts w:hint="eastAsia"/>
            </w:rPr>
            <w:fldChar w:fldCharType="begin"/>
          </w:r>
          <w:r>
            <w:rPr>
              <w:rFonts w:hint="eastAsia"/>
            </w:rPr>
            <w:instrText xml:space="preserve"> PAGEREF _Toc15149 \h </w:instrText>
          </w:r>
          <w:r>
            <w:rPr>
              <w:rFonts w:hint="eastAsia"/>
            </w:rPr>
            <w:fldChar w:fldCharType="separate"/>
          </w:r>
          <w:r>
            <w:rPr>
              <w:rFonts w:hint="eastAsia"/>
            </w:rPr>
            <w:t>28</w:t>
          </w:r>
          <w:r>
            <w:rPr>
              <w:rFonts w:hint="eastAsia"/>
            </w:rPr>
            <w:fldChar w:fldCharType="end"/>
          </w:r>
          <w:r>
            <w:rPr>
              <w:rFonts w:hint="eastAsia"/>
            </w:rPr>
            <w:fldChar w:fldCharType="end"/>
          </w:r>
        </w:p>
        <w:p w14:paraId="279D232E">
          <w:pPr>
            <w:pStyle w:val="10"/>
            <w:tabs>
              <w:tab w:val="right" w:leader="dot" w:pos="8503"/>
            </w:tabs>
            <w:spacing w:line="400" w:lineRule="exact"/>
            <w:rPr>
              <w:rFonts w:hint="eastAsia" w:ascii="宋体" w:hAnsi="宋体" w:cs="宋体"/>
              <w:szCs w:val="28"/>
            </w:rPr>
          </w:pPr>
          <w:r>
            <w:fldChar w:fldCharType="begin"/>
          </w:r>
          <w:r>
            <w:instrText xml:space="preserve"> HYPERLINK \l "_Toc26667" </w:instrText>
          </w:r>
          <w:r>
            <w:fldChar w:fldCharType="separate"/>
          </w:r>
          <w:r>
            <w:rPr>
              <w:rFonts w:hint="eastAsia" w:ascii="宋体" w:hAnsi="宋体" w:cs="宋体"/>
              <w:szCs w:val="28"/>
            </w:rPr>
            <w:t>5.5.2 页面组件结构</w:t>
          </w:r>
          <w:r>
            <w:rPr>
              <w:rFonts w:hint="eastAsia" w:ascii="宋体" w:hAnsi="宋体" w:cs="宋体"/>
              <w:szCs w:val="28"/>
            </w:rPr>
            <w:tab/>
          </w:r>
          <w:r>
            <w:rPr>
              <w:rFonts w:hint="eastAsia"/>
            </w:rPr>
            <w:fldChar w:fldCharType="begin"/>
          </w:r>
          <w:r>
            <w:rPr>
              <w:rFonts w:hint="eastAsia"/>
            </w:rPr>
            <w:instrText xml:space="preserve"> PAGEREF _Toc26667 \h </w:instrText>
          </w:r>
          <w:r>
            <w:rPr>
              <w:rFonts w:hint="eastAsia"/>
            </w:rPr>
            <w:fldChar w:fldCharType="separate"/>
          </w:r>
          <w:r>
            <w:rPr>
              <w:rFonts w:hint="eastAsia"/>
            </w:rPr>
            <w:t>28</w:t>
          </w:r>
          <w:r>
            <w:rPr>
              <w:rFonts w:hint="eastAsia"/>
            </w:rPr>
            <w:fldChar w:fldCharType="end"/>
          </w:r>
          <w:r>
            <w:rPr>
              <w:rFonts w:hint="eastAsia"/>
            </w:rPr>
            <w:fldChar w:fldCharType="end"/>
          </w:r>
        </w:p>
        <w:p w14:paraId="525B72B4">
          <w:pPr>
            <w:pStyle w:val="10"/>
            <w:tabs>
              <w:tab w:val="right" w:leader="dot" w:pos="8503"/>
            </w:tabs>
            <w:spacing w:line="400" w:lineRule="exact"/>
          </w:pPr>
          <w:r>
            <w:fldChar w:fldCharType="begin"/>
          </w:r>
          <w:r>
            <w:instrText xml:space="preserve"> HYPERLINK \l "_Toc8116" </w:instrText>
          </w:r>
          <w:r>
            <w:fldChar w:fldCharType="separate"/>
          </w:r>
          <w:r>
            <w:rPr>
              <w:rFonts w:hint="eastAsia" w:ascii="宋体" w:hAnsi="宋体" w:cs="宋体"/>
              <w:szCs w:val="28"/>
            </w:rPr>
            <w:t>5.5.3 配置页面的实现</w:t>
          </w:r>
          <w:r>
            <w:rPr>
              <w:rFonts w:hint="eastAsia" w:ascii="宋体" w:hAnsi="宋体" w:cs="宋体"/>
              <w:szCs w:val="28"/>
            </w:rPr>
            <w:tab/>
          </w:r>
          <w:r>
            <w:rPr>
              <w:rFonts w:hint="eastAsia"/>
            </w:rPr>
            <w:fldChar w:fldCharType="begin"/>
          </w:r>
          <w:r>
            <w:rPr>
              <w:rFonts w:hint="eastAsia"/>
            </w:rPr>
            <w:instrText xml:space="preserve"> PAGEREF _Toc8116 \h </w:instrText>
          </w:r>
          <w:r>
            <w:rPr>
              <w:rFonts w:hint="eastAsia"/>
            </w:rPr>
            <w:fldChar w:fldCharType="separate"/>
          </w:r>
          <w:r>
            <w:rPr>
              <w:rFonts w:hint="eastAsia"/>
            </w:rPr>
            <w:t>28</w:t>
          </w:r>
          <w:r>
            <w:rPr>
              <w:rFonts w:hint="eastAsia"/>
            </w:rPr>
            <w:fldChar w:fldCharType="end"/>
          </w:r>
          <w:r>
            <w:rPr>
              <w:rFonts w:hint="eastAsia"/>
            </w:rPr>
            <w:fldChar w:fldCharType="end"/>
          </w:r>
        </w:p>
        <w:p w14:paraId="194C4450">
          <w:pPr>
            <w:pStyle w:val="17"/>
            <w:tabs>
              <w:tab w:val="right" w:leader="dot" w:pos="8503"/>
            </w:tabs>
            <w:spacing w:line="400" w:lineRule="exact"/>
          </w:pPr>
          <w:r>
            <w:fldChar w:fldCharType="begin"/>
          </w:r>
          <w:r>
            <w:instrText xml:space="preserve"> HYPERLINK \l "_Toc3777" </w:instrText>
          </w:r>
          <w:r>
            <w:fldChar w:fldCharType="separate"/>
          </w:r>
          <w:r>
            <w:rPr>
              <w:rFonts w:hint="eastAsia" w:ascii="黑体" w:eastAsia="黑体"/>
            </w:rPr>
            <w:t>5.6 异常处理与日志</w:t>
          </w:r>
          <w:r>
            <w:tab/>
          </w:r>
          <w:r>
            <w:fldChar w:fldCharType="begin"/>
          </w:r>
          <w:r>
            <w:instrText xml:space="preserve"> PAGEREF _Toc3777 \h </w:instrText>
          </w:r>
          <w:r>
            <w:fldChar w:fldCharType="separate"/>
          </w:r>
          <w:r>
            <w:t>28</w:t>
          </w:r>
          <w:r>
            <w:fldChar w:fldCharType="end"/>
          </w:r>
          <w:r>
            <w:fldChar w:fldCharType="end"/>
          </w:r>
        </w:p>
        <w:p w14:paraId="1DE575D9">
          <w:pPr>
            <w:pStyle w:val="16"/>
            <w:tabs>
              <w:tab w:val="right" w:leader="dot" w:pos="8503"/>
            </w:tabs>
            <w:spacing w:line="400" w:lineRule="exact"/>
          </w:pPr>
          <w:r>
            <w:fldChar w:fldCharType="begin"/>
          </w:r>
          <w:r>
            <w:instrText xml:space="preserve"> HYPERLINK \l "_Toc19729" </w:instrText>
          </w:r>
          <w:r>
            <w:fldChar w:fldCharType="separate"/>
          </w:r>
          <w:r>
            <w:rPr>
              <w:rFonts w:hint="eastAsia" w:ascii="黑体" w:hAnsi="黑体" w:eastAsia="黑体" w:cs="黑体"/>
              <w:sz w:val="28"/>
              <w:szCs w:val="28"/>
            </w:rPr>
            <w:t>6 系统测试与分析</w:t>
          </w:r>
          <w:r>
            <w:tab/>
          </w:r>
          <w:r>
            <w:fldChar w:fldCharType="begin"/>
          </w:r>
          <w:r>
            <w:instrText xml:space="preserve"> PAGEREF _Toc19729 \h </w:instrText>
          </w:r>
          <w:r>
            <w:fldChar w:fldCharType="separate"/>
          </w:r>
          <w:r>
            <w:t>29</w:t>
          </w:r>
          <w:r>
            <w:fldChar w:fldCharType="end"/>
          </w:r>
          <w:r>
            <w:fldChar w:fldCharType="end"/>
          </w:r>
        </w:p>
        <w:p w14:paraId="06E6D5EF">
          <w:pPr>
            <w:pStyle w:val="17"/>
            <w:tabs>
              <w:tab w:val="right" w:leader="dot" w:pos="8503"/>
            </w:tabs>
            <w:spacing w:line="400" w:lineRule="exact"/>
          </w:pPr>
          <w:r>
            <w:fldChar w:fldCharType="begin"/>
          </w:r>
          <w:r>
            <w:instrText xml:space="preserve"> HYPERLINK \l "_Toc19050" </w:instrText>
          </w:r>
          <w:r>
            <w:fldChar w:fldCharType="separate"/>
          </w:r>
          <w:r>
            <w:rPr>
              <w:rFonts w:hint="eastAsia" w:ascii="黑体" w:eastAsia="黑体"/>
            </w:rPr>
            <w:t>6.1 测试环境</w:t>
          </w:r>
          <w:r>
            <w:tab/>
          </w:r>
          <w:r>
            <w:fldChar w:fldCharType="begin"/>
          </w:r>
          <w:r>
            <w:instrText xml:space="preserve"> PAGEREF _Toc19050 \h </w:instrText>
          </w:r>
          <w:r>
            <w:fldChar w:fldCharType="separate"/>
          </w:r>
          <w:r>
            <w:t>29</w:t>
          </w:r>
          <w:r>
            <w:fldChar w:fldCharType="end"/>
          </w:r>
          <w:r>
            <w:fldChar w:fldCharType="end"/>
          </w:r>
        </w:p>
        <w:p w14:paraId="60A9EBF8">
          <w:pPr>
            <w:pStyle w:val="17"/>
            <w:tabs>
              <w:tab w:val="right" w:leader="dot" w:pos="8503"/>
            </w:tabs>
            <w:spacing w:line="400" w:lineRule="exact"/>
          </w:pPr>
          <w:r>
            <w:fldChar w:fldCharType="begin"/>
          </w:r>
          <w:r>
            <w:instrText xml:space="preserve"> HYPERLINK \l "_Toc22894" </w:instrText>
          </w:r>
          <w:r>
            <w:fldChar w:fldCharType="separate"/>
          </w:r>
          <w:r>
            <w:rPr>
              <w:rFonts w:hint="eastAsia" w:ascii="黑体" w:eastAsia="黑体"/>
            </w:rPr>
            <w:t>6.2 股票辅助交易功能测试</w:t>
          </w:r>
          <w:r>
            <w:tab/>
          </w:r>
          <w:r>
            <w:fldChar w:fldCharType="begin"/>
          </w:r>
          <w:r>
            <w:instrText xml:space="preserve"> PAGEREF _Toc22894 \h </w:instrText>
          </w:r>
          <w:r>
            <w:fldChar w:fldCharType="separate"/>
          </w:r>
          <w:r>
            <w:t>29</w:t>
          </w:r>
          <w:r>
            <w:fldChar w:fldCharType="end"/>
          </w:r>
          <w:r>
            <w:fldChar w:fldCharType="end"/>
          </w:r>
        </w:p>
        <w:p w14:paraId="71CE6122">
          <w:pPr>
            <w:pStyle w:val="10"/>
            <w:tabs>
              <w:tab w:val="right" w:leader="dot" w:pos="8503"/>
            </w:tabs>
            <w:spacing w:line="400" w:lineRule="exact"/>
            <w:rPr>
              <w:rFonts w:hint="eastAsia" w:ascii="宋体" w:hAnsi="宋体" w:cs="宋体"/>
              <w:szCs w:val="28"/>
            </w:rPr>
          </w:pPr>
          <w:r>
            <w:fldChar w:fldCharType="begin"/>
          </w:r>
          <w:r>
            <w:instrText xml:space="preserve"> HYPERLINK \l "_Toc18281" </w:instrText>
          </w:r>
          <w:r>
            <w:fldChar w:fldCharType="separate"/>
          </w:r>
          <w:r>
            <w:rPr>
              <w:rFonts w:hint="eastAsia" w:ascii="宋体" w:hAnsi="宋体" w:cs="宋体"/>
              <w:szCs w:val="28"/>
            </w:rPr>
            <w:t>6.2.1 行情数据展示</w:t>
          </w:r>
          <w:r>
            <w:rPr>
              <w:rFonts w:hint="eastAsia" w:ascii="宋体" w:hAnsi="宋体" w:cs="宋体"/>
              <w:szCs w:val="28"/>
            </w:rPr>
            <w:tab/>
          </w:r>
          <w:r>
            <w:rPr>
              <w:rFonts w:hint="eastAsia"/>
            </w:rPr>
            <w:fldChar w:fldCharType="begin"/>
          </w:r>
          <w:r>
            <w:rPr>
              <w:rFonts w:hint="eastAsia"/>
            </w:rPr>
            <w:instrText xml:space="preserve"> PAGEREF _Toc18281 \h </w:instrText>
          </w:r>
          <w:r>
            <w:rPr>
              <w:rFonts w:hint="eastAsia"/>
            </w:rPr>
            <w:fldChar w:fldCharType="separate"/>
          </w:r>
          <w:r>
            <w:rPr>
              <w:rFonts w:hint="eastAsia"/>
            </w:rPr>
            <w:t>29</w:t>
          </w:r>
          <w:r>
            <w:rPr>
              <w:rFonts w:hint="eastAsia"/>
            </w:rPr>
            <w:fldChar w:fldCharType="end"/>
          </w:r>
          <w:r>
            <w:rPr>
              <w:rFonts w:hint="eastAsia"/>
            </w:rPr>
            <w:fldChar w:fldCharType="end"/>
          </w:r>
        </w:p>
        <w:p w14:paraId="15713F9A">
          <w:pPr>
            <w:pStyle w:val="10"/>
            <w:tabs>
              <w:tab w:val="right" w:leader="dot" w:pos="8503"/>
            </w:tabs>
            <w:spacing w:line="400" w:lineRule="exact"/>
            <w:rPr>
              <w:rFonts w:hint="eastAsia" w:ascii="宋体" w:hAnsi="宋体" w:cs="宋体"/>
              <w:szCs w:val="28"/>
            </w:rPr>
          </w:pPr>
          <w:r>
            <w:fldChar w:fldCharType="begin"/>
          </w:r>
          <w:r>
            <w:instrText xml:space="preserve"> HYPERLINK \l "_Toc23513" </w:instrText>
          </w:r>
          <w:r>
            <w:fldChar w:fldCharType="separate"/>
          </w:r>
          <w:r>
            <w:rPr>
              <w:rFonts w:hint="eastAsia" w:ascii="宋体" w:hAnsi="宋体" w:cs="宋体"/>
              <w:szCs w:val="28"/>
            </w:rPr>
            <w:t>6.2.2 AI单次决策过程</w:t>
          </w:r>
          <w:r>
            <w:rPr>
              <w:rFonts w:hint="eastAsia" w:ascii="宋体" w:hAnsi="宋体" w:cs="宋体"/>
              <w:szCs w:val="28"/>
            </w:rPr>
            <w:tab/>
          </w:r>
          <w:r>
            <w:rPr>
              <w:rFonts w:hint="eastAsia"/>
            </w:rPr>
            <w:fldChar w:fldCharType="begin"/>
          </w:r>
          <w:r>
            <w:rPr>
              <w:rFonts w:hint="eastAsia"/>
            </w:rPr>
            <w:instrText xml:space="preserve"> PAGEREF _Toc23513 \h </w:instrText>
          </w:r>
          <w:r>
            <w:rPr>
              <w:rFonts w:hint="eastAsia"/>
            </w:rPr>
            <w:fldChar w:fldCharType="separate"/>
          </w:r>
          <w:r>
            <w:rPr>
              <w:rFonts w:hint="eastAsia"/>
            </w:rPr>
            <w:t>30</w:t>
          </w:r>
          <w:r>
            <w:rPr>
              <w:rFonts w:hint="eastAsia"/>
            </w:rPr>
            <w:fldChar w:fldCharType="end"/>
          </w:r>
          <w:r>
            <w:rPr>
              <w:rFonts w:hint="eastAsia"/>
            </w:rPr>
            <w:fldChar w:fldCharType="end"/>
          </w:r>
        </w:p>
        <w:p w14:paraId="34A1C04D">
          <w:pPr>
            <w:pStyle w:val="10"/>
            <w:tabs>
              <w:tab w:val="right" w:leader="dot" w:pos="8503"/>
            </w:tabs>
            <w:spacing w:line="400" w:lineRule="exact"/>
            <w:rPr>
              <w:rFonts w:hint="eastAsia" w:ascii="宋体" w:hAnsi="宋体" w:cs="宋体"/>
              <w:szCs w:val="28"/>
            </w:rPr>
          </w:pPr>
          <w:r>
            <w:fldChar w:fldCharType="begin"/>
          </w:r>
          <w:r>
            <w:instrText xml:space="preserve"> HYPERLINK \l "_Toc13591" </w:instrText>
          </w:r>
          <w:r>
            <w:fldChar w:fldCharType="separate"/>
          </w:r>
          <w:r>
            <w:rPr>
              <w:rFonts w:hint="eastAsia" w:ascii="宋体" w:hAnsi="宋体" w:cs="宋体"/>
              <w:szCs w:val="28"/>
            </w:rPr>
            <w:t>6.2.3 资产曲线展示</w:t>
          </w:r>
          <w:r>
            <w:rPr>
              <w:rFonts w:hint="eastAsia" w:ascii="宋体" w:hAnsi="宋体" w:cs="宋体"/>
              <w:szCs w:val="28"/>
            </w:rPr>
            <w:tab/>
          </w:r>
          <w:r>
            <w:rPr>
              <w:rFonts w:hint="eastAsia"/>
            </w:rPr>
            <w:fldChar w:fldCharType="begin"/>
          </w:r>
          <w:r>
            <w:rPr>
              <w:rFonts w:hint="eastAsia"/>
            </w:rPr>
            <w:instrText xml:space="preserve"> PAGEREF _Toc13591 \h </w:instrText>
          </w:r>
          <w:r>
            <w:rPr>
              <w:rFonts w:hint="eastAsia"/>
            </w:rPr>
            <w:fldChar w:fldCharType="separate"/>
          </w:r>
          <w:r>
            <w:rPr>
              <w:rFonts w:hint="eastAsia"/>
            </w:rPr>
            <w:t>32</w:t>
          </w:r>
          <w:r>
            <w:rPr>
              <w:rFonts w:hint="eastAsia"/>
            </w:rPr>
            <w:fldChar w:fldCharType="end"/>
          </w:r>
          <w:r>
            <w:rPr>
              <w:rFonts w:hint="eastAsia"/>
            </w:rPr>
            <w:fldChar w:fldCharType="end"/>
          </w:r>
        </w:p>
        <w:p w14:paraId="3C5B1D25">
          <w:pPr>
            <w:pStyle w:val="10"/>
            <w:tabs>
              <w:tab w:val="right" w:leader="dot" w:pos="8503"/>
            </w:tabs>
            <w:spacing w:line="400" w:lineRule="exact"/>
            <w:rPr>
              <w:rFonts w:hint="eastAsia" w:ascii="宋体" w:hAnsi="宋体" w:cs="宋体"/>
              <w:szCs w:val="28"/>
            </w:rPr>
          </w:pPr>
          <w:r>
            <w:fldChar w:fldCharType="begin"/>
          </w:r>
          <w:r>
            <w:instrText xml:space="preserve"> HYPERLINK \l "_Toc4258" </w:instrText>
          </w:r>
          <w:r>
            <w:fldChar w:fldCharType="separate"/>
          </w:r>
          <w:r>
            <w:rPr>
              <w:rFonts w:ascii="宋体" w:hAnsi="宋体" w:cs="宋体"/>
              <w:szCs w:val="28"/>
            </w:rPr>
            <w:t>6.2.</w:t>
          </w:r>
          <w:r>
            <w:rPr>
              <w:rFonts w:hint="eastAsia" w:ascii="宋体" w:hAnsi="宋体" w:cs="宋体"/>
              <w:szCs w:val="28"/>
            </w:rPr>
            <w:t>4</w:t>
          </w:r>
          <w:r>
            <w:rPr>
              <w:rFonts w:ascii="宋体" w:hAnsi="宋体" w:cs="宋体"/>
              <w:szCs w:val="28"/>
            </w:rPr>
            <w:t xml:space="preserve"> 股市行情分析功能验证</w:t>
          </w:r>
          <w:r>
            <w:rPr>
              <w:rFonts w:hint="eastAsia" w:ascii="宋体" w:hAnsi="宋体" w:cs="宋体"/>
              <w:szCs w:val="28"/>
            </w:rPr>
            <w:tab/>
          </w:r>
          <w:r>
            <w:rPr>
              <w:rFonts w:hint="eastAsia"/>
            </w:rPr>
            <w:fldChar w:fldCharType="begin"/>
          </w:r>
          <w:r>
            <w:rPr>
              <w:rFonts w:hint="eastAsia"/>
            </w:rPr>
            <w:instrText xml:space="preserve"> PAGEREF _Toc4258 \h </w:instrText>
          </w:r>
          <w:r>
            <w:rPr>
              <w:rFonts w:hint="eastAsia"/>
            </w:rPr>
            <w:fldChar w:fldCharType="separate"/>
          </w:r>
          <w:r>
            <w:rPr>
              <w:rFonts w:hint="eastAsia"/>
            </w:rPr>
            <w:t>33</w:t>
          </w:r>
          <w:r>
            <w:rPr>
              <w:rFonts w:hint="eastAsia"/>
            </w:rPr>
            <w:fldChar w:fldCharType="end"/>
          </w:r>
          <w:r>
            <w:rPr>
              <w:rFonts w:hint="eastAsia"/>
            </w:rPr>
            <w:fldChar w:fldCharType="end"/>
          </w:r>
        </w:p>
        <w:p w14:paraId="0E79DFBF">
          <w:pPr>
            <w:pStyle w:val="10"/>
            <w:tabs>
              <w:tab w:val="right" w:leader="dot" w:pos="8503"/>
            </w:tabs>
            <w:spacing w:line="400" w:lineRule="exact"/>
          </w:pPr>
          <w:r>
            <w:fldChar w:fldCharType="begin"/>
          </w:r>
          <w:r>
            <w:instrText xml:space="preserve"> HYPERLINK \l "_Toc1885" </w:instrText>
          </w:r>
          <w:r>
            <w:fldChar w:fldCharType="separate"/>
          </w:r>
          <w:r>
            <w:rPr>
              <w:rFonts w:hint="eastAsia" w:ascii="宋体" w:hAnsi="宋体" w:cs="宋体"/>
              <w:szCs w:val="28"/>
            </w:rPr>
            <w:t>6.2.5 交易风险评估功能验证</w:t>
          </w:r>
          <w:r>
            <w:rPr>
              <w:rFonts w:hint="eastAsia" w:ascii="宋体" w:hAnsi="宋体" w:cs="宋体"/>
              <w:szCs w:val="28"/>
            </w:rPr>
            <w:tab/>
          </w:r>
          <w:r>
            <w:rPr>
              <w:rFonts w:hint="eastAsia"/>
            </w:rPr>
            <w:fldChar w:fldCharType="begin"/>
          </w:r>
          <w:r>
            <w:rPr>
              <w:rFonts w:hint="eastAsia"/>
            </w:rPr>
            <w:instrText xml:space="preserve"> PAGEREF _Toc1885 \h </w:instrText>
          </w:r>
          <w:r>
            <w:rPr>
              <w:rFonts w:hint="eastAsia"/>
            </w:rPr>
            <w:fldChar w:fldCharType="separate"/>
          </w:r>
          <w:r>
            <w:rPr>
              <w:rFonts w:hint="eastAsia"/>
            </w:rPr>
            <w:t>34</w:t>
          </w:r>
          <w:r>
            <w:rPr>
              <w:rFonts w:hint="eastAsia"/>
            </w:rPr>
            <w:fldChar w:fldCharType="end"/>
          </w:r>
          <w:r>
            <w:rPr>
              <w:rFonts w:hint="eastAsia"/>
            </w:rPr>
            <w:fldChar w:fldCharType="end"/>
          </w:r>
        </w:p>
        <w:p w14:paraId="74896AEA">
          <w:pPr>
            <w:pStyle w:val="17"/>
            <w:tabs>
              <w:tab w:val="right" w:leader="dot" w:pos="8503"/>
            </w:tabs>
            <w:spacing w:line="400" w:lineRule="exact"/>
          </w:pPr>
          <w:r>
            <w:fldChar w:fldCharType="begin"/>
          </w:r>
          <w:r>
            <w:instrText xml:space="preserve"> HYPERLINK \l "_Toc2435" </w:instrText>
          </w:r>
          <w:r>
            <w:fldChar w:fldCharType="separate"/>
          </w:r>
          <w:r>
            <w:rPr>
              <w:rFonts w:hint="eastAsia" w:ascii="黑体" w:eastAsia="黑体"/>
            </w:rPr>
            <w:t>6.3 区块链斗兽场功能测试</w:t>
          </w:r>
          <w:r>
            <w:tab/>
          </w:r>
          <w:r>
            <w:fldChar w:fldCharType="begin"/>
          </w:r>
          <w:r>
            <w:instrText xml:space="preserve"> PAGEREF _Toc2435 \h </w:instrText>
          </w:r>
          <w:r>
            <w:fldChar w:fldCharType="separate"/>
          </w:r>
          <w:r>
            <w:t>35</w:t>
          </w:r>
          <w:r>
            <w:fldChar w:fldCharType="end"/>
          </w:r>
          <w:r>
            <w:fldChar w:fldCharType="end"/>
          </w:r>
        </w:p>
        <w:p w14:paraId="56D78C9E">
          <w:pPr>
            <w:pStyle w:val="10"/>
            <w:tabs>
              <w:tab w:val="right" w:leader="dot" w:pos="8503"/>
            </w:tabs>
            <w:spacing w:line="400" w:lineRule="exact"/>
            <w:rPr>
              <w:rFonts w:hint="eastAsia" w:ascii="宋体" w:hAnsi="宋体" w:cs="宋体"/>
              <w:szCs w:val="28"/>
            </w:rPr>
          </w:pPr>
          <w:r>
            <w:fldChar w:fldCharType="begin"/>
          </w:r>
          <w:r>
            <w:instrText xml:space="preserve"> HYPERLINK \l "_Toc2239" </w:instrText>
          </w:r>
          <w:r>
            <w:fldChar w:fldCharType="separate"/>
          </w:r>
          <w:r>
            <w:rPr>
              <w:rFonts w:hint="eastAsia" w:ascii="宋体" w:hAnsi="宋体" w:cs="宋体"/>
              <w:szCs w:val="28"/>
            </w:rPr>
            <w:t>6.3.1 斗兽场配置与启动</w:t>
          </w:r>
          <w:r>
            <w:rPr>
              <w:rFonts w:hint="eastAsia" w:ascii="宋体" w:hAnsi="宋体" w:cs="宋体"/>
              <w:szCs w:val="28"/>
            </w:rPr>
            <w:tab/>
          </w:r>
          <w:r>
            <w:rPr>
              <w:rFonts w:hint="eastAsia"/>
            </w:rPr>
            <w:fldChar w:fldCharType="begin"/>
          </w:r>
          <w:r>
            <w:rPr>
              <w:rFonts w:hint="eastAsia"/>
            </w:rPr>
            <w:instrText xml:space="preserve"> PAGEREF _Toc2239 \h </w:instrText>
          </w:r>
          <w:r>
            <w:rPr>
              <w:rFonts w:hint="eastAsia"/>
            </w:rPr>
            <w:fldChar w:fldCharType="separate"/>
          </w:r>
          <w:r>
            <w:rPr>
              <w:rFonts w:hint="eastAsia"/>
            </w:rPr>
            <w:t>35</w:t>
          </w:r>
          <w:r>
            <w:rPr>
              <w:rFonts w:hint="eastAsia"/>
            </w:rPr>
            <w:fldChar w:fldCharType="end"/>
          </w:r>
          <w:r>
            <w:rPr>
              <w:rFonts w:hint="eastAsia"/>
            </w:rPr>
            <w:fldChar w:fldCharType="end"/>
          </w:r>
        </w:p>
        <w:p w14:paraId="263A5BBF">
          <w:pPr>
            <w:pStyle w:val="10"/>
            <w:tabs>
              <w:tab w:val="right" w:leader="dot" w:pos="8503"/>
            </w:tabs>
            <w:spacing w:line="400" w:lineRule="exact"/>
            <w:rPr>
              <w:rFonts w:hint="eastAsia" w:ascii="宋体" w:hAnsi="宋体" w:cs="宋体"/>
              <w:szCs w:val="28"/>
            </w:rPr>
          </w:pPr>
          <w:r>
            <w:fldChar w:fldCharType="begin"/>
          </w:r>
          <w:r>
            <w:instrText xml:space="preserve"> HYPERLINK \l "_Toc4085" </w:instrText>
          </w:r>
          <w:r>
            <w:fldChar w:fldCharType="separate"/>
          </w:r>
          <w:r>
            <w:rPr>
              <w:rFonts w:hint="eastAsia" w:ascii="宋体" w:hAnsi="宋体" w:cs="宋体"/>
              <w:szCs w:val="28"/>
            </w:rPr>
            <w:t>6.3.2 博弈过程与资产变化</w:t>
          </w:r>
          <w:r>
            <w:rPr>
              <w:rFonts w:hint="eastAsia" w:ascii="宋体" w:hAnsi="宋体" w:cs="宋体"/>
              <w:szCs w:val="28"/>
            </w:rPr>
            <w:tab/>
          </w:r>
          <w:r>
            <w:rPr>
              <w:rFonts w:hint="eastAsia"/>
            </w:rPr>
            <w:fldChar w:fldCharType="begin"/>
          </w:r>
          <w:r>
            <w:rPr>
              <w:rFonts w:hint="eastAsia"/>
            </w:rPr>
            <w:instrText xml:space="preserve"> PAGEREF _Toc4085 \h </w:instrText>
          </w:r>
          <w:r>
            <w:rPr>
              <w:rFonts w:hint="eastAsia"/>
            </w:rPr>
            <w:fldChar w:fldCharType="separate"/>
          </w:r>
          <w:r>
            <w:rPr>
              <w:rFonts w:hint="eastAsia"/>
            </w:rPr>
            <w:t>36</w:t>
          </w:r>
          <w:r>
            <w:rPr>
              <w:rFonts w:hint="eastAsia"/>
            </w:rPr>
            <w:fldChar w:fldCharType="end"/>
          </w:r>
          <w:r>
            <w:rPr>
              <w:rFonts w:hint="eastAsia"/>
            </w:rPr>
            <w:fldChar w:fldCharType="end"/>
          </w:r>
        </w:p>
        <w:p w14:paraId="27DE79C4">
          <w:pPr>
            <w:pStyle w:val="10"/>
            <w:tabs>
              <w:tab w:val="right" w:leader="dot" w:pos="8503"/>
            </w:tabs>
            <w:spacing w:line="400" w:lineRule="exact"/>
          </w:pPr>
          <w:r>
            <w:fldChar w:fldCharType="begin"/>
          </w:r>
          <w:r>
            <w:instrText xml:space="preserve"> HYPERLINK \l "_Toc27076" </w:instrText>
          </w:r>
          <w:r>
            <w:fldChar w:fldCharType="separate"/>
          </w:r>
          <w:r>
            <w:rPr>
              <w:rFonts w:hint="eastAsia" w:ascii="宋体" w:hAnsi="宋体" w:cs="宋体"/>
              <w:szCs w:val="28"/>
            </w:rPr>
            <w:t>6.3.3 决策日志与链上记录</w:t>
          </w:r>
          <w:r>
            <w:rPr>
              <w:rFonts w:hint="eastAsia" w:ascii="宋体" w:hAnsi="宋体" w:cs="宋体"/>
              <w:szCs w:val="28"/>
            </w:rPr>
            <w:tab/>
          </w:r>
          <w:r>
            <w:rPr>
              <w:rFonts w:hint="eastAsia"/>
            </w:rPr>
            <w:fldChar w:fldCharType="begin"/>
          </w:r>
          <w:r>
            <w:rPr>
              <w:rFonts w:hint="eastAsia"/>
            </w:rPr>
            <w:instrText xml:space="preserve"> PAGEREF _Toc27076 \h </w:instrText>
          </w:r>
          <w:r>
            <w:rPr>
              <w:rFonts w:hint="eastAsia"/>
            </w:rPr>
            <w:fldChar w:fldCharType="separate"/>
          </w:r>
          <w:r>
            <w:rPr>
              <w:rFonts w:hint="eastAsia"/>
            </w:rPr>
            <w:t>36</w:t>
          </w:r>
          <w:r>
            <w:rPr>
              <w:rFonts w:hint="eastAsia"/>
            </w:rPr>
            <w:fldChar w:fldCharType="end"/>
          </w:r>
          <w:r>
            <w:rPr>
              <w:rFonts w:hint="eastAsia"/>
            </w:rPr>
            <w:fldChar w:fldCharType="end"/>
          </w:r>
        </w:p>
        <w:p w14:paraId="1CF223B4">
          <w:pPr>
            <w:pStyle w:val="17"/>
            <w:tabs>
              <w:tab w:val="right" w:leader="dot" w:pos="8503"/>
            </w:tabs>
            <w:spacing w:line="400" w:lineRule="exact"/>
          </w:pPr>
          <w:r>
            <w:fldChar w:fldCharType="begin"/>
          </w:r>
          <w:r>
            <w:instrText xml:space="preserve"> HYPERLINK \l "_Toc21360" </w:instrText>
          </w:r>
          <w:r>
            <w:fldChar w:fldCharType="separate"/>
          </w:r>
          <w:r>
            <w:rPr>
              <w:rFonts w:hint="eastAsia" w:ascii="黑体" w:eastAsia="黑体"/>
            </w:rPr>
            <w:t>6.4 本章小结</w:t>
          </w:r>
          <w:r>
            <w:tab/>
          </w:r>
          <w:r>
            <w:fldChar w:fldCharType="begin"/>
          </w:r>
          <w:r>
            <w:instrText xml:space="preserve"> PAGEREF _Toc21360 \h </w:instrText>
          </w:r>
          <w:r>
            <w:fldChar w:fldCharType="separate"/>
          </w:r>
          <w:r>
            <w:t>37</w:t>
          </w:r>
          <w:r>
            <w:fldChar w:fldCharType="end"/>
          </w:r>
          <w:r>
            <w:fldChar w:fldCharType="end"/>
          </w:r>
        </w:p>
        <w:p w14:paraId="10507F85">
          <w:pPr>
            <w:pStyle w:val="16"/>
            <w:tabs>
              <w:tab w:val="right" w:leader="dot" w:pos="8503"/>
            </w:tabs>
            <w:spacing w:line="400" w:lineRule="exact"/>
          </w:pPr>
          <w:r>
            <w:fldChar w:fldCharType="begin"/>
          </w:r>
          <w:r>
            <w:instrText xml:space="preserve"> HYPERLINK \l "_Toc8403" </w:instrText>
          </w:r>
          <w:r>
            <w:fldChar w:fldCharType="separate"/>
          </w:r>
          <w:r>
            <w:rPr>
              <w:rFonts w:hint="eastAsia" w:ascii="黑体" w:hAnsi="黑体" w:eastAsia="黑体" w:cs="黑体"/>
              <w:sz w:val="28"/>
              <w:szCs w:val="28"/>
            </w:rPr>
            <w:t>7 总结与展望</w:t>
          </w:r>
          <w:r>
            <w:tab/>
          </w:r>
          <w:r>
            <w:fldChar w:fldCharType="begin"/>
          </w:r>
          <w:r>
            <w:instrText xml:space="preserve"> PAGEREF _Toc8403 \h </w:instrText>
          </w:r>
          <w:r>
            <w:fldChar w:fldCharType="separate"/>
          </w:r>
          <w:r>
            <w:t>38</w:t>
          </w:r>
          <w:r>
            <w:fldChar w:fldCharType="end"/>
          </w:r>
          <w:r>
            <w:fldChar w:fldCharType="end"/>
          </w:r>
        </w:p>
        <w:p w14:paraId="7B38BD99">
          <w:pPr>
            <w:pStyle w:val="17"/>
            <w:tabs>
              <w:tab w:val="right" w:leader="dot" w:pos="8503"/>
            </w:tabs>
            <w:spacing w:line="400" w:lineRule="exact"/>
            <w:rPr>
              <w:rFonts w:hint="eastAsia" w:ascii="宋体" w:hAnsi="宋体" w:cs="宋体"/>
              <w:szCs w:val="28"/>
            </w:rPr>
          </w:pPr>
          <w:r>
            <w:fldChar w:fldCharType="begin"/>
          </w:r>
          <w:r>
            <w:instrText xml:space="preserve"> HYPERLINK \l "_Toc2659" </w:instrText>
          </w:r>
          <w:r>
            <w:fldChar w:fldCharType="separate"/>
          </w:r>
          <w:r>
            <w:rPr>
              <w:rFonts w:hint="eastAsia" w:ascii="宋体" w:hAnsi="宋体" w:cs="宋体"/>
              <w:szCs w:val="28"/>
            </w:rPr>
            <w:t>7.1本文工作总结</w:t>
          </w:r>
          <w:r>
            <w:rPr>
              <w:rFonts w:hint="eastAsia" w:ascii="宋体" w:hAnsi="宋体" w:cs="宋体"/>
              <w:szCs w:val="28"/>
            </w:rPr>
            <w:tab/>
          </w:r>
          <w:r>
            <w:rPr>
              <w:rFonts w:hint="eastAsia"/>
            </w:rPr>
            <w:fldChar w:fldCharType="begin"/>
          </w:r>
          <w:r>
            <w:rPr>
              <w:rFonts w:hint="eastAsia"/>
            </w:rPr>
            <w:instrText xml:space="preserve"> PAGEREF _Toc2659 \h </w:instrText>
          </w:r>
          <w:r>
            <w:rPr>
              <w:rFonts w:hint="eastAsia"/>
            </w:rPr>
            <w:fldChar w:fldCharType="separate"/>
          </w:r>
          <w:r>
            <w:rPr>
              <w:rFonts w:hint="eastAsia"/>
            </w:rPr>
            <w:t>38</w:t>
          </w:r>
          <w:r>
            <w:rPr>
              <w:rFonts w:hint="eastAsia"/>
            </w:rPr>
            <w:fldChar w:fldCharType="end"/>
          </w:r>
          <w:r>
            <w:rPr>
              <w:rFonts w:hint="eastAsia"/>
            </w:rPr>
            <w:fldChar w:fldCharType="end"/>
          </w:r>
        </w:p>
        <w:p w14:paraId="4ACE7DD5">
          <w:pPr>
            <w:pStyle w:val="17"/>
            <w:tabs>
              <w:tab w:val="right" w:leader="dot" w:pos="8503"/>
            </w:tabs>
            <w:spacing w:line="400" w:lineRule="exact"/>
          </w:pPr>
          <w:r>
            <w:fldChar w:fldCharType="begin"/>
          </w:r>
          <w:r>
            <w:instrText xml:space="preserve"> HYPERLINK \l "_Toc17846" </w:instrText>
          </w:r>
          <w:r>
            <w:fldChar w:fldCharType="separate"/>
          </w:r>
          <w:r>
            <w:rPr>
              <w:rFonts w:hint="eastAsia" w:ascii="宋体" w:hAnsi="宋体" w:cs="宋体"/>
              <w:szCs w:val="28"/>
            </w:rPr>
            <w:t>7.2 不足与改进方向</w:t>
          </w:r>
          <w:r>
            <w:rPr>
              <w:rFonts w:hint="eastAsia" w:ascii="宋体" w:hAnsi="宋体" w:cs="宋体"/>
              <w:szCs w:val="28"/>
            </w:rPr>
            <w:tab/>
          </w:r>
          <w:r>
            <w:rPr>
              <w:rFonts w:hint="eastAsia" w:ascii="宋体" w:hAnsi="宋体" w:cs="宋体"/>
              <w:szCs w:val="28"/>
            </w:rPr>
            <w:fldChar w:fldCharType="begin"/>
          </w:r>
          <w:r>
            <w:rPr>
              <w:rFonts w:hint="eastAsia" w:ascii="宋体" w:hAnsi="宋体" w:cs="宋体"/>
              <w:szCs w:val="28"/>
            </w:rPr>
            <w:instrText xml:space="preserve"> PAGEREF _Toc17846 \h </w:instrText>
          </w:r>
          <w:r>
            <w:rPr>
              <w:rFonts w:hint="eastAsia" w:ascii="宋体" w:hAnsi="宋体" w:cs="宋体"/>
              <w:szCs w:val="28"/>
            </w:rPr>
            <w:fldChar w:fldCharType="separate"/>
          </w:r>
          <w:r>
            <w:rPr>
              <w:rFonts w:hint="eastAsia" w:ascii="宋体" w:hAnsi="宋体" w:cs="宋体"/>
              <w:szCs w:val="28"/>
            </w:rPr>
            <w:t>38</w:t>
          </w:r>
          <w:r>
            <w:rPr>
              <w:rFonts w:hint="eastAsia" w:ascii="宋体" w:hAnsi="宋体" w:cs="宋体"/>
              <w:szCs w:val="28"/>
            </w:rPr>
            <w:fldChar w:fldCharType="end"/>
          </w:r>
          <w:r>
            <w:rPr>
              <w:rFonts w:hint="eastAsia" w:ascii="宋体" w:hAnsi="宋体" w:cs="宋体"/>
              <w:szCs w:val="28"/>
            </w:rPr>
            <w:fldChar w:fldCharType="end"/>
          </w:r>
        </w:p>
        <w:p w14:paraId="6EBE39E7">
          <w:pPr>
            <w:pStyle w:val="16"/>
            <w:tabs>
              <w:tab w:val="right" w:leader="dot" w:pos="8503"/>
            </w:tabs>
            <w:spacing w:line="400" w:lineRule="exact"/>
          </w:pPr>
          <w:r>
            <w:fldChar w:fldCharType="begin"/>
          </w:r>
          <w:r>
            <w:instrText xml:space="preserve"> HYPERLINK \l "_Toc9251" </w:instrText>
          </w:r>
          <w:r>
            <w:fldChar w:fldCharType="separate"/>
          </w:r>
          <w:r>
            <w:rPr>
              <w:rFonts w:hint="eastAsia" w:ascii="黑体" w:hAnsi="黑体" w:eastAsia="黑体" w:cs="黑体"/>
              <w:sz w:val="28"/>
              <w:szCs w:val="28"/>
            </w:rPr>
            <w:t>致  谢</w:t>
          </w:r>
          <w:r>
            <w:tab/>
          </w:r>
          <w:r>
            <w:fldChar w:fldCharType="begin"/>
          </w:r>
          <w:r>
            <w:instrText xml:space="preserve"> PAGEREF _Toc9251 \h </w:instrText>
          </w:r>
          <w:r>
            <w:fldChar w:fldCharType="separate"/>
          </w:r>
          <w:r>
            <w:t>42</w:t>
          </w:r>
          <w:r>
            <w:fldChar w:fldCharType="end"/>
          </w:r>
          <w:r>
            <w:fldChar w:fldCharType="end"/>
          </w:r>
        </w:p>
        <w:p w14:paraId="12C057D8">
          <w:pPr>
            <w:pStyle w:val="16"/>
            <w:tabs>
              <w:tab w:val="right" w:leader="dot" w:pos="8503"/>
            </w:tabs>
            <w:spacing w:line="400" w:lineRule="exact"/>
          </w:pPr>
          <w:r>
            <w:fldChar w:fldCharType="begin"/>
          </w:r>
          <w:r>
            <w:instrText xml:space="preserve"> HYPERLINK \l "_Toc11868" </w:instrText>
          </w:r>
          <w:r>
            <w:fldChar w:fldCharType="separate"/>
          </w:r>
          <w:r>
            <w:rPr>
              <w:rFonts w:hint="eastAsia" w:ascii="黑体" w:hAnsi="黑体" w:eastAsia="黑体" w:cs="黑体"/>
              <w:sz w:val="28"/>
              <w:szCs w:val="28"/>
            </w:rPr>
            <w:t>原创性声明</w:t>
          </w:r>
          <w:r>
            <w:tab/>
          </w:r>
          <w:r>
            <w:fldChar w:fldCharType="begin"/>
          </w:r>
          <w:r>
            <w:instrText xml:space="preserve"> PAGEREF _Toc11868 \h </w:instrText>
          </w:r>
          <w:r>
            <w:fldChar w:fldCharType="separate"/>
          </w:r>
          <w:r>
            <w:t>43</w:t>
          </w:r>
          <w:r>
            <w:fldChar w:fldCharType="end"/>
          </w:r>
          <w:r>
            <w:fldChar w:fldCharType="end"/>
          </w:r>
        </w:p>
        <w:p w14:paraId="77F6B5EF">
          <w:pPr>
            <w:pStyle w:val="16"/>
            <w:tabs>
              <w:tab w:val="right" w:leader="dot" w:pos="8503"/>
            </w:tabs>
            <w:spacing w:line="400" w:lineRule="exact"/>
          </w:pPr>
          <w:r>
            <w:fldChar w:fldCharType="begin"/>
          </w:r>
          <w:r>
            <w:instrText xml:space="preserve"> HYPERLINK \l "_Toc23334" </w:instrText>
          </w:r>
          <w:r>
            <w:fldChar w:fldCharType="separate"/>
          </w:r>
          <w:r>
            <w:rPr>
              <w:rFonts w:hint="eastAsia" w:ascii="黑体" w:hAnsi="黑体" w:eastAsia="黑体" w:cs="黑体"/>
              <w:sz w:val="28"/>
              <w:szCs w:val="28"/>
            </w:rPr>
            <w:t>使用授权书</w:t>
          </w:r>
          <w:r>
            <w:tab/>
          </w:r>
          <w:r>
            <w:fldChar w:fldCharType="begin"/>
          </w:r>
          <w:r>
            <w:instrText xml:space="preserve"> PAGEREF _Toc23334 \h </w:instrText>
          </w:r>
          <w:r>
            <w:fldChar w:fldCharType="separate"/>
          </w:r>
          <w:r>
            <w:t>43</w:t>
          </w:r>
          <w:r>
            <w:fldChar w:fldCharType="end"/>
          </w:r>
          <w:r>
            <w:fldChar w:fldCharType="end"/>
          </w:r>
        </w:p>
        <w:p w14:paraId="4EAE8211">
          <w:pPr>
            <w:sectPr>
              <w:footerReference r:id="rId12" w:type="default"/>
              <w:pgSz w:w="11906" w:h="16838"/>
              <w:pgMar w:top="1701" w:right="1418" w:bottom="1418" w:left="1418" w:header="907" w:footer="851" w:gutter="567"/>
              <w:cols w:space="720" w:num="1"/>
              <w:docGrid w:type="lines" w:linePitch="312" w:charSpace="0"/>
            </w:sectPr>
          </w:pPr>
          <w:r>
            <w:fldChar w:fldCharType="end"/>
          </w:r>
        </w:p>
        <w:p w14:paraId="17C0A3EA">
          <w:pPr>
            <w:sectPr>
              <w:headerReference r:id="rId13" w:type="default"/>
              <w:footerReference r:id="rId14" w:type="default"/>
              <w:type w:val="continuous"/>
              <w:pgSz w:w="11906" w:h="16838"/>
              <w:pgMar w:top="1701" w:right="1418" w:bottom="1418" w:left="1418" w:header="907" w:footer="851" w:gutter="567"/>
              <w:pgNumType w:start="50"/>
              <w:cols w:space="720" w:num="1"/>
              <w:docGrid w:type="lines" w:linePitch="312" w:charSpace="0"/>
            </w:sectPr>
          </w:pPr>
        </w:p>
        <w:p w14:paraId="545D0466"/>
      </w:sdtContent>
    </w:sdt>
    <w:p w14:paraId="0F7EA655">
      <w:pPr>
        <w:spacing w:line="400" w:lineRule="exact"/>
        <w:jc w:val="center"/>
        <w:outlineLvl w:val="0"/>
        <w:rPr>
          <w:rFonts w:ascii="黑体" w:eastAsia="黑体"/>
          <w:sz w:val="32"/>
        </w:rPr>
      </w:pPr>
      <w:bookmarkStart w:id="2" w:name="_Toc25002"/>
      <w:r>
        <w:rPr>
          <w:rFonts w:hint="eastAsia" w:ascii="黑体" w:eastAsia="黑体"/>
          <w:sz w:val="32"/>
        </w:rPr>
        <w:t>1 绪论</w:t>
      </w:r>
      <w:bookmarkEnd w:id="2"/>
    </w:p>
    <w:p w14:paraId="08BFC63A">
      <w:pPr>
        <w:spacing w:line="400" w:lineRule="exact"/>
        <w:jc w:val="center"/>
        <w:outlineLvl w:val="0"/>
        <w:rPr>
          <w:rFonts w:ascii="黑体" w:eastAsia="黑体"/>
          <w:szCs w:val="21"/>
        </w:rPr>
      </w:pPr>
    </w:p>
    <w:p w14:paraId="40244D27">
      <w:pPr>
        <w:pStyle w:val="11"/>
        <w:spacing w:line="400" w:lineRule="exact"/>
        <w:outlineLvl w:val="1"/>
        <w:rPr>
          <w:rFonts w:hint="eastAsia" w:hAnsi="宋体"/>
        </w:rPr>
      </w:pPr>
      <w:bookmarkStart w:id="3" w:name="_Toc4979"/>
      <w:r>
        <w:rPr>
          <w:rFonts w:hint="eastAsia" w:ascii="黑体" w:eastAsia="黑体"/>
          <w:sz w:val="30"/>
        </w:rPr>
        <w:t>1.1</w:t>
      </w:r>
      <w:r>
        <w:rPr>
          <w:rFonts w:ascii="黑体" w:eastAsia="黑体"/>
          <w:sz w:val="30"/>
        </w:rPr>
        <w:t xml:space="preserve"> </w:t>
      </w:r>
      <w:r>
        <w:rPr>
          <w:rFonts w:hint="eastAsia" w:ascii="黑体" w:eastAsia="黑体"/>
          <w:sz w:val="30"/>
        </w:rPr>
        <w:t>研究背景与意义</w:t>
      </w:r>
      <w:bookmarkEnd w:id="3"/>
    </w:p>
    <w:p w14:paraId="4BB09FD8">
      <w:pPr>
        <w:spacing w:line="400" w:lineRule="exact"/>
        <w:ind w:firstLine="480" w:firstLineChars="200"/>
        <w:rPr>
          <w:sz w:val="24"/>
        </w:rPr>
      </w:pPr>
      <w:r>
        <w:rPr>
          <w:rFonts w:hint="eastAsia"/>
          <w:sz w:val="24"/>
        </w:rPr>
        <w:t>2024年下半年，彭博社的一则新闻报道阐述：在三个月内，一些对冲基金企业的</w:t>
      </w:r>
      <w:r>
        <w:rPr>
          <w:sz w:val="24"/>
        </w:rPr>
        <w:t>GPT</w:t>
      </w:r>
      <w:r>
        <w:rPr>
          <w:rFonts w:hint="eastAsia"/>
          <w:sz w:val="24"/>
        </w:rPr>
        <w:t>-4调用量提升了接近四倍，以Balyasny Asset Management、Two Sigma Investments为代表的基金正竞相将ChatGPT应用于日常研究与投资流程</w:t>
      </w:r>
      <w:r>
        <w:rPr>
          <w:rFonts w:hint="eastAsia"/>
          <w:sz w:val="24"/>
          <w:vertAlign w:val="superscript"/>
        </w:rPr>
        <w:t>[1]</w:t>
      </w:r>
      <w:r>
        <w:rPr>
          <w:rFonts w:hint="eastAsia"/>
          <w:sz w:val="24"/>
        </w:rPr>
        <w:t>；并且桥水基金（Bridgewater）宣布了成立规模超过20亿美元的机器学习基金，其模型来源包括OpenAI、Anthropic等</w:t>
      </w:r>
      <w:r>
        <w:rPr>
          <w:rFonts w:hint="eastAsia"/>
          <w:sz w:val="24"/>
          <w:vertAlign w:val="superscript"/>
        </w:rPr>
        <w:t>[2]</w:t>
      </w:r>
      <w:r>
        <w:rPr>
          <w:rFonts w:hint="eastAsia"/>
          <w:sz w:val="24"/>
        </w:rPr>
        <w:t>。这些激增的</w:t>
      </w:r>
      <w:r>
        <w:rPr>
          <w:sz w:val="24"/>
        </w:rPr>
        <w:t>token</w:t>
      </w:r>
      <w:r>
        <w:rPr>
          <w:rFonts w:hint="eastAsia"/>
          <w:sz w:val="24"/>
        </w:rPr>
        <w:t>数并不是简单地用来编写周报，而是直接用于生成交易策略。由此可见 ，在金融分析领域，大语言模型正在从边缘工具逐渐向着核心的交易决策环节靠拢。</w:t>
      </w:r>
    </w:p>
    <w:p w14:paraId="51F0F0AB">
      <w:pPr>
        <w:spacing w:line="400" w:lineRule="atLeast"/>
        <w:ind w:firstLine="480" w:firstLineChars="200"/>
        <w:rPr>
          <w:sz w:val="24"/>
        </w:rPr>
      </w:pPr>
      <w:r>
        <w:rPr>
          <w:rFonts w:hint="eastAsia"/>
          <w:sz w:val="24"/>
        </w:rPr>
        <w:t>摩根大通在2023年启动的indexGPT项目更是直接印证了这一趋势</w:t>
      </w:r>
      <w:r>
        <w:rPr>
          <w:rFonts w:hint="eastAsia"/>
          <w:sz w:val="24"/>
          <w:vertAlign w:val="superscript"/>
        </w:rPr>
        <w:t>[3]</w:t>
      </w:r>
      <w:r>
        <w:rPr>
          <w:rFonts w:hint="eastAsia"/>
          <w:sz w:val="24"/>
        </w:rPr>
        <w:t>，从其招聘要求可以推测，该项目的目标是搭建一个能够理解市场数据并独立执行操作的智能系统。要构建从信息到执行的端到端交易系统，存在着许多阻碍，其中最绕不开的就是安全问题。2023年Euler Finance作为备受信赖的去中心化借贷协议，仅仅因为智能合约漏洞，就遭到攻击，损失了高达1.97亿美金</w:t>
      </w:r>
      <w:r>
        <w:rPr>
          <w:rFonts w:hint="eastAsia"/>
          <w:sz w:val="24"/>
          <w:vertAlign w:val="superscript"/>
        </w:rPr>
        <w:t>[4]</w:t>
      </w:r>
      <w:r>
        <w:rPr>
          <w:rFonts w:hint="eastAsia"/>
          <w:sz w:val="24"/>
        </w:rPr>
        <w:t>，成为当年最大的DeFi安全事件。由此可见，即使是一个小小的安全漏洞，就能导致如此灾难性的后果，让AI这类未经充分验证的系统下放真实市场，必然会带来更大的安全隐患。十分追求稳定性的金融团队，不会接受Agent的不确定性，这就导致了AI技术难以在金融领域推广。</w:t>
      </w:r>
    </w:p>
    <w:p w14:paraId="234DA9BD">
      <w:pPr>
        <w:spacing w:line="400" w:lineRule="exact"/>
        <w:ind w:firstLine="480" w:firstLineChars="200"/>
        <w:rPr>
          <w:sz w:val="24"/>
        </w:rPr>
      </w:pPr>
      <w:r>
        <w:rPr>
          <w:rFonts w:hint="eastAsia"/>
          <w:sz w:val="24"/>
        </w:rPr>
        <w:t>这两重障碍牵引出了一个明确的需求。一个模拟的实验环境，既能向模型开放完整交易能力，又能将风险边界限制在系统内部，本课题的落脚点即在此。</w:t>
      </w:r>
    </w:p>
    <w:p w14:paraId="7575746D">
      <w:pPr>
        <w:spacing w:line="400" w:lineRule="exact"/>
        <w:ind w:firstLine="480" w:firstLineChars="200"/>
        <w:rPr>
          <w:sz w:val="24"/>
        </w:rPr>
      </w:pPr>
      <w:r>
        <w:rPr>
          <w:rFonts w:hint="eastAsia"/>
          <w:sz w:val="24"/>
        </w:rPr>
        <w:t>本系统由三层架构组成：第一层为模拟交易所，它提供查询行情与买卖交易的功能。所有交易仅在本地数据库中记账，不触达真实市场。第二层是多</w:t>
      </w:r>
      <w:r>
        <w:rPr>
          <w:sz w:val="24"/>
        </w:rPr>
        <w:t>Agent</w:t>
      </w:r>
      <w:r>
        <w:rPr>
          <w:rFonts w:hint="eastAsia"/>
          <w:sz w:val="24"/>
        </w:rPr>
        <w:t>决策层，基于</w:t>
      </w:r>
      <w:r>
        <w:rPr>
          <w:sz w:val="24"/>
        </w:rPr>
        <w:t>LangChain</w:t>
      </w:r>
      <w:r>
        <w:rPr>
          <w:rFonts w:hint="eastAsia"/>
          <w:sz w:val="24"/>
        </w:rPr>
        <w:t>4</w:t>
      </w:r>
      <w:r>
        <w:rPr>
          <w:sz w:val="24"/>
        </w:rPr>
        <w:t>j</w:t>
      </w:r>
      <w:r>
        <w:rPr>
          <w:rFonts w:hint="eastAsia"/>
          <w:sz w:val="24"/>
        </w:rPr>
        <w:t>框架驱动三个模型，它们可以持有不同风险偏好。这些模型读取相同的市场数据，自主决定买卖或观望，构造指令由第一层执行。</w:t>
      </w:r>
    </w:p>
    <w:p w14:paraId="36005F5A">
      <w:pPr>
        <w:spacing w:line="400" w:lineRule="exact"/>
        <w:ind w:firstLine="480" w:firstLineChars="200"/>
        <w:rPr>
          <w:sz w:val="24"/>
        </w:rPr>
      </w:pPr>
      <w:r>
        <w:rPr>
          <w:rFonts w:hint="eastAsia"/>
          <w:sz w:val="24"/>
        </w:rPr>
        <w:t>第三层是本地的测试区块链，笔者在测试链上部署了最简约的</w:t>
      </w:r>
      <w:r>
        <w:rPr>
          <w:sz w:val="24"/>
        </w:rPr>
        <w:t>ERC</w:t>
      </w:r>
      <w:r>
        <w:rPr>
          <w:rFonts w:hint="eastAsia"/>
          <w:sz w:val="24"/>
        </w:rPr>
        <w:t>-20代币合约。为了让</w:t>
      </w:r>
      <w:r>
        <w:rPr>
          <w:sz w:val="24"/>
        </w:rPr>
        <w:t>AI</w:t>
      </w:r>
      <w:r>
        <w:rPr>
          <w:rFonts w:hint="eastAsia"/>
          <w:sz w:val="24"/>
        </w:rPr>
        <w:t>能够在风险可控的环境下博弈，笔者专门设计了一个名为“斗兽场”的端到端试验环境。在这个环境里，三位</w:t>
      </w:r>
      <w:r>
        <w:rPr>
          <w:sz w:val="24"/>
        </w:rPr>
        <w:t>AI</w:t>
      </w:r>
      <w:r>
        <w:rPr>
          <w:rFonts w:hint="eastAsia"/>
          <w:sz w:val="24"/>
        </w:rPr>
        <w:t>交易员持有一定初始资金，在去中心化的代币池中不断循环、相互交易。所有代币的价值由链下公式根据供需动态决定，既避免了真实</w:t>
      </w:r>
      <w:r>
        <w:rPr>
          <w:sz w:val="24"/>
        </w:rPr>
        <w:t>Gasfee</w:t>
      </w:r>
      <w:r>
        <w:rPr>
          <w:rFonts w:hint="eastAsia"/>
          <w:sz w:val="24"/>
        </w:rPr>
        <w:t>对策略执行的干扰，又能观察</w:t>
      </w:r>
      <w:r>
        <w:rPr>
          <w:sz w:val="24"/>
        </w:rPr>
        <w:t>AI</w:t>
      </w:r>
      <w:r>
        <w:rPr>
          <w:rFonts w:hint="eastAsia"/>
          <w:sz w:val="24"/>
        </w:rPr>
        <w:t>在零和博弈下的决策思路。</w:t>
      </w:r>
    </w:p>
    <w:p w14:paraId="4756CCF2">
      <w:pPr>
        <w:spacing w:line="400" w:lineRule="exact"/>
        <w:ind w:firstLine="480" w:firstLineChars="200"/>
        <w:rPr>
          <w:rFonts w:hint="eastAsia" w:asciiTheme="majorEastAsia" w:hAnsiTheme="majorEastAsia" w:eastAsiaTheme="majorEastAsia" w:cstheme="majorEastAsia"/>
          <w:sz w:val="24"/>
        </w:rPr>
      </w:pPr>
      <w:r>
        <w:rPr>
          <w:rFonts w:hint="eastAsia"/>
          <w:sz w:val="24"/>
        </w:rPr>
        <w:t>在AI时代，本系统可以为金融工作者提供一个没有风险的实践平台；同时，也能够体现AI在相同市场、不同风险偏好下，决策和收益的差异，这对投资者用户可以起到一定的参考作用。</w:t>
      </w:r>
    </w:p>
    <w:p w14:paraId="6801442A">
      <w:pPr>
        <w:pStyle w:val="11"/>
        <w:spacing w:line="400" w:lineRule="exact"/>
        <w:outlineLvl w:val="1"/>
        <w:rPr>
          <w:rFonts w:ascii="Times New Roman" w:hAnsi="Times New Roman"/>
          <w:sz w:val="24"/>
        </w:rPr>
      </w:pPr>
      <w:bookmarkStart w:id="4" w:name="_Toc1404"/>
      <w:r>
        <w:rPr>
          <w:rFonts w:hint="eastAsia" w:ascii="黑体" w:eastAsia="黑体"/>
          <w:sz w:val="30"/>
        </w:rPr>
        <w:t>1.2 国内外研究现状</w:t>
      </w:r>
      <w:bookmarkEnd w:id="4"/>
    </w:p>
    <w:p w14:paraId="13A100D0">
      <w:pPr>
        <w:spacing w:line="400" w:lineRule="exact"/>
        <w:outlineLvl w:val="2"/>
        <w:rPr>
          <w:rFonts w:hint="eastAsia" w:ascii="黑体" w:hAnsi="黑体" w:eastAsia="黑体" w:cs="黑体"/>
          <w:sz w:val="28"/>
          <w:szCs w:val="28"/>
        </w:rPr>
      </w:pPr>
      <w:bookmarkStart w:id="5" w:name="_Toc23268"/>
      <w:r>
        <w:rPr>
          <w:rFonts w:hint="eastAsia" w:ascii="黑体" w:hAnsi="黑体" w:eastAsia="黑体" w:cs="黑体"/>
          <w:sz w:val="28"/>
          <w:szCs w:val="28"/>
        </w:rPr>
        <w:t>1.2.1大语言模型在金融领域的应用</w:t>
      </w:r>
      <w:bookmarkEnd w:id="5"/>
    </w:p>
    <w:p w14:paraId="64B0AF5F">
      <w:pPr>
        <w:spacing w:line="400" w:lineRule="exact"/>
        <w:ind w:firstLine="480" w:firstLineChars="200"/>
        <w:rPr>
          <w:sz w:val="24"/>
        </w:rPr>
      </w:pPr>
      <w:r>
        <w:rPr>
          <w:rFonts w:hint="eastAsia"/>
          <w:sz w:val="24"/>
        </w:rPr>
        <w:t>AI在金融垂直领域的探索，早期研究主要是通用模型的指令微调。Yang等人在2023年提出的</w:t>
      </w:r>
      <w:r>
        <w:rPr>
          <w:sz w:val="24"/>
        </w:rPr>
        <w:t>FinGPT</w:t>
      </w:r>
      <w:r>
        <w:rPr>
          <w:rFonts w:hint="eastAsia"/>
          <w:sz w:val="24"/>
        </w:rPr>
        <w:t>框架，就验证了轻量化模型（如LLaMA、ChatGLM）用金融数据进行微调的工程可行性</w:t>
      </w:r>
      <w:r>
        <w:rPr>
          <w:rFonts w:hint="eastAsia"/>
          <w:sz w:val="24"/>
          <w:vertAlign w:val="superscript"/>
        </w:rPr>
        <w:t>[5]</w:t>
      </w:r>
      <w:r>
        <w:rPr>
          <w:rFonts w:hint="eastAsia"/>
          <w:sz w:val="24"/>
        </w:rPr>
        <w:t>。这类工作表明了在prompt中注入金融情感分析、财报数据和社交媒体舆情，小模型也能具备敏锐的市场感知力。</w:t>
      </w:r>
    </w:p>
    <w:p w14:paraId="2C59501B">
      <w:pPr>
        <w:spacing w:line="400" w:lineRule="exact"/>
        <w:ind w:firstLine="480" w:firstLineChars="200"/>
        <w:rPr>
          <w:sz w:val="24"/>
        </w:rPr>
      </w:pPr>
      <w:r>
        <w:rPr>
          <w:rFonts w:hint="eastAsia"/>
          <w:sz w:val="24"/>
        </w:rPr>
        <w:t>随着对大模型研究的深入，金融领域大模型也实现了从单轮对话到长期记忆的演进。2023年推出的</w:t>
      </w:r>
      <w:r>
        <w:rPr>
          <w:sz w:val="24"/>
        </w:rPr>
        <w:t>TradingGPT</w:t>
      </w:r>
      <w:r>
        <w:rPr>
          <w:rFonts w:hint="eastAsia"/>
          <w:sz w:val="24"/>
        </w:rPr>
        <w:t>引入了分层记忆模块（Layered Memory Module），使Agent在外汇与股票交易任务中能够吸取历史的经验，其量化表现显著优于传统的Baseline模型</w:t>
      </w:r>
      <w:r>
        <w:rPr>
          <w:rFonts w:hint="eastAsia"/>
          <w:sz w:val="24"/>
          <w:vertAlign w:val="superscript"/>
        </w:rPr>
        <w:t>[6]</w:t>
      </w:r>
      <w:r>
        <w:rPr>
          <w:rFonts w:hint="eastAsia"/>
          <w:sz w:val="24"/>
        </w:rPr>
        <w:t>。</w:t>
      </w:r>
    </w:p>
    <w:p w14:paraId="16FAA50E">
      <w:pPr>
        <w:spacing w:line="400" w:lineRule="exact"/>
        <w:ind w:firstLine="480" w:firstLineChars="200"/>
        <w:rPr>
          <w:sz w:val="24"/>
        </w:rPr>
      </w:pPr>
      <w:r>
        <w:rPr>
          <w:rFonts w:hint="eastAsia"/>
          <w:sz w:val="24"/>
        </w:rPr>
        <w:t>虽然上述学术成果在模拟评测中表现优异，是十分有价值的工作基础，但其共同的局限性在于其“交易行为”始终停留在理论模拟和离线的测试阶段。而且现有的金融Agent大多被当作“投资顾问”而不是独立的交易员，都未能打通“信息-推理-执行”的端到端闭环。在缺乏适配API的现状下，部分研究试图让Agent通过操作浏览器或者编写Selenium自动化脚本来执行交易。这种模式看起来可行，但在并发量高、可靠性要求极高的金融场景下，会容易因为网页变动或脚本接口变动导致任务执行失败。因此，构建一套体系化、标准化的Agent工具链，是金融Agent走向实战的重要前置条件。</w:t>
      </w:r>
    </w:p>
    <w:p w14:paraId="43D4B08E">
      <w:pPr>
        <w:spacing w:line="400" w:lineRule="exact"/>
        <w:jc w:val="left"/>
        <w:outlineLvl w:val="2"/>
        <w:rPr>
          <w:rFonts w:hint="eastAsia" w:ascii="黑体" w:hAnsi="黑体" w:eastAsia="黑体" w:cs="黑体"/>
          <w:sz w:val="28"/>
          <w:szCs w:val="28"/>
        </w:rPr>
      </w:pPr>
      <w:r>
        <w:rPr>
          <w:rFonts w:hint="eastAsia" w:ascii="黑体" w:hAnsi="黑体" w:eastAsia="黑体" w:cs="黑体"/>
          <w:sz w:val="28"/>
          <w:szCs w:val="28"/>
        </w:rPr>
        <w:t>1.2.2模拟区块链的交易平台</w:t>
      </w:r>
    </w:p>
    <w:p w14:paraId="670A0D21">
      <w:pPr>
        <w:spacing w:line="400" w:lineRule="exact"/>
        <w:ind w:firstLine="480" w:firstLineChars="200"/>
        <w:rPr>
          <w:sz w:val="24"/>
        </w:rPr>
      </w:pPr>
      <w:r>
        <w:rPr>
          <w:rFonts w:hint="eastAsia"/>
          <w:sz w:val="24"/>
        </w:rPr>
        <w:t>日渐完善的的区块链技术为去中心化交易所的模拟研究提供了重要的底层环境。</w:t>
      </w:r>
    </w:p>
    <w:p w14:paraId="1AAF10B3">
      <w:pPr>
        <w:spacing w:line="400" w:lineRule="exact"/>
        <w:ind w:firstLine="480" w:firstLineChars="200"/>
        <w:rPr>
          <w:sz w:val="24"/>
        </w:rPr>
      </w:pPr>
      <w:r>
        <w:rPr>
          <w:rFonts w:hint="eastAsia"/>
          <w:sz w:val="24"/>
        </w:rPr>
        <w:t>2022年发表于IEEE Xplore的论文《SlipSwap》尤其具有代表性</w:t>
      </w:r>
      <w:r>
        <w:rPr>
          <w:rFonts w:hint="eastAsia"/>
          <w:sz w:val="24"/>
          <w:vertAlign w:val="superscript"/>
        </w:rPr>
        <w:t>[7]</w:t>
      </w:r>
      <w:r>
        <w:rPr>
          <w:rFonts w:hint="eastAsia"/>
          <w:sz w:val="24"/>
        </w:rPr>
        <w:t>，该工作的试验环境直接由以太坊测试工具Ganache一键搭建，同时在自动化做市商公式的基础上编写智能合约，数据源选用Binance的历史回放。该工作精细地复现了链上的流动性枯竭、三明治攻击以及滑点损耗等区块链金融现象。</w:t>
      </w:r>
    </w:p>
    <w:p w14:paraId="4C4CA4E1">
      <w:pPr>
        <w:spacing w:line="400" w:lineRule="exact"/>
        <w:ind w:firstLine="480" w:firstLineChars="200"/>
        <w:rPr>
          <w:rFonts w:hint="eastAsia" w:ascii="宋体" w:hAnsi="宋体" w:cs="宋体"/>
          <w:sz w:val="24"/>
        </w:rPr>
      </w:pPr>
      <w:r>
        <w:rPr>
          <w:rFonts w:hint="eastAsia"/>
          <w:sz w:val="24"/>
        </w:rPr>
        <w:t>在另一类研究中，研究者意在通过对极端交易环境的模拟，评估智能合约的抗风险能力。例如《Agent-Based Modeling of Blockchain Decentralized Financial Protocols》一文</w:t>
      </w:r>
      <w:r>
        <w:rPr>
          <w:rFonts w:hint="eastAsia"/>
          <w:sz w:val="24"/>
          <w:vertAlign w:val="superscript"/>
        </w:rPr>
        <w:t>[8]</w:t>
      </w:r>
      <w:r>
        <w:rPr>
          <w:rFonts w:hint="eastAsia"/>
          <w:sz w:val="24"/>
        </w:rPr>
        <w:t>。该工作是以Uniswap去中心化交易所为工程底座，构建了</w:t>
      </w:r>
      <w:r>
        <w:rPr>
          <w:rFonts w:ascii="宋体" w:hAnsi="宋体" w:cs="宋体"/>
          <w:sz w:val="24"/>
        </w:rPr>
        <w:t>抢跑者</w:t>
      </w:r>
      <w:r>
        <w:rPr>
          <w:rFonts w:hint="eastAsia"/>
          <w:sz w:val="24"/>
        </w:rPr>
        <w:t>（Front-runner）</w:t>
      </w:r>
      <w:r>
        <w:rPr>
          <w:rFonts w:ascii="宋体" w:hAnsi="宋体" w:cs="宋体"/>
          <w:sz w:val="24"/>
        </w:rPr>
        <w:t>与套利者</w:t>
      </w:r>
      <w:r>
        <w:rPr>
          <w:rFonts w:hint="eastAsia"/>
          <w:sz w:val="24"/>
        </w:rPr>
        <w:t>（Arbitrageurs）</w:t>
      </w:r>
      <w:r>
        <w:rPr>
          <w:rFonts w:ascii="宋体" w:hAnsi="宋体" w:cs="宋体"/>
          <w:sz w:val="24"/>
        </w:rPr>
        <w:t>等不同角色的主体</w:t>
      </w:r>
      <w:r>
        <w:rPr>
          <w:rFonts w:hint="eastAsia" w:ascii="宋体" w:hAnsi="宋体" w:cs="宋体"/>
          <w:sz w:val="24"/>
        </w:rPr>
        <w:t>，重点研究了在真实市场压力以及恶意套利环境下，</w:t>
      </w:r>
      <w:r>
        <w:rPr>
          <w:rFonts w:ascii="宋体" w:hAnsi="宋体" w:cs="宋体"/>
          <w:sz w:val="24"/>
        </w:rPr>
        <w:t>点对交易滑落和协议利润分配的实际影响</w:t>
      </w:r>
      <w:r>
        <w:rPr>
          <w:rFonts w:hint="eastAsia" w:ascii="宋体" w:hAnsi="宋体" w:cs="宋体"/>
          <w:sz w:val="24"/>
        </w:rPr>
        <w:t>。</w:t>
      </w:r>
    </w:p>
    <w:p w14:paraId="417D8292">
      <w:pPr>
        <w:spacing w:line="400" w:lineRule="exact"/>
        <w:ind w:firstLine="480" w:firstLineChars="200"/>
        <w:rPr>
          <w:rFonts w:hint="eastAsia" w:ascii="宋体" w:hAnsi="宋体" w:cs="宋体"/>
          <w:sz w:val="24"/>
        </w:rPr>
      </w:pPr>
      <w:r>
        <w:rPr>
          <w:rFonts w:hint="eastAsia"/>
          <w:sz w:val="24"/>
        </w:rPr>
        <w:t>但是，上述的研究都存在一个共同缺陷，它们执行交易的主体存在局限。比如，《SlipSwap》中使用固定的脚本回放Binance的历史数据。《Agent-Based Modeling of Blockchain Decentralized Financial Protocols》中的Front-runner是利用触发式的脚本监听大额交易，地以更高的Gas Fee发起新交易；Arbitrageurs则是一个确定性的数学优化算法，监听流动池中的价格，满足套利条件则触发买入或卖出指令。这些工作的行为主体都依赖于硬编码的脚本或者算法，它们的</w:t>
      </w:r>
      <w:r>
        <w:rPr>
          <w:rFonts w:ascii="宋体" w:hAnsi="宋体" w:cs="宋体"/>
          <w:sz w:val="24"/>
        </w:rPr>
        <w:t>交易逻辑是死板</w:t>
      </w:r>
      <w:r>
        <w:rPr>
          <w:rFonts w:hint="eastAsia" w:ascii="宋体" w:hAnsi="宋体" w:cs="宋体"/>
          <w:sz w:val="24"/>
        </w:rPr>
        <w:t>的</w:t>
      </w:r>
      <w:r>
        <w:rPr>
          <w:rFonts w:ascii="宋体" w:hAnsi="宋体" w:cs="宋体"/>
          <w:sz w:val="24"/>
        </w:rPr>
        <w:t>线性的，它们无法像</w:t>
      </w:r>
      <w:r>
        <w:rPr>
          <w:rFonts w:hint="eastAsia" w:ascii="宋体" w:hAnsi="宋体" w:cs="宋体"/>
          <w:sz w:val="24"/>
        </w:rPr>
        <w:t>真正的</w:t>
      </w:r>
      <w:r>
        <w:rPr>
          <w:rFonts w:ascii="宋体" w:hAnsi="宋体" w:cs="宋体"/>
          <w:sz w:val="24"/>
        </w:rPr>
        <w:t>交易员一样应对复杂的市场</w:t>
      </w:r>
      <w:r>
        <w:rPr>
          <w:rFonts w:hint="eastAsia" w:ascii="宋体" w:hAnsi="宋体" w:cs="宋体"/>
          <w:sz w:val="24"/>
        </w:rPr>
        <w:t>情况</w:t>
      </w:r>
      <w:r>
        <w:rPr>
          <w:rFonts w:ascii="宋体" w:hAnsi="宋体" w:cs="宋体"/>
          <w:sz w:val="24"/>
        </w:rPr>
        <w:t>，更不具备深层的推理</w:t>
      </w:r>
      <w:r>
        <w:rPr>
          <w:rFonts w:hint="eastAsia" w:ascii="宋体" w:hAnsi="宋体" w:cs="宋体"/>
          <w:sz w:val="24"/>
        </w:rPr>
        <w:t>决策</w:t>
      </w:r>
      <w:r>
        <w:rPr>
          <w:rFonts w:ascii="宋体" w:hAnsi="宋体" w:cs="宋体"/>
          <w:sz w:val="24"/>
        </w:rPr>
        <w:t>能力</w:t>
      </w:r>
      <w:r>
        <w:rPr>
          <w:rFonts w:hint="eastAsia" w:ascii="宋体" w:hAnsi="宋体" w:cs="宋体"/>
          <w:sz w:val="24"/>
        </w:rPr>
        <w:t>。</w:t>
      </w:r>
    </w:p>
    <w:p w14:paraId="3F7FE110">
      <w:pPr>
        <w:spacing w:line="400" w:lineRule="exact"/>
        <w:ind w:firstLine="480" w:firstLineChars="200"/>
        <w:rPr>
          <w:sz w:val="24"/>
        </w:rPr>
      </w:pPr>
      <w:r>
        <w:rPr>
          <w:rFonts w:hint="eastAsia" w:ascii="宋体" w:hAnsi="宋体" w:cs="宋体"/>
          <w:sz w:val="24"/>
        </w:rPr>
        <w:t>但在另一方面</w:t>
      </w:r>
      <w:r>
        <w:rPr>
          <w:rFonts w:hint="eastAsia"/>
          <w:sz w:val="24"/>
        </w:rPr>
        <w:t>可以发现，Hardhat、Ganache等本地测试链工具降低了去中心化环境的部署门槛；成熟的去中心交易所实现方案，为笔者模</w:t>
      </w:r>
      <w:r>
        <w:rPr>
          <w:rFonts w:hint="eastAsia" w:ascii="宋体" w:hAnsi="宋体" w:cs="宋体"/>
          <w:sz w:val="24"/>
        </w:rPr>
        <w:t>拟</w:t>
      </w:r>
      <w:r>
        <w:rPr>
          <w:rFonts w:hint="eastAsia"/>
          <w:sz w:val="24"/>
        </w:rPr>
        <w:t>去中心化交易提供了重要的工程基础</w:t>
      </w:r>
      <w:bookmarkStart w:id="6" w:name="_Toc21270"/>
      <w:r>
        <w:rPr>
          <w:rFonts w:hint="eastAsia"/>
          <w:sz w:val="24"/>
        </w:rPr>
        <w:t>。</w:t>
      </w:r>
    </w:p>
    <w:p w14:paraId="015C4F46">
      <w:pPr>
        <w:spacing w:line="400" w:lineRule="exact"/>
        <w:outlineLvl w:val="2"/>
        <w:rPr>
          <w:rFonts w:hint="eastAsia" w:ascii="黑体" w:hAnsi="黑体" w:eastAsia="黑体" w:cs="黑体"/>
          <w:sz w:val="28"/>
          <w:szCs w:val="28"/>
        </w:rPr>
      </w:pPr>
      <w:r>
        <w:rPr>
          <w:rFonts w:hint="eastAsia" w:ascii="黑体" w:hAnsi="黑体" w:eastAsia="黑体" w:cs="黑体"/>
          <w:sz w:val="28"/>
          <w:szCs w:val="28"/>
        </w:rPr>
        <w:t>1.2.3模拟交易所的工程积累</w:t>
      </w:r>
      <w:bookmarkEnd w:id="6"/>
    </w:p>
    <w:p w14:paraId="42FE183C">
      <w:pPr>
        <w:spacing w:line="400" w:lineRule="exact"/>
        <w:ind w:firstLine="480"/>
        <w:rPr>
          <w:rFonts w:hint="eastAsia" w:ascii="宋体" w:hAnsi="宋体" w:cs="宋体"/>
          <w:sz w:val="24"/>
        </w:rPr>
      </w:pPr>
      <w:r>
        <w:rPr>
          <w:rFonts w:ascii="宋体" w:hAnsi="宋体" w:cs="宋体"/>
          <w:sz w:val="24"/>
        </w:rPr>
        <w:t>在金融工程中，模拟</w:t>
      </w:r>
      <w:r>
        <w:rPr>
          <w:rFonts w:hint="eastAsia" w:ascii="宋体" w:hAnsi="宋体" w:cs="宋体"/>
          <w:sz w:val="24"/>
        </w:rPr>
        <w:t>交易所</w:t>
      </w:r>
      <w:r>
        <w:rPr>
          <w:rFonts w:ascii="宋体" w:hAnsi="宋体" w:cs="宋体"/>
          <w:sz w:val="24"/>
        </w:rPr>
        <w:t>是一项发展了数十年的成熟技术，</w:t>
      </w:r>
      <w:r>
        <w:rPr>
          <w:rFonts w:hint="eastAsia" w:ascii="宋体" w:hAnsi="宋体" w:cs="宋体"/>
          <w:sz w:val="24"/>
        </w:rPr>
        <w:t>但很少有工作将AI和模拟交易的工程基础结合起来。</w:t>
      </w:r>
    </w:p>
    <w:p w14:paraId="06769D78">
      <w:pPr>
        <w:spacing w:line="400" w:lineRule="exact"/>
        <w:ind w:firstLine="480" w:firstLineChars="200"/>
        <w:rPr>
          <w:rFonts w:hint="eastAsia" w:ascii="宋体" w:hAnsi="宋体" w:cs="宋体"/>
          <w:sz w:val="24"/>
        </w:rPr>
      </w:pPr>
      <w:r>
        <w:rPr>
          <w:rFonts w:hint="eastAsia"/>
          <w:sz w:val="24"/>
        </w:rPr>
        <w:t>从国外研究来看，学术界在金融Agent上进行了一定程度的探索，例如2024年提出的工作StockAgent</w:t>
      </w:r>
      <w:r>
        <w:rPr>
          <w:rFonts w:hint="eastAsia"/>
          <w:sz w:val="24"/>
          <w:vertAlign w:val="superscript"/>
        </w:rPr>
        <w:t>[9]</w:t>
      </w:r>
      <w:r>
        <w:rPr>
          <w:rFonts w:hint="eastAsia"/>
          <w:sz w:val="24"/>
        </w:rPr>
        <w:t>。该系统接入了多个大模型 (如 GPT-3.5、Gemini)，构建了多Agent金融交易模拟系统，在这个系统中Agent扮演投资者对市场外部事件做出交易决策。但是，这项工作也仅仅局限在</w:t>
      </w:r>
      <w:r>
        <w:rPr>
          <w:sz w:val="24"/>
        </w:rPr>
        <w:t>离线数据</w:t>
      </w:r>
      <w:r>
        <w:rPr>
          <w:rFonts w:hint="eastAsia"/>
          <w:sz w:val="24"/>
        </w:rPr>
        <w:t>的</w:t>
      </w:r>
      <w:r>
        <w:rPr>
          <w:sz w:val="24"/>
        </w:rPr>
        <w:t>回</w:t>
      </w:r>
      <w:r>
        <w:rPr>
          <w:rFonts w:hint="eastAsia"/>
          <w:sz w:val="24"/>
        </w:rPr>
        <w:t>放</w:t>
      </w:r>
      <w:r>
        <w:rPr>
          <w:sz w:val="24"/>
        </w:rPr>
        <w:t>测</w:t>
      </w:r>
      <w:r>
        <w:rPr>
          <w:rFonts w:hint="eastAsia"/>
          <w:sz w:val="24"/>
        </w:rPr>
        <w:t>试上，并没有接入真实的券商接口，缺少真实的标准化API设计，并且也未能将Agent交易领域扩展到区块链生态中。</w:t>
      </w:r>
    </w:p>
    <w:p w14:paraId="1DE7E04F">
      <w:pPr>
        <w:spacing w:line="400" w:lineRule="exact"/>
        <w:ind w:firstLine="480" w:firstLineChars="200"/>
        <w:rPr>
          <w:sz w:val="24"/>
        </w:rPr>
      </w:pPr>
      <w:r>
        <w:rPr>
          <w:rFonts w:hint="eastAsia"/>
          <w:sz w:val="24"/>
        </w:rPr>
        <w:t>在国内来看，从2024年开始，国内高校就出现了几篇涉及“</w:t>
      </w:r>
      <w:r>
        <w:rPr>
          <w:sz w:val="24"/>
        </w:rPr>
        <w:t>AI</w:t>
      </w:r>
      <w:r>
        <w:rPr>
          <w:rFonts w:hint="eastAsia"/>
          <w:sz w:val="24"/>
        </w:rPr>
        <w:t>模拟交易”的毕业设计，</w:t>
      </w:r>
      <w:r>
        <w:rPr>
          <w:rFonts w:hint="eastAsia"/>
          <w:sz w:val="24"/>
          <w:lang w:val="en-IE"/>
        </w:rPr>
        <w:t>他们使用的技术各不相同，但都没有实现现代工程的</w:t>
      </w:r>
      <w:r>
        <w:rPr>
          <w:rFonts w:hint="eastAsia"/>
          <w:sz w:val="24"/>
        </w:rPr>
        <w:t>Agent概念，他们要么依赖固定的LSTM模型</w:t>
      </w:r>
      <w:r>
        <w:rPr>
          <w:rFonts w:hint="eastAsia"/>
          <w:sz w:val="24"/>
          <w:vertAlign w:val="superscript"/>
        </w:rPr>
        <w:t>[</w:t>
      </w:r>
      <w:r>
        <w:rPr>
          <w:sz w:val="24"/>
          <w:vertAlign w:val="superscript"/>
          <w:lang w:val="en-IE"/>
        </w:rPr>
        <w:t>10</w:t>
      </w:r>
      <w:r>
        <w:rPr>
          <w:rFonts w:hint="eastAsia"/>
          <w:sz w:val="24"/>
          <w:vertAlign w:val="superscript"/>
        </w:rPr>
        <w:t>]</w:t>
      </w:r>
      <w:r>
        <w:rPr>
          <w:rFonts w:hint="eastAsia"/>
          <w:sz w:val="24"/>
        </w:rPr>
        <w:t>来单纯预测次日的涨跌幅度，要么仅仅将大模型用作前端的聊天客服组件，用户可以通过自然语言操作股票交易，但底层的交易系统依然是传统的工程代码。</w:t>
      </w:r>
    </w:p>
    <w:p w14:paraId="7467D18F">
      <w:pPr>
        <w:spacing w:line="400" w:lineRule="exact"/>
        <w:ind w:firstLine="480" w:firstLineChars="200"/>
        <w:rPr>
          <w:sz w:val="24"/>
        </w:rPr>
      </w:pPr>
      <w:r>
        <w:rPr>
          <w:rFonts w:hint="eastAsia"/>
          <w:sz w:val="24"/>
        </w:rPr>
        <w:t>在工程架构方面，Java生态中Langchain4j这一新兴架构在金融领域中也出现得非常少，尤其是Agent并发调用Tools的复杂场景更是缺少公开的架构设计。</w:t>
      </w:r>
    </w:p>
    <w:p w14:paraId="4DDF5D8C">
      <w:pPr>
        <w:spacing w:line="400" w:lineRule="exact"/>
        <w:ind w:firstLine="480" w:firstLineChars="200"/>
        <w:rPr>
          <w:sz w:val="24"/>
        </w:rPr>
      </w:pPr>
      <w:r>
        <w:rPr>
          <w:rFonts w:hint="eastAsia"/>
          <w:sz w:val="24"/>
        </w:rPr>
        <w:t>由此可见，这三条路线的交叉地带存在着不小的空白，本项目是将大语言模型</w:t>
      </w:r>
      <w:r>
        <w:rPr>
          <w:sz w:val="24"/>
        </w:rPr>
        <w:t>Agent</w:t>
      </w:r>
      <w:r>
        <w:rPr>
          <w:rFonts w:hint="eastAsia"/>
          <w:sz w:val="24"/>
        </w:rPr>
        <w:t>的推理和工具调用能力、模拟交易所系统性的</w:t>
      </w:r>
      <w:r>
        <w:rPr>
          <w:sz w:val="24"/>
        </w:rPr>
        <w:t>API</w:t>
      </w:r>
      <w:r>
        <w:rPr>
          <w:rFonts w:hint="eastAsia"/>
          <w:sz w:val="24"/>
        </w:rPr>
        <w:t>和测试区块链的去中心化技术合三为一的系统框架，这在工程中尚无实现案例。</w:t>
      </w:r>
    </w:p>
    <w:p w14:paraId="0D14B4C8">
      <w:pPr>
        <w:pStyle w:val="11"/>
        <w:spacing w:line="400" w:lineRule="exact"/>
        <w:outlineLvl w:val="1"/>
        <w:rPr>
          <w:rFonts w:ascii="Times New Roman" w:hAnsi="Times New Roman"/>
          <w:sz w:val="24"/>
        </w:rPr>
      </w:pPr>
      <w:bookmarkStart w:id="7" w:name="_Toc20594"/>
      <w:r>
        <w:rPr>
          <w:rFonts w:hint="eastAsia" w:ascii="黑体" w:eastAsia="黑体"/>
          <w:sz w:val="30"/>
        </w:rPr>
        <w:t>1.3 主要研究内容</w:t>
      </w:r>
      <w:bookmarkEnd w:id="7"/>
    </w:p>
    <w:p w14:paraId="6E6805DD">
      <w:pPr>
        <w:spacing w:line="400" w:lineRule="exact"/>
        <w:ind w:firstLine="480" w:firstLineChars="200"/>
        <w:rPr>
          <w:sz w:val="24"/>
        </w:rPr>
      </w:pPr>
      <w:r>
        <w:rPr>
          <w:rFonts w:hint="eastAsia"/>
          <w:sz w:val="24"/>
        </w:rPr>
        <w:t>本课题的工作可以划分为三个模块。</w:t>
      </w:r>
    </w:p>
    <w:p w14:paraId="27B5EBBE">
      <w:pPr>
        <w:spacing w:line="400" w:lineRule="exact"/>
        <w:ind w:firstLine="480" w:firstLineChars="200"/>
        <w:rPr>
          <w:sz w:val="24"/>
        </w:rPr>
      </w:pPr>
      <w:r>
        <w:rPr>
          <w:rFonts w:hint="eastAsia"/>
          <w:sz w:val="24"/>
        </w:rPr>
        <w:t>模拟交易所平台的构建，前后端分离设计。前端</w:t>
      </w:r>
      <w:r>
        <w:rPr>
          <w:sz w:val="24"/>
        </w:rPr>
        <w:t>Vue</w:t>
      </w:r>
      <w:r>
        <w:rPr>
          <w:rFonts w:hint="eastAsia"/>
          <w:sz w:val="24"/>
        </w:rPr>
        <w:t xml:space="preserve"> 3承担行情展示与</w:t>
      </w:r>
      <w:r>
        <w:rPr>
          <w:sz w:val="24"/>
        </w:rPr>
        <w:t>Agent</w:t>
      </w:r>
      <w:r>
        <w:rPr>
          <w:rFonts w:hint="eastAsia"/>
          <w:sz w:val="24"/>
        </w:rPr>
        <w:t>表现展示等功能。后端</w:t>
      </w:r>
      <w:r>
        <w:rPr>
          <w:sz w:val="24"/>
        </w:rPr>
        <w:t>SpringBoot</w:t>
      </w:r>
      <w:r>
        <w:rPr>
          <w:rFonts w:hint="eastAsia"/>
          <w:sz w:val="24"/>
        </w:rPr>
        <w:t>提供</w:t>
      </w:r>
      <w:r>
        <w:rPr>
          <w:sz w:val="24"/>
        </w:rPr>
        <w:t>RESTful</w:t>
      </w:r>
      <w:r>
        <w:rPr>
          <w:rFonts w:hint="eastAsia"/>
          <w:sz w:val="24"/>
        </w:rPr>
        <w:t>接口，买卖功能不接入真实交易系统，只操作</w:t>
      </w:r>
      <w:r>
        <w:rPr>
          <w:sz w:val="24"/>
        </w:rPr>
        <w:t>MySQL</w:t>
      </w:r>
      <w:r>
        <w:rPr>
          <w:rFonts w:hint="eastAsia"/>
          <w:sz w:val="24"/>
        </w:rPr>
        <w:t>资产表。买卖接口以工具形态封装。区块链和股票市场交易共用同一个买卖</w:t>
      </w:r>
      <w:r>
        <w:rPr>
          <w:sz w:val="24"/>
        </w:rPr>
        <w:t>API</w:t>
      </w:r>
      <w:r>
        <w:rPr>
          <w:rFonts w:hint="eastAsia"/>
          <w:sz w:val="24"/>
        </w:rPr>
        <w:t>。</w:t>
      </w:r>
    </w:p>
    <w:p w14:paraId="0921A6A0">
      <w:pPr>
        <w:spacing w:line="400" w:lineRule="exact"/>
        <w:ind w:firstLine="480" w:firstLineChars="200"/>
        <w:rPr>
          <w:sz w:val="24"/>
        </w:rPr>
      </w:pPr>
      <w:r>
        <w:rPr>
          <w:rFonts w:hint="eastAsia"/>
          <w:sz w:val="24"/>
        </w:rPr>
        <w:t>基于</w:t>
      </w:r>
      <w:r>
        <w:rPr>
          <w:sz w:val="24"/>
        </w:rPr>
        <w:t>LangChain</w:t>
      </w:r>
      <w:r>
        <w:rPr>
          <w:rFonts w:hint="eastAsia"/>
          <w:sz w:val="24"/>
        </w:rPr>
        <w:t>4</w:t>
      </w:r>
      <w:r>
        <w:rPr>
          <w:sz w:val="24"/>
        </w:rPr>
        <w:t>j</w:t>
      </w:r>
      <w:r>
        <w:rPr>
          <w:rFonts w:hint="eastAsia"/>
          <w:sz w:val="24"/>
        </w:rPr>
        <w:t>的多</w:t>
      </w:r>
      <w:r>
        <w:rPr>
          <w:sz w:val="24"/>
        </w:rPr>
        <w:t>Agent</w:t>
      </w:r>
      <w:r>
        <w:rPr>
          <w:rFonts w:hint="eastAsia"/>
          <w:sz w:val="24"/>
        </w:rPr>
        <w:t>工作流。该流触发后，系统从数据库读取行情数据，计算各支股票的技术指标，并在线程池中创建符合用户配置的</w:t>
      </w:r>
      <w:r>
        <w:rPr>
          <w:sz w:val="24"/>
        </w:rPr>
        <w:t>AI</w:t>
      </w:r>
      <w:r>
        <w:rPr>
          <w:rFonts w:hint="eastAsia"/>
          <w:sz w:val="24"/>
        </w:rPr>
        <w:t>交易员。本系统共接入了三种</w:t>
      </w:r>
      <w:r>
        <w:rPr>
          <w:sz w:val="24"/>
        </w:rPr>
        <w:t>AI</w:t>
      </w:r>
      <w:r>
        <w:rPr>
          <w:rFonts w:hint="eastAsia"/>
          <w:sz w:val="24"/>
        </w:rPr>
        <w:t>模型，其区别为底层模型不同（</w:t>
      </w:r>
      <w:r>
        <w:rPr>
          <w:sz w:val="24"/>
        </w:rPr>
        <w:t>ERNIE</w:t>
      </w:r>
      <w:r>
        <w:rPr>
          <w:rFonts w:hint="eastAsia"/>
          <w:sz w:val="24"/>
        </w:rPr>
        <w:t xml:space="preserve"> 5.0、通义千问</w:t>
      </w:r>
      <w:r>
        <w:rPr>
          <w:sz w:val="24"/>
        </w:rPr>
        <w:t>Max</w:t>
      </w:r>
      <w:r>
        <w:rPr>
          <w:rFonts w:hint="eastAsia"/>
          <w:sz w:val="24"/>
        </w:rPr>
        <w:t>、</w:t>
      </w:r>
      <w:r>
        <w:rPr>
          <w:sz w:val="24"/>
        </w:rPr>
        <w:t>GPT</w:t>
      </w:r>
      <w:r>
        <w:rPr>
          <w:rFonts w:hint="eastAsia"/>
          <w:sz w:val="24"/>
        </w:rPr>
        <w:t>-4</w:t>
      </w:r>
      <w:r>
        <w:rPr>
          <w:sz w:val="24"/>
        </w:rPr>
        <w:t>o</w:t>
      </w:r>
      <w:r>
        <w:rPr>
          <w:rFonts w:hint="eastAsia"/>
          <w:sz w:val="24"/>
        </w:rPr>
        <w:t>-</w:t>
      </w:r>
      <w:r>
        <w:rPr>
          <w:sz w:val="24"/>
        </w:rPr>
        <w:t>mini</w:t>
      </w:r>
      <w:r>
        <w:rPr>
          <w:rFonts w:hint="eastAsia"/>
          <w:sz w:val="24"/>
        </w:rPr>
        <w:t>），并且笔者预设了三种不同的提示词，分别为保守、适中、激进三种风险取向。在单次模拟中将指标与持仓数据投喂给模型，模型在经过逻辑推理后决定观望或者调用买卖工具</w:t>
      </w:r>
      <w:r>
        <w:rPr>
          <w:sz w:val="24"/>
        </w:rPr>
        <w:t>API</w:t>
      </w:r>
      <w:r>
        <w:rPr>
          <w:rFonts w:hint="eastAsia"/>
          <w:sz w:val="24"/>
        </w:rPr>
        <w:t>，最后将执行结果和决策理由落库，推送前端。</w:t>
      </w:r>
    </w:p>
    <w:p w14:paraId="6B02105B">
      <w:pPr>
        <w:spacing w:line="400" w:lineRule="exact"/>
        <w:ind w:firstLine="480" w:firstLineChars="200"/>
        <w:rPr>
          <w:sz w:val="24"/>
        </w:rPr>
        <w:sectPr>
          <w:headerReference r:id="rId15" w:type="default"/>
          <w:footerReference r:id="rId16" w:type="default"/>
          <w:pgSz w:w="11906" w:h="16838"/>
          <w:pgMar w:top="1701" w:right="1418" w:bottom="1418" w:left="1418" w:header="907" w:footer="851" w:gutter="567"/>
          <w:pgNumType w:start="1"/>
          <w:cols w:space="720" w:num="1"/>
          <w:docGrid w:type="lines" w:linePitch="312" w:charSpace="0"/>
        </w:sectPr>
      </w:pPr>
      <w:r>
        <w:rPr>
          <w:rFonts w:hint="eastAsia"/>
          <w:sz w:val="24"/>
        </w:rPr>
        <w:t>测试区块链与代币合约——“斗兽场”博弈环境。 笔者在本地</w:t>
      </w:r>
      <w:r>
        <w:rPr>
          <w:sz w:val="24"/>
        </w:rPr>
        <w:t>Ganache</w:t>
      </w:r>
      <w:r>
        <w:rPr>
          <w:rFonts w:hint="eastAsia"/>
          <w:sz w:val="24"/>
        </w:rPr>
        <w:t>测试链上部署三种</w:t>
      </w:r>
      <w:r>
        <w:rPr>
          <w:sz w:val="24"/>
        </w:rPr>
        <w:t>ERC</w:t>
      </w:r>
      <w:r>
        <w:rPr>
          <w:rFonts w:hint="eastAsia"/>
          <w:sz w:val="24"/>
        </w:rPr>
        <w:t>-20代币合约，构建了一个封闭的多</w:t>
      </w:r>
      <w:r>
        <w:rPr>
          <w:sz w:val="24"/>
        </w:rPr>
        <w:t>Agent</w:t>
      </w:r>
      <w:r>
        <w:rPr>
          <w:rFonts w:hint="eastAsia"/>
          <w:sz w:val="24"/>
        </w:rPr>
        <w:t>博弈环境。用户配置角色组合与博弈轮数后，系统为每位</w:t>
      </w:r>
      <w:r>
        <w:rPr>
          <w:sz w:val="24"/>
        </w:rPr>
        <w:t>Agent</w:t>
      </w:r>
      <w:r>
        <w:rPr>
          <w:rFonts w:hint="eastAsia"/>
          <w:sz w:val="24"/>
        </w:rPr>
        <w:t>分配等额初始代币。每轮交易中，三位</w:t>
      </w:r>
      <w:r>
        <w:rPr>
          <w:sz w:val="24"/>
        </w:rPr>
        <w:t>Agent</w:t>
      </w:r>
      <w:r>
        <w:rPr>
          <w:rFonts w:hint="eastAsia"/>
          <w:sz w:val="24"/>
        </w:rPr>
        <w:t>依次进行代币兑换。代币价格由链下线性冲击公式根据供需动态更新，并且用“</w:t>
      </w:r>
      <w:r>
        <w:rPr>
          <w:sz w:val="24"/>
        </w:rPr>
        <w:t>SET</w:t>
      </w:r>
      <w:r>
        <w:rPr>
          <w:rFonts w:hint="eastAsia"/>
          <w:sz w:val="24"/>
        </w:rPr>
        <w:t>”作为一般等价货币用于折算</w:t>
      </w:r>
      <w:r>
        <w:rPr>
          <w:sz w:val="24"/>
        </w:rPr>
        <w:t>Agent</w:t>
      </w:r>
      <w:r>
        <w:rPr>
          <w:rFonts w:hint="eastAsia"/>
          <w:sz w:val="24"/>
        </w:rPr>
        <w:t>的资产总值。该测试链的</w:t>
      </w:r>
      <w:r>
        <w:rPr>
          <w:sz w:val="24"/>
        </w:rPr>
        <w:t>Gas</w:t>
      </w:r>
      <w:r>
        <w:rPr>
          <w:rFonts w:hint="eastAsia"/>
          <w:sz w:val="24"/>
        </w:rPr>
        <w:t>费为零，目的在于简化系统，并且消除交易成本对决策的干扰。</w:t>
      </w:r>
    </w:p>
    <w:p w14:paraId="493A50CB">
      <w:pPr>
        <w:rPr>
          <w:rFonts w:ascii="黑体" w:eastAsia="黑体"/>
          <w:sz w:val="32"/>
        </w:rPr>
      </w:pPr>
    </w:p>
    <w:p w14:paraId="5D3A5E93">
      <w:pPr>
        <w:spacing w:line="400" w:lineRule="exact"/>
        <w:jc w:val="center"/>
        <w:outlineLvl w:val="0"/>
        <w:rPr>
          <w:rFonts w:ascii="黑体" w:eastAsia="黑体"/>
          <w:sz w:val="32"/>
        </w:rPr>
      </w:pPr>
      <w:bookmarkStart w:id="8" w:name="_Toc30967"/>
      <w:r>
        <w:rPr>
          <w:rFonts w:hint="eastAsia" w:ascii="黑体" w:eastAsia="黑体"/>
          <w:sz w:val="32"/>
        </w:rPr>
        <w:t>2 相关理论与关键技术</w:t>
      </w:r>
      <w:bookmarkEnd w:id="8"/>
    </w:p>
    <w:p w14:paraId="234B1DA6">
      <w:pPr>
        <w:spacing w:line="400" w:lineRule="exact"/>
        <w:jc w:val="center"/>
        <w:rPr>
          <w:rFonts w:ascii="黑体" w:eastAsia="黑体"/>
          <w:szCs w:val="21"/>
        </w:rPr>
      </w:pPr>
    </w:p>
    <w:p w14:paraId="13BD2088">
      <w:pPr>
        <w:spacing w:line="400" w:lineRule="exact"/>
        <w:ind w:firstLine="480" w:firstLineChars="200"/>
        <w:rPr>
          <w:sz w:val="24"/>
        </w:rPr>
      </w:pPr>
      <w:r>
        <w:rPr>
          <w:rFonts w:hint="eastAsia"/>
          <w:sz w:val="24"/>
        </w:rPr>
        <w:t>本章介绍系统开发过程中涉及的主要技术，包括前后端框架、行情数据</w:t>
      </w:r>
      <w:r>
        <w:rPr>
          <w:sz w:val="24"/>
        </w:rPr>
        <w:t>API</w:t>
      </w:r>
      <w:r>
        <w:rPr>
          <w:rFonts w:hint="eastAsia"/>
          <w:sz w:val="24"/>
        </w:rPr>
        <w:t>、</w:t>
      </w:r>
      <w:r>
        <w:rPr>
          <w:sz w:val="24"/>
        </w:rPr>
        <w:t>LLM</w:t>
      </w:r>
      <w:r>
        <w:rPr>
          <w:rFonts w:hint="eastAsia"/>
          <w:sz w:val="24"/>
        </w:rPr>
        <w:t>调用框架以及区块链相关组件。对于各项技术，笔者在此重点说明其基本概念和核心功能，本系统的具体实现方式将留在后续章节展开。</w:t>
      </w:r>
    </w:p>
    <w:p w14:paraId="5995AFDC">
      <w:pPr>
        <w:pStyle w:val="11"/>
        <w:spacing w:line="400" w:lineRule="exact"/>
        <w:outlineLvl w:val="1"/>
        <w:rPr>
          <w:rFonts w:ascii="黑体" w:eastAsia="黑体"/>
          <w:sz w:val="30"/>
        </w:rPr>
      </w:pPr>
      <w:bookmarkStart w:id="9" w:name="_Toc26186"/>
      <w:r>
        <w:rPr>
          <w:rFonts w:hint="eastAsia" w:ascii="黑体" w:eastAsia="黑体"/>
          <w:sz w:val="30"/>
        </w:rPr>
        <w:t>2.1 前后端框架</w:t>
      </w:r>
      <w:bookmarkEnd w:id="9"/>
    </w:p>
    <w:p w14:paraId="5E887C70">
      <w:pPr>
        <w:spacing w:line="400" w:lineRule="exact"/>
        <w:outlineLvl w:val="2"/>
        <w:rPr>
          <w:rFonts w:hint="eastAsia" w:ascii="黑体" w:hAnsi="黑体" w:eastAsia="黑体" w:cs="黑体"/>
          <w:sz w:val="28"/>
          <w:szCs w:val="28"/>
        </w:rPr>
      </w:pPr>
      <w:bookmarkStart w:id="10" w:name="_Toc20382"/>
      <w:r>
        <w:rPr>
          <w:rFonts w:hint="eastAsia" w:ascii="黑体" w:hAnsi="黑体" w:eastAsia="黑体" w:cs="黑体"/>
          <w:sz w:val="28"/>
          <w:szCs w:val="28"/>
        </w:rPr>
        <w:t xml:space="preserve">2.1.1 </w:t>
      </w:r>
      <w:r>
        <w:rPr>
          <w:rFonts w:eastAsia="黑体"/>
          <w:sz w:val="24"/>
        </w:rPr>
        <w:t>SpringBoot</w:t>
      </w:r>
      <w:r>
        <w:rPr>
          <w:rFonts w:hint="eastAsia" w:ascii="黑体" w:hAnsi="黑体" w:eastAsia="黑体" w:cs="黑体"/>
          <w:sz w:val="28"/>
          <w:szCs w:val="28"/>
        </w:rPr>
        <w:t>框架</w:t>
      </w:r>
      <w:bookmarkEnd w:id="10"/>
    </w:p>
    <w:p w14:paraId="351AB5A5">
      <w:pPr>
        <w:spacing w:line="400" w:lineRule="exact"/>
        <w:ind w:firstLine="480" w:firstLineChars="200"/>
        <w:rPr>
          <w:sz w:val="24"/>
        </w:rPr>
      </w:pPr>
      <w:r>
        <w:rPr>
          <w:sz w:val="24"/>
        </w:rPr>
        <w:t>SpringBoot</w:t>
      </w:r>
      <w:r>
        <w:rPr>
          <w:rFonts w:hint="eastAsia"/>
          <w:sz w:val="24"/>
        </w:rPr>
        <w:t>是基于</w:t>
      </w:r>
      <w:r>
        <w:rPr>
          <w:sz w:val="24"/>
        </w:rPr>
        <w:t>Java</w:t>
      </w:r>
      <w:r>
        <w:rPr>
          <w:rFonts w:hint="eastAsia"/>
          <w:sz w:val="24"/>
        </w:rPr>
        <w:t>语言的后端开发框架，其设计目标是简化</w:t>
      </w:r>
      <w:r>
        <w:rPr>
          <w:sz w:val="24"/>
        </w:rPr>
        <w:t>Spring</w:t>
      </w:r>
      <w:r>
        <w:rPr>
          <w:rFonts w:hint="eastAsia"/>
          <w:sz w:val="24"/>
        </w:rPr>
        <w:t>应用的搭建和开发</w:t>
      </w:r>
      <w:r>
        <w:rPr>
          <w:rFonts w:hint="eastAsia"/>
          <w:sz w:val="24"/>
          <w:vertAlign w:val="superscript"/>
        </w:rPr>
        <w:t>[</w:t>
      </w:r>
      <w:r>
        <w:rPr>
          <w:sz w:val="24"/>
          <w:vertAlign w:val="superscript"/>
          <w:lang w:val="en-IE"/>
        </w:rPr>
        <w:t>11</w:t>
      </w:r>
      <w:r>
        <w:rPr>
          <w:rFonts w:hint="eastAsia"/>
          <w:sz w:val="24"/>
          <w:vertAlign w:val="superscript"/>
        </w:rPr>
        <w:t>]</w:t>
      </w:r>
      <w:r>
        <w:rPr>
          <w:rFonts w:hint="eastAsia"/>
          <w:sz w:val="24"/>
        </w:rPr>
        <w:t>。与传统</w:t>
      </w:r>
      <w:r>
        <w:rPr>
          <w:sz w:val="24"/>
        </w:rPr>
        <w:t>Spring</w:t>
      </w:r>
      <w:r>
        <w:rPr>
          <w:rFonts w:hint="eastAsia"/>
          <w:sz w:val="24"/>
        </w:rPr>
        <w:t>框架相比，</w:t>
      </w:r>
      <w:r>
        <w:rPr>
          <w:sz w:val="24"/>
        </w:rPr>
        <w:t>SpringBoot</w:t>
      </w:r>
      <w:r>
        <w:rPr>
          <w:rFonts w:hint="eastAsia"/>
          <w:sz w:val="24"/>
        </w:rPr>
        <w:t>通过自动配置和起步依赖两个核心环节，大幅减少了笔者在配置文件和依赖管理上的工作量，能够更专注于业务逻辑的编写。</w:t>
      </w:r>
    </w:p>
    <w:p w14:paraId="5CB7566D">
      <w:pPr>
        <w:spacing w:line="400" w:lineRule="exact"/>
        <w:ind w:firstLine="480" w:firstLineChars="200"/>
        <w:rPr>
          <w:sz w:val="24"/>
        </w:rPr>
      </w:pPr>
      <w:r>
        <w:rPr>
          <w:sz w:val="24"/>
        </w:rPr>
        <w:t>SpringBoot</w:t>
      </w:r>
      <w:r>
        <w:rPr>
          <w:rFonts w:hint="eastAsia"/>
          <w:sz w:val="24"/>
        </w:rPr>
        <w:t>的核心特性包含内嵌的</w:t>
      </w:r>
      <w:r>
        <w:rPr>
          <w:sz w:val="24"/>
        </w:rPr>
        <w:t>Tomcat</w:t>
      </w:r>
      <w:r>
        <w:rPr>
          <w:rFonts w:hint="eastAsia"/>
          <w:sz w:val="24"/>
        </w:rPr>
        <w:t>服务器，应用可直接以</w:t>
      </w:r>
      <w:r>
        <w:rPr>
          <w:sz w:val="24"/>
        </w:rPr>
        <w:t>Java</w:t>
      </w:r>
      <w:r>
        <w:rPr>
          <w:rFonts w:hint="eastAsia"/>
          <w:sz w:val="24"/>
        </w:rPr>
        <w:t>程序的方式运行；提供大量起步依赖，保障了初始服务的可用性，同时工程师也可以在几行Maven代码内引入所需的组件；支持注解管理和注入</w:t>
      </w:r>
      <w:r>
        <w:rPr>
          <w:sz w:val="24"/>
        </w:rPr>
        <w:t>Bean</w:t>
      </w:r>
      <w:r>
        <w:rPr>
          <w:rFonts w:hint="eastAsia"/>
          <w:sz w:val="24"/>
        </w:rPr>
        <w:t>类等切面编程的能力。在本系统中，</w:t>
      </w:r>
      <w:r>
        <w:rPr>
          <w:sz w:val="24"/>
        </w:rPr>
        <w:t>SpringBoot</w:t>
      </w:r>
      <w:r>
        <w:rPr>
          <w:rFonts w:hint="eastAsia"/>
          <w:sz w:val="24"/>
        </w:rPr>
        <w:t>主要用于构建</w:t>
      </w:r>
      <w:r>
        <w:rPr>
          <w:sz w:val="24"/>
        </w:rPr>
        <w:t>RESTful</w:t>
      </w:r>
      <w:r>
        <w:rPr>
          <w:rFonts w:hint="eastAsia"/>
          <w:sz w:val="24"/>
        </w:rPr>
        <w:t xml:space="preserve"> </w:t>
      </w:r>
      <w:r>
        <w:rPr>
          <w:sz w:val="24"/>
        </w:rPr>
        <w:t>API</w:t>
      </w:r>
      <w:r>
        <w:rPr>
          <w:rFonts w:hint="eastAsia"/>
          <w:sz w:val="24"/>
        </w:rPr>
        <w:t>、运行数据库事务以及调度定时任务。</w:t>
      </w:r>
    </w:p>
    <w:p w14:paraId="007B8B7D">
      <w:pPr>
        <w:spacing w:line="400" w:lineRule="exact"/>
        <w:outlineLvl w:val="2"/>
        <w:rPr>
          <w:rFonts w:hint="eastAsia" w:ascii="黑体" w:hAnsi="黑体" w:eastAsia="黑体" w:cs="黑体"/>
          <w:sz w:val="28"/>
          <w:szCs w:val="28"/>
        </w:rPr>
      </w:pPr>
      <w:bookmarkStart w:id="11" w:name="_Toc3562"/>
      <w:r>
        <w:rPr>
          <w:rFonts w:hint="eastAsia" w:ascii="黑体" w:hAnsi="黑体" w:eastAsia="黑体" w:cs="黑体"/>
          <w:sz w:val="28"/>
          <w:szCs w:val="28"/>
        </w:rPr>
        <w:t xml:space="preserve">2.1.2 </w:t>
      </w:r>
      <w:r>
        <w:rPr>
          <w:rFonts w:eastAsia="黑体"/>
          <w:sz w:val="24"/>
        </w:rPr>
        <w:t>Vue</w:t>
      </w:r>
      <w:r>
        <w:rPr>
          <w:rFonts w:hint="eastAsia" w:ascii="黑体" w:hAnsi="黑体" w:eastAsia="黑体" w:cs="黑体"/>
          <w:sz w:val="28"/>
          <w:szCs w:val="28"/>
        </w:rPr>
        <w:t xml:space="preserve"> 3框架</w:t>
      </w:r>
      <w:bookmarkEnd w:id="11"/>
    </w:p>
    <w:p w14:paraId="1EA2DF81">
      <w:pPr>
        <w:spacing w:line="400" w:lineRule="exact"/>
        <w:ind w:firstLine="480" w:firstLineChars="200"/>
        <w:rPr>
          <w:sz w:val="24"/>
        </w:rPr>
      </w:pPr>
      <w:r>
        <w:rPr>
          <w:sz w:val="24"/>
        </w:rPr>
        <w:t>Vue</w:t>
      </w:r>
      <w:r>
        <w:rPr>
          <w:rFonts w:hint="eastAsia"/>
          <w:sz w:val="24"/>
        </w:rPr>
        <w:t>是一套用于构建前端界面的渐进式</w:t>
      </w:r>
      <w:r>
        <w:rPr>
          <w:sz w:val="24"/>
        </w:rPr>
        <w:t>JavaScript</w:t>
      </w:r>
      <w:r>
        <w:rPr>
          <w:rFonts w:hint="eastAsia"/>
          <w:sz w:val="24"/>
        </w:rPr>
        <w:t>框架</w:t>
      </w:r>
      <w:r>
        <w:rPr>
          <w:rFonts w:hint="eastAsia"/>
          <w:sz w:val="24"/>
          <w:vertAlign w:val="superscript"/>
        </w:rPr>
        <w:t>[1</w:t>
      </w:r>
      <w:r>
        <w:rPr>
          <w:sz w:val="24"/>
          <w:vertAlign w:val="superscript"/>
          <w:lang w:val="en-IE"/>
        </w:rPr>
        <w:t>2</w:t>
      </w:r>
      <w:r>
        <w:rPr>
          <w:rFonts w:hint="eastAsia"/>
          <w:sz w:val="24"/>
          <w:vertAlign w:val="superscript"/>
        </w:rPr>
        <w:t>]</w:t>
      </w:r>
      <w:r>
        <w:rPr>
          <w:rFonts w:hint="eastAsia"/>
          <w:sz w:val="24"/>
        </w:rPr>
        <w:t>。</w:t>
      </w:r>
      <w:r>
        <w:rPr>
          <w:sz w:val="24"/>
        </w:rPr>
        <w:t>Vue</w:t>
      </w:r>
      <w:r>
        <w:rPr>
          <w:rFonts w:hint="eastAsia"/>
          <w:sz w:val="24"/>
        </w:rPr>
        <w:t xml:space="preserve"> 3在</w:t>
      </w:r>
      <w:r>
        <w:rPr>
          <w:sz w:val="24"/>
        </w:rPr>
        <w:t>Vue</w:t>
      </w:r>
      <w:r>
        <w:rPr>
          <w:rFonts w:hint="eastAsia"/>
          <w:sz w:val="24"/>
        </w:rPr>
        <w:t xml:space="preserve"> 2的基础上引入了组合式</w:t>
      </w:r>
      <w:r>
        <w:rPr>
          <w:sz w:val="24"/>
        </w:rPr>
        <w:t>API</w:t>
      </w:r>
      <w:r>
        <w:rPr>
          <w:rFonts w:hint="eastAsia"/>
          <w:sz w:val="24"/>
        </w:rPr>
        <w:t>、更好的</w:t>
      </w:r>
      <w:r>
        <w:rPr>
          <w:sz w:val="24"/>
        </w:rPr>
        <w:t>TypeScript</w:t>
      </w:r>
      <w:r>
        <w:rPr>
          <w:rFonts w:hint="eastAsia"/>
          <w:sz w:val="24"/>
        </w:rPr>
        <w:t>支持和基于</w:t>
      </w:r>
      <w:r>
        <w:rPr>
          <w:sz w:val="24"/>
        </w:rPr>
        <w:t>Proxy</w:t>
      </w:r>
      <w:r>
        <w:rPr>
          <w:rFonts w:hint="eastAsia"/>
          <w:sz w:val="24"/>
        </w:rPr>
        <w:t>的响应式系统。</w:t>
      </w:r>
    </w:p>
    <w:p w14:paraId="696507F7">
      <w:pPr>
        <w:spacing w:line="400" w:lineRule="exact"/>
        <w:ind w:firstLine="480" w:firstLineChars="200"/>
        <w:rPr>
          <w:sz w:val="24"/>
        </w:rPr>
      </w:pPr>
      <w:r>
        <w:rPr>
          <w:rFonts w:hint="eastAsia"/>
          <w:sz w:val="24"/>
        </w:rPr>
        <w:t>笔者通过组合式</w:t>
      </w:r>
      <w:r>
        <w:rPr>
          <w:sz w:val="24"/>
        </w:rPr>
        <w:t>API</w:t>
      </w:r>
      <w:r>
        <w:rPr>
          <w:rFonts w:hint="eastAsia"/>
          <w:sz w:val="24"/>
        </w:rPr>
        <w:t>能够将组件按照功能的逻辑组织，而可以不用依赖程序的生命周期，这提高了代码的复用性和可维护性。在性能上，</w:t>
      </w:r>
      <w:r>
        <w:rPr>
          <w:sz w:val="24"/>
        </w:rPr>
        <w:t>Vue</w:t>
      </w:r>
      <w:r>
        <w:rPr>
          <w:rFonts w:hint="eastAsia"/>
          <w:sz w:val="24"/>
        </w:rPr>
        <w:t>3基于</w:t>
      </w:r>
      <w:r>
        <w:rPr>
          <w:sz w:val="24"/>
        </w:rPr>
        <w:t>Proxy</w:t>
      </w:r>
      <w:r>
        <w:rPr>
          <w:rFonts w:hint="eastAsia"/>
          <w:sz w:val="24"/>
        </w:rPr>
        <w:t>的响应式架构明显优于</w:t>
      </w:r>
      <w:r>
        <w:rPr>
          <w:sz w:val="24"/>
        </w:rPr>
        <w:t>Vue</w:t>
      </w:r>
      <w:r>
        <w:rPr>
          <w:rFonts w:hint="eastAsia"/>
          <w:sz w:val="24"/>
        </w:rPr>
        <w:t xml:space="preserve"> 2使用</w:t>
      </w:r>
      <w:r>
        <w:rPr>
          <w:sz w:val="24"/>
        </w:rPr>
        <w:t>Object</w:t>
      </w:r>
      <w:r>
        <w:rPr>
          <w:rFonts w:hint="eastAsia"/>
          <w:sz w:val="24"/>
        </w:rPr>
        <w:t>.</w:t>
      </w:r>
      <w:r>
        <w:rPr>
          <w:sz w:val="24"/>
        </w:rPr>
        <w:t>defineProperty</w:t>
      </w:r>
      <w:r>
        <w:rPr>
          <w:rFonts w:hint="eastAsia"/>
          <w:sz w:val="24"/>
        </w:rPr>
        <w:t>实现的方案，尤其是在数据量与日俱增的场景下，</w:t>
      </w:r>
      <w:r>
        <w:rPr>
          <w:sz w:val="24"/>
        </w:rPr>
        <w:t>Vue</w:t>
      </w:r>
      <w:r>
        <w:rPr>
          <w:rFonts w:hint="eastAsia"/>
          <w:sz w:val="24"/>
        </w:rPr>
        <w:t>3的响应速度更具备优势。所以，本系统的前端界面基于</w:t>
      </w:r>
      <w:r>
        <w:rPr>
          <w:sz w:val="24"/>
        </w:rPr>
        <w:t>Vue</w:t>
      </w:r>
      <w:r>
        <w:rPr>
          <w:rFonts w:hint="eastAsia"/>
          <w:sz w:val="24"/>
        </w:rPr>
        <w:t xml:space="preserve"> 3构建，配合</w:t>
      </w:r>
      <w:r>
        <w:rPr>
          <w:sz w:val="24"/>
        </w:rPr>
        <w:t>Element</w:t>
      </w:r>
      <w:r>
        <w:rPr>
          <w:rFonts w:hint="eastAsia"/>
          <w:sz w:val="24"/>
        </w:rPr>
        <w:t xml:space="preserve"> </w:t>
      </w:r>
      <w:r>
        <w:rPr>
          <w:sz w:val="24"/>
        </w:rPr>
        <w:t>Plus</w:t>
      </w:r>
      <w:r>
        <w:rPr>
          <w:rFonts w:hint="eastAsia"/>
          <w:sz w:val="24"/>
        </w:rPr>
        <w:t>组件库和</w:t>
      </w:r>
      <w:r>
        <w:rPr>
          <w:sz w:val="24"/>
        </w:rPr>
        <w:t>ECharts</w:t>
      </w:r>
      <w:r>
        <w:rPr>
          <w:rFonts w:hint="eastAsia"/>
          <w:sz w:val="24"/>
        </w:rPr>
        <w:t>图表库完成交易所布局与股票数据可视化。</w:t>
      </w:r>
    </w:p>
    <w:p w14:paraId="63EF8B99">
      <w:pPr>
        <w:pStyle w:val="11"/>
        <w:spacing w:line="400" w:lineRule="exact"/>
        <w:outlineLvl w:val="1"/>
        <w:rPr>
          <w:rFonts w:ascii="黑体" w:eastAsia="黑体"/>
          <w:sz w:val="30"/>
        </w:rPr>
      </w:pPr>
      <w:bookmarkStart w:id="12" w:name="_Toc31136"/>
      <w:r>
        <w:rPr>
          <w:rFonts w:hint="eastAsia" w:ascii="黑体" w:eastAsia="黑体"/>
          <w:sz w:val="30"/>
        </w:rPr>
        <w:t xml:space="preserve">2.2 </w:t>
      </w:r>
      <w:r>
        <w:rPr>
          <w:rFonts w:ascii="Times New Roman" w:hAnsi="Times New Roman" w:eastAsia="黑体"/>
          <w:sz w:val="24"/>
        </w:rPr>
        <w:t>Alpha</w:t>
      </w:r>
      <w:r>
        <w:rPr>
          <w:rFonts w:hint="eastAsia" w:ascii="黑体" w:eastAsia="黑体"/>
          <w:sz w:val="30"/>
        </w:rPr>
        <w:t xml:space="preserve"> </w:t>
      </w:r>
      <w:r>
        <w:rPr>
          <w:rFonts w:ascii="Times New Roman" w:hAnsi="Times New Roman" w:eastAsia="黑体"/>
          <w:sz w:val="24"/>
        </w:rPr>
        <w:t>Vantage</w:t>
      </w:r>
      <w:r>
        <w:rPr>
          <w:rFonts w:hint="eastAsia" w:ascii="黑体" w:eastAsia="黑体"/>
          <w:sz w:val="30"/>
        </w:rPr>
        <w:t>金融数据</w:t>
      </w:r>
      <w:r>
        <w:rPr>
          <w:rFonts w:ascii="Times New Roman" w:hAnsi="Times New Roman" w:eastAsia="黑体"/>
          <w:sz w:val="24"/>
        </w:rPr>
        <w:t>API</w:t>
      </w:r>
      <w:bookmarkEnd w:id="12"/>
    </w:p>
    <w:p w14:paraId="77CB4E49">
      <w:pPr>
        <w:spacing w:line="400" w:lineRule="exact"/>
        <w:ind w:firstLine="480" w:firstLineChars="200"/>
        <w:rPr>
          <w:sz w:val="24"/>
        </w:rPr>
      </w:pPr>
      <w:r>
        <w:rPr>
          <w:sz w:val="24"/>
        </w:rPr>
        <w:t>Alpha</w:t>
      </w:r>
      <w:r>
        <w:rPr>
          <w:rFonts w:hint="eastAsia"/>
          <w:sz w:val="24"/>
        </w:rPr>
        <w:t xml:space="preserve"> </w:t>
      </w:r>
      <w:r>
        <w:rPr>
          <w:sz w:val="24"/>
        </w:rPr>
        <w:t>Vantage</w:t>
      </w:r>
      <w:r>
        <w:rPr>
          <w:rFonts w:hint="eastAsia"/>
          <w:sz w:val="24"/>
        </w:rPr>
        <w:t>是一个提供免费金融数据服务的</w:t>
      </w:r>
      <w:r>
        <w:rPr>
          <w:sz w:val="24"/>
        </w:rPr>
        <w:t>API</w:t>
      </w:r>
      <w:r>
        <w:rPr>
          <w:rFonts w:hint="eastAsia"/>
          <w:sz w:val="24"/>
        </w:rPr>
        <w:t>平台，由</w:t>
      </w:r>
      <w:r>
        <w:rPr>
          <w:sz w:val="24"/>
        </w:rPr>
        <w:t>Y</w:t>
      </w:r>
      <w:r>
        <w:rPr>
          <w:rFonts w:hint="eastAsia"/>
          <w:sz w:val="24"/>
        </w:rPr>
        <w:t xml:space="preserve"> </w:t>
      </w:r>
      <w:r>
        <w:rPr>
          <w:sz w:val="24"/>
        </w:rPr>
        <w:t>Combinator</w:t>
      </w:r>
      <w:r>
        <w:rPr>
          <w:rFonts w:hint="eastAsia"/>
          <w:sz w:val="24"/>
        </w:rPr>
        <w:t>孵化</w:t>
      </w:r>
      <w:r>
        <w:rPr>
          <w:rFonts w:hint="eastAsia"/>
          <w:sz w:val="24"/>
          <w:vertAlign w:val="superscript"/>
        </w:rPr>
        <w:t>[</w:t>
      </w:r>
      <w:r>
        <w:rPr>
          <w:sz w:val="24"/>
          <w:vertAlign w:val="superscript"/>
          <w:lang w:val="en-IE"/>
        </w:rPr>
        <w:t>13</w:t>
      </w:r>
      <w:r>
        <w:rPr>
          <w:rFonts w:hint="eastAsia"/>
          <w:sz w:val="24"/>
          <w:vertAlign w:val="superscript"/>
        </w:rPr>
        <w:t>]</w:t>
      </w:r>
      <w:r>
        <w:rPr>
          <w:rFonts w:hint="eastAsia"/>
          <w:sz w:val="24"/>
        </w:rPr>
        <w:t>。该</w:t>
      </w:r>
      <w:r>
        <w:rPr>
          <w:sz w:val="24"/>
        </w:rPr>
        <w:t>API</w:t>
      </w:r>
      <w:r>
        <w:rPr>
          <w:rFonts w:hint="eastAsia"/>
          <w:sz w:val="24"/>
        </w:rPr>
        <w:t>提供股票、外汇和加密货币等金融资产的价格信息，支持实时报价、历史</w:t>
      </w:r>
      <w:r>
        <w:rPr>
          <w:sz w:val="24"/>
        </w:rPr>
        <w:t>K</w:t>
      </w:r>
      <w:r>
        <w:rPr>
          <w:rFonts w:hint="eastAsia"/>
          <w:sz w:val="24"/>
        </w:rPr>
        <w:t>线以及近百种技术指标。</w:t>
      </w:r>
    </w:p>
    <w:p w14:paraId="4D874154">
      <w:pPr>
        <w:spacing w:line="400" w:lineRule="exact"/>
        <w:ind w:firstLine="480" w:firstLineChars="200"/>
        <w:rPr>
          <w:sz w:val="24"/>
        </w:rPr>
      </w:pPr>
      <w:r>
        <w:rPr>
          <w:rFonts w:hint="eastAsia"/>
          <w:sz w:val="24"/>
        </w:rPr>
        <w:t>笔者调用</w:t>
      </w:r>
      <w:r>
        <w:rPr>
          <w:sz w:val="24"/>
        </w:rPr>
        <w:t>Alpha</w:t>
      </w:r>
      <w:r>
        <w:rPr>
          <w:rFonts w:hint="eastAsia"/>
          <w:sz w:val="24"/>
        </w:rPr>
        <w:t xml:space="preserve"> </w:t>
      </w:r>
      <w:r>
        <w:rPr>
          <w:sz w:val="24"/>
        </w:rPr>
        <w:t>Vantage</w:t>
      </w:r>
      <w:r>
        <w:rPr>
          <w:rFonts w:hint="eastAsia"/>
          <w:sz w:val="24"/>
        </w:rPr>
        <w:t>的</w:t>
      </w:r>
      <w:r>
        <w:rPr>
          <w:sz w:val="24"/>
        </w:rPr>
        <w:t>API</w:t>
      </w:r>
      <w:r>
        <w:rPr>
          <w:rFonts w:hint="eastAsia"/>
          <w:sz w:val="24"/>
        </w:rPr>
        <w:t>为</w:t>
      </w:r>
      <w:r>
        <w:rPr>
          <w:sz w:val="24"/>
        </w:rPr>
        <w:t>RESTful</w:t>
      </w:r>
      <w:r>
        <w:rPr>
          <w:rFonts w:hint="eastAsia"/>
          <w:sz w:val="24"/>
        </w:rPr>
        <w:t>风格，调用方式为</w:t>
      </w:r>
      <w:r>
        <w:rPr>
          <w:sz w:val="24"/>
        </w:rPr>
        <w:t>HTTP</w:t>
      </w:r>
      <w:r>
        <w:rPr>
          <w:rFonts w:hint="eastAsia"/>
          <w:sz w:val="24"/>
        </w:rPr>
        <w:t xml:space="preserve"> </w:t>
      </w:r>
      <w:r>
        <w:rPr>
          <w:sz w:val="24"/>
        </w:rPr>
        <w:t>GET</w:t>
      </w:r>
      <w:r>
        <w:rPr>
          <w:rFonts w:hint="eastAsia"/>
          <w:sz w:val="24"/>
        </w:rPr>
        <w:t>请求，基础</w:t>
      </w:r>
      <w:r>
        <w:rPr>
          <w:sz w:val="24"/>
        </w:rPr>
        <w:t>URL</w:t>
      </w:r>
      <w:r>
        <w:rPr>
          <w:rFonts w:hint="eastAsia"/>
          <w:sz w:val="24"/>
        </w:rPr>
        <w:t>为</w:t>
      </w:r>
      <w:r>
        <w:rPr>
          <w:sz w:val="24"/>
        </w:rPr>
        <w:t>https</w:t>
      </w:r>
      <w:r>
        <w:rPr>
          <w:rFonts w:hint="eastAsia"/>
          <w:sz w:val="24"/>
        </w:rPr>
        <w:t>://</w:t>
      </w:r>
      <w:r>
        <w:rPr>
          <w:sz w:val="24"/>
        </w:rPr>
        <w:t>www</w:t>
      </w:r>
      <w:r>
        <w:rPr>
          <w:rFonts w:hint="eastAsia"/>
          <w:sz w:val="24"/>
        </w:rPr>
        <w:t>.</w:t>
      </w:r>
      <w:r>
        <w:rPr>
          <w:sz w:val="24"/>
        </w:rPr>
        <w:t>alphavantage</w:t>
      </w:r>
      <w:r>
        <w:rPr>
          <w:rFonts w:hint="eastAsia"/>
          <w:sz w:val="24"/>
        </w:rPr>
        <w:t>.</w:t>
      </w:r>
      <w:r>
        <w:rPr>
          <w:sz w:val="24"/>
        </w:rPr>
        <w:t>co</w:t>
      </w:r>
      <w:r>
        <w:rPr>
          <w:rFonts w:hint="eastAsia"/>
          <w:sz w:val="24"/>
        </w:rPr>
        <w:t>/</w:t>
      </w:r>
      <w:r>
        <w:rPr>
          <w:sz w:val="24"/>
        </w:rPr>
        <w:t>query</w:t>
      </w:r>
      <w:r>
        <w:rPr>
          <w:rFonts w:hint="eastAsia"/>
          <w:sz w:val="24"/>
        </w:rPr>
        <w:t>。请求参数主要包括</w:t>
      </w:r>
      <w:r>
        <w:rPr>
          <w:sz w:val="24"/>
        </w:rPr>
        <w:t>function</w:t>
      </w:r>
      <w:r>
        <w:rPr>
          <w:rFonts w:hint="eastAsia"/>
          <w:sz w:val="24"/>
        </w:rPr>
        <w:t>（指定数据类型，如</w:t>
      </w:r>
      <w:r>
        <w:rPr>
          <w:sz w:val="24"/>
        </w:rPr>
        <w:t>TIME</w:t>
      </w:r>
      <w:r>
        <w:rPr>
          <w:rFonts w:hint="eastAsia"/>
          <w:sz w:val="24"/>
        </w:rPr>
        <w:t>_</w:t>
      </w:r>
      <w:r>
        <w:rPr>
          <w:sz w:val="24"/>
        </w:rPr>
        <w:t>SERIES</w:t>
      </w:r>
      <w:r>
        <w:rPr>
          <w:rFonts w:hint="eastAsia"/>
          <w:sz w:val="24"/>
        </w:rPr>
        <w:t>_</w:t>
      </w:r>
      <w:r>
        <w:rPr>
          <w:sz w:val="24"/>
        </w:rPr>
        <w:t>DAILY</w:t>
      </w:r>
      <w:r>
        <w:rPr>
          <w:rFonts w:hint="eastAsia"/>
          <w:sz w:val="24"/>
        </w:rPr>
        <w:t>表示日线数据）、</w:t>
      </w:r>
      <w:r>
        <w:rPr>
          <w:sz w:val="24"/>
        </w:rPr>
        <w:t>symbol</w:t>
      </w:r>
      <w:r>
        <w:rPr>
          <w:rFonts w:hint="eastAsia"/>
          <w:sz w:val="24"/>
        </w:rPr>
        <w:t>（股票代码）和</w:t>
      </w:r>
      <w:r>
        <w:rPr>
          <w:sz w:val="24"/>
        </w:rPr>
        <w:t>apikey</w:t>
      </w:r>
      <w:r>
        <w:rPr>
          <w:rFonts w:hint="eastAsia"/>
          <w:sz w:val="24"/>
        </w:rPr>
        <w:t>（用户身份凭证），笔者阅读接入文档后，处理返回的</w:t>
      </w:r>
      <w:r>
        <w:rPr>
          <w:sz w:val="24"/>
        </w:rPr>
        <w:t>JSON</w:t>
      </w:r>
      <w:r>
        <w:rPr>
          <w:rFonts w:hint="eastAsia"/>
          <w:sz w:val="24"/>
        </w:rPr>
        <w:t>格式数据。</w:t>
      </w:r>
    </w:p>
    <w:p w14:paraId="58E20244">
      <w:pPr>
        <w:spacing w:line="400" w:lineRule="exact"/>
        <w:ind w:firstLine="480" w:firstLineChars="200"/>
        <w:rPr>
          <w:sz w:val="24"/>
        </w:rPr>
      </w:pPr>
      <w:r>
        <w:rPr>
          <w:rFonts w:hint="eastAsia"/>
          <w:sz w:val="24"/>
        </w:rPr>
        <w:t>考虑到本系统并未商用，所以笔者选择了接入免费的</w:t>
      </w:r>
      <w:r>
        <w:rPr>
          <w:sz w:val="24"/>
        </w:rPr>
        <w:t>API</w:t>
      </w:r>
      <w:r>
        <w:rPr>
          <w:rFonts w:hint="eastAsia"/>
          <w:sz w:val="24"/>
        </w:rPr>
        <w:t>，因其存在调用频率和日调用总量的限制，笔者还设计了一套数据缓存策略，来降低使用数据</w:t>
      </w:r>
      <w:r>
        <w:rPr>
          <w:sz w:val="24"/>
        </w:rPr>
        <w:t>API</w:t>
      </w:r>
      <w:r>
        <w:rPr>
          <w:rFonts w:hint="eastAsia"/>
          <w:sz w:val="24"/>
        </w:rPr>
        <w:t>的频率，这将在后文详细介绍。</w:t>
      </w:r>
    </w:p>
    <w:p w14:paraId="717DC0DE">
      <w:pPr>
        <w:pStyle w:val="11"/>
        <w:spacing w:line="400" w:lineRule="exact"/>
        <w:outlineLvl w:val="1"/>
        <w:rPr>
          <w:rFonts w:ascii="黑体" w:eastAsia="黑体"/>
          <w:sz w:val="30"/>
        </w:rPr>
      </w:pPr>
      <w:bookmarkStart w:id="13" w:name="_Toc16986"/>
      <w:r>
        <w:rPr>
          <w:rFonts w:hint="eastAsia" w:ascii="黑体" w:eastAsia="黑体"/>
          <w:sz w:val="30"/>
        </w:rPr>
        <w:t xml:space="preserve">2.3 </w:t>
      </w:r>
      <w:r>
        <w:rPr>
          <w:rFonts w:ascii="Times New Roman" w:hAnsi="Times New Roman" w:eastAsia="黑体"/>
          <w:sz w:val="24"/>
        </w:rPr>
        <w:t>LangChain</w:t>
      </w:r>
      <w:r>
        <w:rPr>
          <w:rFonts w:hint="eastAsia" w:ascii="黑体" w:eastAsia="黑体"/>
          <w:sz w:val="30"/>
        </w:rPr>
        <w:t>4</w:t>
      </w:r>
      <w:r>
        <w:rPr>
          <w:rFonts w:ascii="Times New Roman" w:hAnsi="Times New Roman" w:eastAsia="黑体"/>
          <w:sz w:val="24"/>
        </w:rPr>
        <w:t>j</w:t>
      </w:r>
      <w:r>
        <w:rPr>
          <w:rFonts w:hint="eastAsia" w:ascii="黑体" w:eastAsia="黑体"/>
          <w:sz w:val="30"/>
        </w:rPr>
        <w:t>大模型调用框架</w:t>
      </w:r>
      <w:bookmarkEnd w:id="13"/>
    </w:p>
    <w:p w14:paraId="005D0082">
      <w:pPr>
        <w:spacing w:line="400" w:lineRule="exact"/>
        <w:ind w:firstLine="480" w:firstLineChars="200"/>
        <w:rPr>
          <w:sz w:val="24"/>
        </w:rPr>
      </w:pPr>
      <w:r>
        <w:rPr>
          <w:sz w:val="24"/>
        </w:rPr>
        <w:t>LangChain</w:t>
      </w:r>
      <w:r>
        <w:rPr>
          <w:rFonts w:hint="eastAsia"/>
          <w:sz w:val="24"/>
        </w:rPr>
        <w:t>4</w:t>
      </w:r>
      <w:r>
        <w:rPr>
          <w:sz w:val="24"/>
        </w:rPr>
        <w:t>j</w:t>
      </w:r>
      <w:r>
        <w:rPr>
          <w:rFonts w:hint="eastAsia"/>
          <w:sz w:val="24"/>
        </w:rPr>
        <w:t>是新兴的、结合</w:t>
      </w:r>
      <w:r>
        <w:rPr>
          <w:sz w:val="24"/>
        </w:rPr>
        <w:t>Java</w:t>
      </w:r>
      <w:r>
        <w:rPr>
          <w:rFonts w:hint="eastAsia"/>
          <w:sz w:val="24"/>
        </w:rPr>
        <w:t>生态的</w:t>
      </w:r>
      <w:r>
        <w:rPr>
          <w:sz w:val="24"/>
        </w:rPr>
        <w:t>Agent</w:t>
      </w:r>
      <w:r>
        <w:rPr>
          <w:rFonts w:hint="eastAsia"/>
          <w:sz w:val="24"/>
        </w:rPr>
        <w:t>开发框架</w:t>
      </w:r>
      <w:r>
        <w:rPr>
          <w:rFonts w:hint="eastAsia"/>
          <w:sz w:val="24"/>
          <w:vertAlign w:val="superscript"/>
        </w:rPr>
        <w:t>[1</w:t>
      </w:r>
      <w:r>
        <w:rPr>
          <w:sz w:val="24"/>
          <w:vertAlign w:val="superscript"/>
          <w:lang w:val="en-IE"/>
        </w:rPr>
        <w:t>4</w:t>
      </w:r>
      <w:r>
        <w:rPr>
          <w:rFonts w:hint="eastAsia"/>
          <w:sz w:val="24"/>
          <w:vertAlign w:val="superscript"/>
        </w:rPr>
        <w:t>]</w:t>
      </w:r>
      <w:r>
        <w:rPr>
          <w:rFonts w:hint="eastAsia"/>
          <w:sz w:val="24"/>
        </w:rPr>
        <w:t>，它填补了</w:t>
      </w:r>
      <w:r>
        <w:rPr>
          <w:sz w:val="24"/>
        </w:rPr>
        <w:t>Java</w:t>
      </w:r>
      <w:r>
        <w:rPr>
          <w:rFonts w:hint="eastAsia"/>
          <w:sz w:val="24"/>
        </w:rPr>
        <w:t>-</w:t>
      </w:r>
      <w:r>
        <w:rPr>
          <w:sz w:val="24"/>
        </w:rPr>
        <w:t>Spring</w:t>
      </w:r>
      <w:r>
        <w:rPr>
          <w:rFonts w:hint="eastAsia"/>
          <w:sz w:val="24"/>
        </w:rPr>
        <w:t>生态与</w:t>
      </w:r>
      <w:r>
        <w:rPr>
          <w:sz w:val="24"/>
        </w:rPr>
        <w:t>LLM</w:t>
      </w:r>
      <w:r>
        <w:rPr>
          <w:rFonts w:hint="eastAsia"/>
          <w:sz w:val="24"/>
        </w:rPr>
        <w:t>生态之间的适配缺口，它的核心目的是让开发者能够用符合</w:t>
      </w:r>
      <w:r>
        <w:rPr>
          <w:sz w:val="24"/>
        </w:rPr>
        <w:t>Java</w:t>
      </w:r>
      <w:r>
        <w:rPr>
          <w:rFonts w:hint="eastAsia"/>
          <w:sz w:val="24"/>
        </w:rPr>
        <w:t>习惯的方式在程序中集成</w:t>
      </w:r>
      <w:r>
        <w:rPr>
          <w:sz w:val="24"/>
        </w:rPr>
        <w:t>LLM</w:t>
      </w:r>
      <w:r>
        <w:rPr>
          <w:rFonts w:hint="eastAsia"/>
          <w:sz w:val="24"/>
        </w:rPr>
        <w:t>的推理能力。在该框架下，笔者就避免了冗杂的</w:t>
      </w:r>
      <w:r>
        <w:rPr>
          <w:sz w:val="24"/>
        </w:rPr>
        <w:t>HTTP</w:t>
      </w:r>
      <w:r>
        <w:rPr>
          <w:rFonts w:hint="eastAsia"/>
          <w:sz w:val="24"/>
        </w:rPr>
        <w:t>调用、</w:t>
      </w:r>
      <w:r>
        <w:rPr>
          <w:sz w:val="24"/>
        </w:rPr>
        <w:t>JSON</w:t>
      </w:r>
      <w:r>
        <w:rPr>
          <w:rFonts w:hint="eastAsia"/>
          <w:sz w:val="24"/>
        </w:rPr>
        <w:t>解析和手动管理对话上下文等繁琐易错的细节。</w:t>
      </w:r>
    </w:p>
    <w:p w14:paraId="0AE93872">
      <w:pPr>
        <w:spacing w:line="400" w:lineRule="exact"/>
        <w:ind w:firstLine="480" w:firstLineChars="200"/>
        <w:rPr>
          <w:sz w:val="24"/>
        </w:rPr>
      </w:pPr>
      <w:r>
        <w:rPr>
          <w:sz w:val="24"/>
        </w:rPr>
        <w:t>LangChain</w:t>
      </w:r>
      <w:r>
        <w:rPr>
          <w:rFonts w:hint="eastAsia"/>
          <w:sz w:val="24"/>
        </w:rPr>
        <w:t>4</w:t>
      </w:r>
      <w:r>
        <w:rPr>
          <w:sz w:val="24"/>
        </w:rPr>
        <w:t>j</w:t>
      </w:r>
      <w:r>
        <w:rPr>
          <w:rFonts w:hint="eastAsia"/>
          <w:sz w:val="24"/>
        </w:rPr>
        <w:t>提供了一系列功能，其中与本系统最相关的两个概念是@</w:t>
      </w:r>
      <w:r>
        <w:rPr>
          <w:sz w:val="24"/>
        </w:rPr>
        <w:t>Tool</w:t>
      </w:r>
      <w:r>
        <w:rPr>
          <w:rFonts w:hint="eastAsia"/>
          <w:sz w:val="24"/>
        </w:rPr>
        <w:t>注解和</w:t>
      </w:r>
      <w:r>
        <w:rPr>
          <w:sz w:val="24"/>
        </w:rPr>
        <w:t>AiServices</w:t>
      </w:r>
      <w:r>
        <w:rPr>
          <w:rFonts w:hint="eastAsia"/>
          <w:sz w:val="24"/>
        </w:rPr>
        <w:t>代理。</w:t>
      </w:r>
    </w:p>
    <w:p w14:paraId="30273041">
      <w:pPr>
        <w:spacing w:line="400" w:lineRule="exact"/>
        <w:outlineLvl w:val="2"/>
        <w:rPr>
          <w:rFonts w:hint="eastAsia" w:ascii="黑体" w:hAnsi="黑体" w:eastAsia="黑体" w:cs="黑体"/>
          <w:sz w:val="28"/>
          <w:szCs w:val="28"/>
        </w:rPr>
      </w:pPr>
      <w:bookmarkStart w:id="14" w:name="_Toc1418"/>
      <w:r>
        <w:rPr>
          <w:rFonts w:hint="eastAsia" w:ascii="黑体" w:hAnsi="黑体" w:eastAsia="黑体" w:cs="黑体"/>
          <w:sz w:val="28"/>
          <w:szCs w:val="28"/>
        </w:rPr>
        <w:t>2.3.1 @</w:t>
      </w:r>
      <w:r>
        <w:rPr>
          <w:rFonts w:eastAsia="黑体"/>
          <w:sz w:val="24"/>
        </w:rPr>
        <w:t>Tool</w:t>
      </w:r>
      <w:r>
        <w:rPr>
          <w:rFonts w:hint="eastAsia" w:ascii="黑体" w:hAnsi="黑体" w:eastAsia="黑体" w:cs="黑体"/>
          <w:sz w:val="28"/>
          <w:szCs w:val="28"/>
        </w:rPr>
        <w:t>注解</w:t>
      </w:r>
      <w:bookmarkEnd w:id="14"/>
    </w:p>
    <w:p w14:paraId="6A72F05D">
      <w:pPr>
        <w:spacing w:line="400" w:lineRule="exact"/>
        <w:ind w:firstLine="480" w:firstLineChars="200"/>
        <w:rPr>
          <w:sz w:val="24"/>
        </w:rPr>
      </w:pPr>
      <w:r>
        <w:rPr>
          <w:sz w:val="24"/>
        </w:rPr>
        <w:t>Tool</w:t>
      </w:r>
      <w:r>
        <w:rPr>
          <w:rFonts w:hint="eastAsia"/>
          <w:sz w:val="24"/>
        </w:rPr>
        <w:t>注解可以将普通的</w:t>
      </w:r>
      <w:r>
        <w:rPr>
          <w:sz w:val="24"/>
        </w:rPr>
        <w:t>Java</w:t>
      </w:r>
      <w:r>
        <w:rPr>
          <w:rFonts w:hint="eastAsia"/>
          <w:sz w:val="24"/>
        </w:rPr>
        <w:t>方法标注为可供大模型调用的工具。框架在启动时会通过反射获取</w:t>
      </w:r>
      <w:r>
        <w:rPr>
          <w:sz w:val="24"/>
        </w:rPr>
        <w:t>Java</w:t>
      </w:r>
      <w:r>
        <w:rPr>
          <w:rFonts w:hint="eastAsia"/>
          <w:sz w:val="24"/>
        </w:rPr>
        <w:t>方法的元信息，包括方法名、参数列表和参数名称，并将方法信息转换为大模型可以理解的自然语言。调用大模型时，这些工具描述会随提示词一同发送，这时候，模型在进行推理后，判断是否调用某个工具，并在响应中返回调用指令。框架拦截调用信息（方法名、参数信息等）后，反射执行对应的</w:t>
      </w:r>
      <w:r>
        <w:rPr>
          <w:sz w:val="24"/>
        </w:rPr>
        <w:t>Java</w:t>
      </w:r>
      <w:r>
        <w:rPr>
          <w:rFonts w:hint="eastAsia"/>
          <w:sz w:val="24"/>
        </w:rPr>
        <w:t>方法，并将返回值反馈给模型以生成最终回复。</w:t>
      </w:r>
    </w:p>
    <w:p w14:paraId="567C0AAB">
      <w:pPr>
        <w:spacing w:line="400" w:lineRule="exact"/>
        <w:ind w:firstLine="480" w:firstLineChars="200"/>
        <w:rPr>
          <w:sz w:val="24"/>
        </w:rPr>
      </w:pPr>
      <w:r>
        <w:rPr>
          <w:rFonts w:hint="eastAsia"/>
          <w:sz w:val="24"/>
        </w:rPr>
        <w:t>笔者在</w:t>
      </w:r>
      <w:r>
        <w:rPr>
          <w:sz w:val="24"/>
        </w:rPr>
        <w:t>Tool</w:t>
      </w:r>
      <w:r>
        <w:rPr>
          <w:rFonts w:hint="eastAsia"/>
          <w:sz w:val="24"/>
        </w:rPr>
        <w:t>注解中填入了交易所买卖的功能描述，大模型会依据该描述判断应该传入哪些参数，这将直接影响工具调用的结果，具体的使用如下</w:t>
      </w:r>
    </w:p>
    <w:p w14:paraId="6FB23369">
      <w:pPr>
        <w:widowControl/>
        <w:shd w:val="clear" w:color="auto" w:fill="F8F8F8"/>
        <w:jc w:val="left"/>
        <w:rPr>
          <w:rFonts w:ascii="Consolas" w:hAnsi="Consolas" w:eastAsia="Consolas" w:cs="Consolas"/>
          <w:color w:val="4078F2"/>
          <w:kern w:val="0"/>
          <w:szCs w:val="21"/>
          <w:shd w:val="clear" w:color="auto" w:fill="FAFAFA"/>
          <w:lang w:bidi="ar"/>
        </w:rPr>
      </w:pPr>
      <w:r>
        <w:rPr>
          <w:rFonts w:ascii="Consolas" w:hAnsi="Consolas" w:eastAsia="Consolas" w:cs="Consolas"/>
          <w:color w:val="986801"/>
          <w:kern w:val="0"/>
          <w:szCs w:val="21"/>
          <w:shd w:val="clear" w:color="auto" w:fill="F8F8F8"/>
          <w:lang w:bidi="ar"/>
        </w:rPr>
        <w:t>@Tool(</w:t>
      </w:r>
      <w:r>
        <w:rPr>
          <w:rFonts w:ascii="Consolas" w:hAnsi="Consolas" w:eastAsia="Consolas" w:cs="Consolas"/>
          <w:color w:val="50A14F"/>
          <w:kern w:val="0"/>
          <w:szCs w:val="21"/>
          <w:shd w:val="clear" w:color="auto" w:fill="FAFAFA"/>
          <w:lang w:bidi="ar"/>
        </w:rPr>
        <w:t>"买入指定股票。symbol为股票代码，amount为买入股数。"</w:t>
      </w:r>
      <w:r>
        <w:rPr>
          <w:rFonts w:ascii="Consolas" w:hAnsi="Consolas" w:eastAsia="Consolas" w:cs="Consolas"/>
          <w:color w:val="986801"/>
          <w:kern w:val="0"/>
          <w:szCs w:val="21"/>
          <w:shd w:val="clear" w:color="auto" w:fill="F8F8F8"/>
          <w:lang w:bidi="ar"/>
        </w:rPr>
        <w:t>)</w:t>
      </w:r>
    </w:p>
    <w:p w14:paraId="226B3590">
      <w:pPr>
        <w:widowControl/>
        <w:shd w:val="clear" w:color="auto" w:fill="F8F8F8"/>
        <w:jc w:val="left"/>
        <w:rPr>
          <w:rFonts w:ascii="Consolas" w:hAnsi="Consolas" w:eastAsia="Consolas" w:cs="Consolas"/>
          <w:color w:val="383A42"/>
          <w:szCs w:val="21"/>
        </w:rPr>
      </w:pPr>
      <w:r>
        <w:rPr>
          <w:rFonts w:ascii="Consolas" w:hAnsi="Consolas" w:eastAsia="Consolas" w:cs="Consolas"/>
          <w:color w:val="A626A4"/>
          <w:kern w:val="0"/>
          <w:szCs w:val="21"/>
          <w:shd w:val="clear" w:color="auto" w:fill="F8F8F8"/>
          <w:lang w:bidi="ar"/>
        </w:rPr>
        <w:t>public</w:t>
      </w:r>
      <w:r>
        <w:rPr>
          <w:rFonts w:ascii="Consolas" w:hAnsi="Consolas" w:eastAsia="Consolas" w:cs="Consolas"/>
          <w:color w:val="383A42"/>
          <w:kern w:val="0"/>
          <w:szCs w:val="21"/>
          <w:shd w:val="clear" w:color="auto" w:fill="F8F8F8"/>
          <w:lang w:bidi="ar"/>
        </w:rPr>
        <w:t> Boolean buy(Integer </w:t>
      </w:r>
      <w:r>
        <w:rPr>
          <w:rFonts w:hint="eastAsia" w:ascii="Consolas" w:hAnsi="Consolas" w:eastAsia="Consolas" w:cs="Consolas"/>
          <w:color w:val="383A42"/>
          <w:kern w:val="0"/>
          <w:szCs w:val="21"/>
          <w:shd w:val="clear" w:color="auto" w:fill="F8F8F8"/>
          <w:lang w:bidi="ar"/>
        </w:rPr>
        <w:t>amount</w:t>
      </w:r>
      <w:r>
        <w:rPr>
          <w:rFonts w:ascii="Consolas" w:hAnsi="Consolas" w:eastAsia="Consolas" w:cs="Consolas"/>
          <w:color w:val="383A42"/>
          <w:kern w:val="0"/>
          <w:szCs w:val="21"/>
          <w:shd w:val="clear" w:color="auto" w:fill="F8F8F8"/>
          <w:lang w:bidi="ar"/>
        </w:rPr>
        <w:t>, String </w:t>
      </w:r>
      <w:r>
        <w:rPr>
          <w:rFonts w:hint="eastAsia" w:ascii="Consolas" w:hAnsi="Consolas" w:eastAsia="Consolas" w:cs="Consolas"/>
          <w:color w:val="383A42"/>
          <w:kern w:val="0"/>
          <w:szCs w:val="21"/>
          <w:shd w:val="clear" w:color="auto" w:fill="F8F8F8"/>
          <w:lang w:bidi="ar"/>
        </w:rPr>
        <w:t>symbol</w:t>
      </w:r>
      <w:r>
        <w:rPr>
          <w:rFonts w:ascii="Consolas" w:hAnsi="Consolas" w:eastAsia="Consolas" w:cs="Consolas"/>
          <w:color w:val="383A42"/>
          <w:kern w:val="0"/>
          <w:szCs w:val="21"/>
          <w:shd w:val="clear" w:color="auto" w:fill="F8F8F8"/>
          <w:lang w:bidi="ar"/>
        </w:rPr>
        <w:t>);</w:t>
      </w:r>
    </w:p>
    <w:p w14:paraId="05F296E1">
      <w:pPr>
        <w:spacing w:line="400" w:lineRule="exact"/>
        <w:outlineLvl w:val="2"/>
        <w:rPr>
          <w:rFonts w:hint="eastAsia" w:ascii="黑体" w:hAnsi="黑体" w:eastAsia="黑体" w:cs="黑体"/>
          <w:sz w:val="28"/>
          <w:szCs w:val="28"/>
        </w:rPr>
      </w:pPr>
      <w:bookmarkStart w:id="15" w:name="_Toc24849"/>
      <w:r>
        <w:rPr>
          <w:rFonts w:hint="eastAsia" w:ascii="黑体" w:hAnsi="黑体" w:eastAsia="黑体" w:cs="黑体"/>
          <w:sz w:val="28"/>
          <w:szCs w:val="28"/>
        </w:rPr>
        <w:t xml:space="preserve">2.3.2 </w:t>
      </w:r>
      <w:r>
        <w:rPr>
          <w:rFonts w:eastAsia="黑体"/>
          <w:sz w:val="24"/>
        </w:rPr>
        <w:t>AiServices</w:t>
      </w:r>
      <w:r>
        <w:rPr>
          <w:rFonts w:hint="eastAsia" w:ascii="黑体" w:hAnsi="黑体" w:eastAsia="黑体" w:cs="黑体"/>
          <w:sz w:val="28"/>
          <w:szCs w:val="28"/>
        </w:rPr>
        <w:t>代理机制</w:t>
      </w:r>
      <w:bookmarkEnd w:id="15"/>
    </w:p>
    <w:p w14:paraId="4692E6BE">
      <w:pPr>
        <w:spacing w:line="400" w:lineRule="exact"/>
        <w:ind w:firstLine="480" w:firstLineChars="200"/>
        <w:rPr>
          <w:sz w:val="24"/>
        </w:rPr>
      </w:pPr>
      <w:r>
        <w:rPr>
          <w:sz w:val="24"/>
        </w:rPr>
        <w:t>AiServices</w:t>
      </w:r>
      <w:r>
        <w:rPr>
          <w:rFonts w:hint="eastAsia"/>
          <w:sz w:val="24"/>
        </w:rPr>
        <w:t>是</w:t>
      </w:r>
      <w:r>
        <w:rPr>
          <w:sz w:val="24"/>
        </w:rPr>
        <w:t>LangChain</w:t>
      </w:r>
      <w:r>
        <w:rPr>
          <w:rFonts w:hint="eastAsia"/>
          <w:sz w:val="24"/>
        </w:rPr>
        <w:t>4</w:t>
      </w:r>
      <w:r>
        <w:rPr>
          <w:sz w:val="24"/>
        </w:rPr>
        <w:t>j</w:t>
      </w:r>
      <w:r>
        <w:rPr>
          <w:rFonts w:hint="eastAsia"/>
          <w:sz w:val="24"/>
        </w:rPr>
        <w:t>提供的另一个核心组件，其作用是将大模型封装为动态代理对象。开发者只需定义一个方法接口，通过</w:t>
      </w:r>
      <w:r>
        <w:rPr>
          <w:sz w:val="24"/>
        </w:rPr>
        <w:t>AiServices</w:t>
      </w:r>
      <w:r>
        <w:rPr>
          <w:rFonts w:hint="eastAsia"/>
          <w:sz w:val="24"/>
        </w:rPr>
        <w:t>.</w:t>
      </w:r>
      <w:r>
        <w:rPr>
          <w:sz w:val="24"/>
        </w:rPr>
        <w:t>Builder</w:t>
      </w:r>
      <w:r>
        <w:rPr>
          <w:rFonts w:hint="eastAsia"/>
          <w:sz w:val="24"/>
        </w:rPr>
        <w:t>注入配置后的基础大模型、</w:t>
      </w:r>
      <w:r>
        <w:rPr>
          <w:sz w:val="24"/>
        </w:rPr>
        <w:t>RAG</w:t>
      </w:r>
      <w:r>
        <w:rPr>
          <w:rFonts w:hint="eastAsia"/>
          <w:sz w:val="24"/>
        </w:rPr>
        <w:t>存储、和上文介绍的交易工具等，即可获得该接口的代理对象。</w:t>
      </w:r>
    </w:p>
    <w:p w14:paraId="0CAAD8EC">
      <w:pPr>
        <w:spacing w:line="400" w:lineRule="exact"/>
        <w:ind w:firstLine="480" w:firstLineChars="200"/>
        <w:rPr>
          <w:sz w:val="24"/>
        </w:rPr>
      </w:pPr>
      <w:r>
        <w:rPr>
          <w:rFonts w:hint="eastAsia"/>
          <w:sz w:val="24"/>
        </w:rPr>
        <w:t>开发者调用</w:t>
      </w:r>
      <w:r>
        <w:rPr>
          <w:sz w:val="24"/>
        </w:rPr>
        <w:t>AiServices</w:t>
      </w:r>
      <w:r>
        <w:rPr>
          <w:rFonts w:hint="eastAsia"/>
          <w:sz w:val="24"/>
        </w:rPr>
        <w:t>代理方法时，框架会自动进行提示词构建、请求发送、响应解析以及工具的调用，最终返回大模型输出的结果。这整个复杂的流程对开发者而言，只是一次普通的方法调用，这显著提升了可读性，降低了代码复杂度。</w:t>
      </w:r>
    </w:p>
    <w:p w14:paraId="11509DAB">
      <w:pPr>
        <w:pStyle w:val="11"/>
        <w:spacing w:line="400" w:lineRule="exact"/>
        <w:outlineLvl w:val="1"/>
        <w:rPr>
          <w:rFonts w:ascii="Times New Roman" w:hAnsi="Times New Roman"/>
          <w:sz w:val="24"/>
        </w:rPr>
      </w:pPr>
      <w:bookmarkStart w:id="16" w:name="_Toc10151"/>
      <w:r>
        <w:rPr>
          <w:rFonts w:hint="eastAsia" w:ascii="黑体" w:eastAsia="黑体"/>
          <w:sz w:val="30"/>
        </w:rPr>
        <w:t>2.4 区块链与智能合约相关技术</w:t>
      </w:r>
      <w:bookmarkEnd w:id="16"/>
    </w:p>
    <w:p w14:paraId="5CBD6AFB">
      <w:pPr>
        <w:spacing w:line="400" w:lineRule="exact"/>
        <w:outlineLvl w:val="2"/>
        <w:rPr>
          <w:sz w:val="24"/>
        </w:rPr>
      </w:pPr>
      <w:bookmarkStart w:id="17" w:name="_Toc12054"/>
      <w:r>
        <w:rPr>
          <w:rFonts w:hint="eastAsia" w:ascii="黑体" w:hAnsi="黑体" w:eastAsia="黑体" w:cs="黑体"/>
          <w:sz w:val="28"/>
          <w:szCs w:val="28"/>
        </w:rPr>
        <w:t>2.4.1 以太坊与</w:t>
      </w:r>
      <w:r>
        <w:rPr>
          <w:rFonts w:eastAsia="黑体"/>
          <w:sz w:val="24"/>
        </w:rPr>
        <w:t>ERC</w:t>
      </w:r>
      <w:r>
        <w:rPr>
          <w:rFonts w:hint="eastAsia" w:ascii="黑体" w:hAnsi="黑体" w:eastAsia="黑体" w:cs="黑体"/>
          <w:sz w:val="28"/>
          <w:szCs w:val="28"/>
        </w:rPr>
        <w:t>-20代币标准</w:t>
      </w:r>
      <w:bookmarkEnd w:id="17"/>
    </w:p>
    <w:p w14:paraId="69BE126C">
      <w:pPr>
        <w:spacing w:line="400" w:lineRule="exact"/>
        <w:ind w:firstLine="480" w:firstLineChars="200"/>
        <w:rPr>
          <w:sz w:val="24"/>
        </w:rPr>
      </w:pPr>
      <w:r>
        <w:rPr>
          <w:rFonts w:hint="eastAsia"/>
          <w:sz w:val="24"/>
        </w:rPr>
        <w:t>以太坊是最常用的支持智能合约的公链，开发者可以在其链上部署去中心化的</w:t>
      </w:r>
      <w:r>
        <w:rPr>
          <w:sz w:val="24"/>
        </w:rPr>
        <w:t>DAPP</w:t>
      </w:r>
      <w:r>
        <w:rPr>
          <w:rFonts w:hint="eastAsia"/>
          <w:sz w:val="24"/>
        </w:rPr>
        <w:t>。智能合约就是运行在以太坊虚拟机中的代码，</w:t>
      </w:r>
      <w:r>
        <w:rPr>
          <w:sz w:val="24"/>
        </w:rPr>
        <w:t>Pos</w:t>
      </w:r>
      <w:r>
        <w:rPr>
          <w:rFonts w:hint="eastAsia"/>
          <w:sz w:val="24"/>
        </w:rPr>
        <w:t>共识机制保证其执行结果不被篡改。</w:t>
      </w:r>
    </w:p>
    <w:p w14:paraId="3BD5A103">
      <w:pPr>
        <w:spacing w:line="400" w:lineRule="exact"/>
        <w:ind w:firstLine="480" w:firstLineChars="200"/>
        <w:rPr>
          <w:sz w:val="24"/>
        </w:rPr>
      </w:pPr>
      <w:r>
        <w:rPr>
          <w:rFonts w:hint="eastAsia"/>
          <w:sz w:val="24"/>
        </w:rPr>
        <w:t>而</w:t>
      </w:r>
      <w:r>
        <w:rPr>
          <w:sz w:val="24"/>
        </w:rPr>
        <w:t>ERC</w:t>
      </w:r>
      <w:r>
        <w:rPr>
          <w:rFonts w:hint="eastAsia"/>
          <w:sz w:val="24"/>
        </w:rPr>
        <w:t>-20是以太坊上最广泛使用的代币接口标准</w:t>
      </w:r>
      <w:r>
        <w:rPr>
          <w:rFonts w:hint="eastAsia"/>
          <w:sz w:val="24"/>
          <w:vertAlign w:val="superscript"/>
        </w:rPr>
        <w:t>[1</w:t>
      </w:r>
      <w:r>
        <w:rPr>
          <w:sz w:val="24"/>
          <w:vertAlign w:val="superscript"/>
          <w:lang w:val="en-IE"/>
        </w:rPr>
        <w:t>5</w:t>
      </w:r>
      <w:r>
        <w:rPr>
          <w:rFonts w:hint="eastAsia"/>
          <w:sz w:val="24"/>
          <w:vertAlign w:val="superscript"/>
        </w:rPr>
        <w:t>]</w:t>
      </w:r>
      <w:r>
        <w:rPr>
          <w:rFonts w:hint="eastAsia"/>
          <w:sz w:val="24"/>
        </w:rPr>
        <w:t>，遵循该标准的智能合约都要实现六个方法：</w:t>
      </w:r>
      <w:r>
        <w:rPr>
          <w:sz w:val="24"/>
        </w:rPr>
        <w:t>totalSupply</w:t>
      </w:r>
      <w:r>
        <w:rPr>
          <w:rFonts w:hint="eastAsia"/>
          <w:sz w:val="24"/>
        </w:rPr>
        <w:t>（返回总供应量）、</w:t>
      </w:r>
      <w:r>
        <w:rPr>
          <w:sz w:val="24"/>
        </w:rPr>
        <w:t>balanceOf</w:t>
      </w:r>
      <w:r>
        <w:rPr>
          <w:rFonts w:hint="eastAsia"/>
          <w:sz w:val="24"/>
        </w:rPr>
        <w:t>（查询地址余额）、</w:t>
      </w:r>
      <w:r>
        <w:rPr>
          <w:sz w:val="24"/>
        </w:rPr>
        <w:t>transfer</w:t>
      </w:r>
      <w:r>
        <w:rPr>
          <w:rFonts w:hint="eastAsia"/>
          <w:sz w:val="24"/>
        </w:rPr>
        <w:t>（转账）、</w:t>
      </w:r>
      <w:r>
        <w:rPr>
          <w:sz w:val="24"/>
        </w:rPr>
        <w:t>transferFrom</w:t>
      </w:r>
      <w:r>
        <w:rPr>
          <w:rFonts w:hint="eastAsia"/>
          <w:sz w:val="24"/>
        </w:rPr>
        <w:t>（授权转账）、</w:t>
      </w:r>
      <w:r>
        <w:rPr>
          <w:sz w:val="24"/>
        </w:rPr>
        <w:t>approve</w:t>
      </w:r>
      <w:r>
        <w:rPr>
          <w:rFonts w:hint="eastAsia"/>
          <w:sz w:val="24"/>
        </w:rPr>
        <w:t>（授权额度）和</w:t>
      </w:r>
      <w:r>
        <w:rPr>
          <w:sz w:val="24"/>
        </w:rPr>
        <w:t>allowance</w:t>
      </w:r>
      <w:r>
        <w:rPr>
          <w:rFonts w:hint="eastAsia"/>
          <w:sz w:val="24"/>
        </w:rPr>
        <w:t>（查询授权额度）。这六个接口实现了一个交易单位最基本的交易功能。</w:t>
      </w:r>
    </w:p>
    <w:p w14:paraId="0D8EB986">
      <w:pPr>
        <w:spacing w:line="400" w:lineRule="exact"/>
        <w:ind w:firstLine="480" w:firstLineChars="200"/>
        <w:rPr>
          <w:sz w:val="24"/>
        </w:rPr>
      </w:pPr>
      <w:r>
        <w:rPr>
          <w:rFonts w:hint="eastAsia"/>
          <w:sz w:val="24"/>
        </w:rPr>
        <w:t>统一的接口让各种钱包、交易所和工具能够无缝兼容任何合约，只要它符合</w:t>
      </w:r>
      <w:r>
        <w:rPr>
          <w:sz w:val="24"/>
        </w:rPr>
        <w:t>ERC</w:t>
      </w:r>
      <w:r>
        <w:rPr>
          <w:rFonts w:hint="eastAsia"/>
          <w:sz w:val="24"/>
        </w:rPr>
        <w:t>-20规范。本系统的测试代币也实现了</w:t>
      </w:r>
      <w:r>
        <w:rPr>
          <w:sz w:val="24"/>
        </w:rPr>
        <w:t>OpenZeppelin</w:t>
      </w:r>
      <w:r>
        <w:rPr>
          <w:rFonts w:hint="eastAsia"/>
          <w:sz w:val="24"/>
        </w:rPr>
        <w:t>提供的</w:t>
      </w:r>
      <w:r>
        <w:rPr>
          <w:sz w:val="24"/>
        </w:rPr>
        <w:t>ERC</w:t>
      </w:r>
      <w:r>
        <w:rPr>
          <w:rFonts w:hint="eastAsia"/>
          <w:sz w:val="24"/>
        </w:rPr>
        <w:t>-20标准，暴露给</w:t>
      </w:r>
      <w:r>
        <w:rPr>
          <w:sz w:val="24"/>
        </w:rPr>
        <w:t>AI</w:t>
      </w:r>
      <w:r>
        <w:rPr>
          <w:rFonts w:hint="eastAsia"/>
          <w:sz w:val="24"/>
        </w:rPr>
        <w:t>的买卖工具中，就涉及到测试链上</w:t>
      </w:r>
      <w:r>
        <w:rPr>
          <w:sz w:val="24"/>
        </w:rPr>
        <w:t>ERC</w:t>
      </w:r>
      <w:r>
        <w:rPr>
          <w:rFonts w:hint="eastAsia"/>
          <w:sz w:val="24"/>
        </w:rPr>
        <w:t>-20合约的调用。</w:t>
      </w:r>
    </w:p>
    <w:p w14:paraId="376FFD75">
      <w:pPr>
        <w:spacing w:line="400" w:lineRule="exact"/>
        <w:outlineLvl w:val="2"/>
        <w:rPr>
          <w:rFonts w:hint="eastAsia" w:ascii="黑体" w:hAnsi="黑体" w:eastAsia="黑体" w:cs="黑体"/>
          <w:sz w:val="28"/>
          <w:szCs w:val="28"/>
        </w:rPr>
      </w:pPr>
      <w:bookmarkStart w:id="18" w:name="_Toc4898"/>
      <w:r>
        <w:rPr>
          <w:rFonts w:hint="eastAsia" w:ascii="黑体" w:hAnsi="黑体" w:eastAsia="黑体" w:cs="黑体"/>
          <w:sz w:val="28"/>
          <w:szCs w:val="28"/>
        </w:rPr>
        <w:t xml:space="preserve">2.4.2 </w:t>
      </w:r>
      <w:r>
        <w:rPr>
          <w:rFonts w:eastAsia="黑体"/>
          <w:sz w:val="24"/>
        </w:rPr>
        <w:t>Web</w:t>
      </w:r>
      <w:r>
        <w:rPr>
          <w:rFonts w:hint="eastAsia" w:ascii="黑体" w:hAnsi="黑体" w:eastAsia="黑体" w:cs="黑体"/>
          <w:sz w:val="28"/>
          <w:szCs w:val="28"/>
        </w:rPr>
        <w:t>3</w:t>
      </w:r>
      <w:r>
        <w:rPr>
          <w:rFonts w:eastAsia="黑体"/>
          <w:sz w:val="24"/>
        </w:rPr>
        <w:t>j</w:t>
      </w:r>
      <w:r>
        <w:rPr>
          <w:rFonts w:hint="eastAsia" w:ascii="黑体" w:hAnsi="黑体" w:eastAsia="黑体" w:cs="黑体"/>
          <w:sz w:val="28"/>
          <w:szCs w:val="28"/>
        </w:rPr>
        <w:t>交互库</w:t>
      </w:r>
      <w:bookmarkEnd w:id="18"/>
    </w:p>
    <w:p w14:paraId="5E5B38AF">
      <w:pPr>
        <w:spacing w:line="400" w:lineRule="exact"/>
        <w:ind w:firstLine="480" w:firstLineChars="200"/>
        <w:rPr>
          <w:sz w:val="24"/>
        </w:rPr>
      </w:pPr>
      <w:r>
        <w:rPr>
          <w:sz w:val="24"/>
        </w:rPr>
        <w:t>Web</w:t>
      </w:r>
      <w:r>
        <w:rPr>
          <w:rFonts w:hint="eastAsia"/>
          <w:sz w:val="24"/>
        </w:rPr>
        <w:t>3</w:t>
      </w:r>
      <w:r>
        <w:rPr>
          <w:sz w:val="24"/>
        </w:rPr>
        <w:t>j</w:t>
      </w:r>
      <w:r>
        <w:rPr>
          <w:rFonts w:hint="eastAsia"/>
          <w:sz w:val="24"/>
        </w:rPr>
        <w:t>是一个用来让</w:t>
      </w:r>
      <w:r>
        <w:rPr>
          <w:sz w:val="24"/>
        </w:rPr>
        <w:t>Java</w:t>
      </w:r>
      <w:r>
        <w:rPr>
          <w:rFonts w:hint="eastAsia"/>
          <w:sz w:val="24"/>
        </w:rPr>
        <w:t>程序与以太坊节点进行交互的库</w:t>
      </w:r>
      <w:r>
        <w:rPr>
          <w:rFonts w:hint="eastAsia"/>
          <w:sz w:val="24"/>
          <w:vertAlign w:val="superscript"/>
        </w:rPr>
        <w:t>[1</w:t>
      </w:r>
      <w:r>
        <w:rPr>
          <w:sz w:val="24"/>
          <w:vertAlign w:val="superscript"/>
          <w:lang w:val="en-IE"/>
        </w:rPr>
        <w:t>6</w:t>
      </w:r>
      <w:r>
        <w:rPr>
          <w:rFonts w:hint="eastAsia"/>
          <w:sz w:val="24"/>
          <w:vertAlign w:val="superscript"/>
        </w:rPr>
        <w:t>]</w:t>
      </w:r>
      <w:r>
        <w:rPr>
          <w:rFonts w:hint="eastAsia"/>
          <w:sz w:val="24"/>
        </w:rPr>
        <w:t>。它封装了以太坊的</w:t>
      </w:r>
      <w:r>
        <w:rPr>
          <w:sz w:val="24"/>
        </w:rPr>
        <w:t>JSON</w:t>
      </w:r>
      <w:r>
        <w:rPr>
          <w:rFonts w:hint="eastAsia"/>
          <w:sz w:val="24"/>
        </w:rPr>
        <w:t>-</w:t>
      </w:r>
      <w:r>
        <w:rPr>
          <w:sz w:val="24"/>
        </w:rPr>
        <w:t>RPC</w:t>
      </w:r>
      <w:r>
        <w:rPr>
          <w:rFonts w:hint="eastAsia"/>
          <w:sz w:val="24"/>
        </w:rPr>
        <w:t>接口，为笔者这样的Java开发者提供了符合J</w:t>
      </w:r>
      <w:r>
        <w:rPr>
          <w:sz w:val="24"/>
        </w:rPr>
        <w:t>ava</w:t>
      </w:r>
      <w:r>
        <w:rPr>
          <w:rFonts w:hint="eastAsia"/>
          <w:sz w:val="24"/>
        </w:rPr>
        <w:t>逻辑的合约调用方式。</w:t>
      </w:r>
    </w:p>
    <w:p w14:paraId="6C9A80D7">
      <w:pPr>
        <w:spacing w:line="400" w:lineRule="exact"/>
        <w:ind w:firstLine="480" w:firstLineChars="200"/>
        <w:rPr>
          <w:sz w:val="24"/>
        </w:rPr>
      </w:pPr>
      <w:r>
        <w:rPr>
          <w:sz w:val="24"/>
        </w:rPr>
        <w:t>Web</w:t>
      </w:r>
      <w:r>
        <w:rPr>
          <w:rFonts w:hint="eastAsia"/>
          <w:sz w:val="24"/>
        </w:rPr>
        <w:t>3</w:t>
      </w:r>
      <w:r>
        <w:rPr>
          <w:sz w:val="24"/>
        </w:rPr>
        <w:t>j</w:t>
      </w:r>
      <w:r>
        <w:rPr>
          <w:rFonts w:hint="eastAsia"/>
          <w:sz w:val="24"/>
        </w:rPr>
        <w:t>的主要功能有：连接以太坊节点（</w:t>
      </w:r>
      <w:r>
        <w:rPr>
          <w:sz w:val="24"/>
        </w:rPr>
        <w:t>HTTP</w:t>
      </w:r>
      <w:r>
        <w:rPr>
          <w:rFonts w:hint="eastAsia"/>
          <w:sz w:val="24"/>
        </w:rPr>
        <w:t>和</w:t>
      </w:r>
      <w:r>
        <w:rPr>
          <w:sz w:val="24"/>
        </w:rPr>
        <w:t>IPC</w:t>
      </w:r>
      <w:r>
        <w:rPr>
          <w:rFonts w:hint="eastAsia"/>
          <w:sz w:val="24"/>
        </w:rPr>
        <w:t>）、管理账户与私钥、部署智能合约以及调用合约的读写函数等。它还提供了</w:t>
      </w:r>
      <w:r>
        <w:rPr>
          <w:sz w:val="24"/>
        </w:rPr>
        <w:t>client</w:t>
      </w:r>
      <w:r>
        <w:rPr>
          <w:rFonts w:hint="eastAsia"/>
          <w:sz w:val="24"/>
        </w:rPr>
        <w:t>工具和</w:t>
      </w:r>
      <w:r>
        <w:rPr>
          <w:sz w:val="24"/>
        </w:rPr>
        <w:t>Maven</w:t>
      </w:r>
      <w:r>
        <w:rPr>
          <w:rFonts w:hint="eastAsia"/>
          <w:sz w:val="24"/>
        </w:rPr>
        <w:t>插件，因此笔者提供</w:t>
      </w:r>
      <w:r>
        <w:rPr>
          <w:sz w:val="24"/>
        </w:rPr>
        <w:t>Solidity</w:t>
      </w:r>
      <w:r>
        <w:rPr>
          <w:rFonts w:hint="eastAsia"/>
          <w:sz w:val="24"/>
        </w:rPr>
        <w:t>合约的</w:t>
      </w:r>
      <w:r>
        <w:rPr>
          <w:sz w:val="24"/>
        </w:rPr>
        <w:t>ABI</w:t>
      </w:r>
      <w:r>
        <w:rPr>
          <w:rFonts w:hint="eastAsia"/>
          <w:sz w:val="24"/>
        </w:rPr>
        <w:t>和字节码就可生成对应的</w:t>
      </w:r>
      <w:r>
        <w:rPr>
          <w:sz w:val="24"/>
        </w:rPr>
        <w:t>Java</w:t>
      </w:r>
      <w:r>
        <w:rPr>
          <w:rFonts w:hint="eastAsia"/>
          <w:sz w:val="24"/>
        </w:rPr>
        <w:t>封装类，能够以面向对象的方式调用合约函数，而且无需手动连接以太坊节点、构造</w:t>
      </w:r>
      <w:r>
        <w:rPr>
          <w:sz w:val="24"/>
        </w:rPr>
        <w:t>JSON</w:t>
      </w:r>
      <w:r>
        <w:rPr>
          <w:rFonts w:hint="eastAsia"/>
          <w:sz w:val="24"/>
        </w:rPr>
        <w:t>-</w:t>
      </w:r>
      <w:r>
        <w:rPr>
          <w:sz w:val="24"/>
        </w:rPr>
        <w:t>RPC</w:t>
      </w:r>
      <w:r>
        <w:rPr>
          <w:rFonts w:hint="eastAsia"/>
          <w:sz w:val="24"/>
        </w:rPr>
        <w:t>请求和执行字节码文件等繁琐操作，极大地提升了笔者的开发效率。</w:t>
      </w:r>
    </w:p>
    <w:p w14:paraId="7E4DAE30">
      <w:pPr>
        <w:spacing w:line="400" w:lineRule="exact"/>
        <w:outlineLvl w:val="2"/>
        <w:rPr>
          <w:rFonts w:hint="eastAsia" w:ascii="黑体" w:hAnsi="黑体" w:eastAsia="黑体" w:cs="黑体"/>
          <w:sz w:val="28"/>
          <w:szCs w:val="28"/>
        </w:rPr>
      </w:pPr>
      <w:bookmarkStart w:id="19" w:name="_Toc5156"/>
      <w:r>
        <w:rPr>
          <w:rFonts w:hint="eastAsia" w:ascii="黑体" w:hAnsi="黑体" w:eastAsia="黑体" w:cs="黑体"/>
          <w:sz w:val="28"/>
          <w:szCs w:val="28"/>
        </w:rPr>
        <w:t xml:space="preserve">2.4.3 </w:t>
      </w:r>
      <w:r>
        <w:rPr>
          <w:rFonts w:eastAsia="黑体"/>
          <w:sz w:val="24"/>
        </w:rPr>
        <w:t>Ganache</w:t>
      </w:r>
      <w:r>
        <w:rPr>
          <w:rFonts w:hint="eastAsia" w:ascii="黑体" w:hAnsi="黑体" w:eastAsia="黑体" w:cs="黑体"/>
          <w:sz w:val="28"/>
          <w:szCs w:val="28"/>
        </w:rPr>
        <w:t>测试网络</w:t>
      </w:r>
      <w:bookmarkEnd w:id="19"/>
    </w:p>
    <w:p w14:paraId="052071D5">
      <w:pPr>
        <w:spacing w:line="400" w:lineRule="exact"/>
        <w:rPr>
          <w:sz w:val="24"/>
        </w:rPr>
        <w:sectPr>
          <w:headerReference r:id="rId17" w:type="default"/>
          <w:pgSz w:w="11906" w:h="16838"/>
          <w:pgMar w:top="1701" w:right="1418" w:bottom="1418" w:left="1418" w:header="907" w:footer="851" w:gutter="567"/>
          <w:cols w:space="720" w:num="1"/>
          <w:docGrid w:type="lines" w:linePitch="312" w:charSpace="0"/>
        </w:sectPr>
      </w:pPr>
      <w:r>
        <w:rPr>
          <w:sz w:val="24"/>
        </w:rPr>
        <w:t>Ganache</w:t>
      </w:r>
      <w:r>
        <w:rPr>
          <w:rFonts w:hint="eastAsia"/>
          <w:sz w:val="24"/>
        </w:rPr>
        <w:t>是以太坊开发工具套件</w:t>
      </w:r>
      <w:r>
        <w:rPr>
          <w:sz w:val="24"/>
        </w:rPr>
        <w:t>Truffle</w:t>
      </w:r>
      <w:r>
        <w:rPr>
          <w:rFonts w:hint="eastAsia"/>
          <w:sz w:val="24"/>
        </w:rPr>
        <w:t xml:space="preserve"> </w:t>
      </w:r>
      <w:r>
        <w:rPr>
          <w:sz w:val="24"/>
        </w:rPr>
        <w:t>Suite</w:t>
      </w:r>
      <w:r>
        <w:rPr>
          <w:rFonts w:hint="eastAsia"/>
          <w:sz w:val="24"/>
        </w:rPr>
        <w:t>的一部分</w:t>
      </w:r>
      <w:r>
        <w:rPr>
          <w:rFonts w:hint="eastAsia"/>
          <w:sz w:val="24"/>
          <w:vertAlign w:val="superscript"/>
        </w:rPr>
        <w:t>[1</w:t>
      </w:r>
      <w:r>
        <w:rPr>
          <w:sz w:val="24"/>
          <w:vertAlign w:val="superscript"/>
          <w:lang w:val="en-IE"/>
        </w:rPr>
        <w:t>7</w:t>
      </w:r>
      <w:r>
        <w:rPr>
          <w:rFonts w:hint="eastAsia"/>
          <w:sz w:val="24"/>
          <w:vertAlign w:val="superscript"/>
        </w:rPr>
        <w:t>]</w:t>
      </w:r>
      <w:r>
        <w:rPr>
          <w:rFonts w:hint="eastAsia"/>
          <w:sz w:val="24"/>
        </w:rPr>
        <w:t>，该组件可以在本地快速搭建以太坊测试网络。</w:t>
      </w:r>
      <w:r>
        <w:rPr>
          <w:sz w:val="24"/>
        </w:rPr>
        <w:t>Ganache</w:t>
      </w:r>
      <w:r>
        <w:rPr>
          <w:rFonts w:hint="eastAsia"/>
          <w:sz w:val="24"/>
        </w:rPr>
        <w:t>启动后会在本机运行一个完整的以太坊节点，其图形界面允许开发者逐块查看链上发生的交易、查看账户余额变化以及调试合约执行。由于是本地私有链，</w:t>
      </w:r>
      <w:r>
        <w:rPr>
          <w:sz w:val="24"/>
        </w:rPr>
        <w:t>Gas</w:t>
      </w:r>
      <w:r>
        <w:rPr>
          <w:rFonts w:hint="eastAsia"/>
          <w:sz w:val="24"/>
        </w:rPr>
        <w:t>费用可设为零，这简化了系统的复杂度，让Agent更专注于彼此间的推理博弈，非常适合开发和测试阶段的快速迭代。</w:t>
      </w:r>
    </w:p>
    <w:p w14:paraId="48BBBEBD">
      <w:pPr>
        <w:spacing w:line="400" w:lineRule="exact"/>
        <w:rPr>
          <w:sz w:val="24"/>
        </w:rPr>
      </w:pPr>
    </w:p>
    <w:p w14:paraId="659121A3">
      <w:pPr>
        <w:spacing w:line="400" w:lineRule="exact"/>
        <w:jc w:val="center"/>
        <w:outlineLvl w:val="0"/>
        <w:rPr>
          <w:rFonts w:ascii="黑体" w:eastAsia="黑体"/>
          <w:sz w:val="32"/>
        </w:rPr>
      </w:pPr>
      <w:bookmarkStart w:id="20" w:name="_Toc29985"/>
      <w:r>
        <w:rPr>
          <w:rFonts w:hint="eastAsia" w:ascii="黑体" w:eastAsia="黑体"/>
          <w:sz w:val="32"/>
        </w:rPr>
        <w:t>3 模拟交易所系统需求分析</w:t>
      </w:r>
      <w:bookmarkEnd w:id="20"/>
    </w:p>
    <w:p w14:paraId="0BC46746">
      <w:pPr>
        <w:spacing w:line="400" w:lineRule="exact"/>
        <w:jc w:val="center"/>
        <w:rPr>
          <w:rFonts w:ascii="黑体" w:eastAsia="黑体"/>
          <w:sz w:val="32"/>
        </w:rPr>
      </w:pPr>
    </w:p>
    <w:p w14:paraId="08BAA1FA">
      <w:pPr>
        <w:spacing w:line="400" w:lineRule="exact"/>
        <w:ind w:firstLine="480" w:firstLineChars="200"/>
        <w:rPr>
          <w:sz w:val="24"/>
        </w:rPr>
      </w:pPr>
      <w:r>
        <w:rPr>
          <w:rFonts w:hint="eastAsia"/>
          <w:sz w:val="24"/>
        </w:rPr>
        <w:t>本章的主题是，系统到底要做什么，不做什么。在动手写代码之前，先把功能和非功能的要求理清楚，给后续设计和实现一个明确的标准。笔者将先阐述系统的使用场景和角色，然后分三个模块列出功能性需求，最后探讨非功能性需求。</w:t>
      </w:r>
    </w:p>
    <w:p w14:paraId="7AE4BA79">
      <w:pPr>
        <w:pStyle w:val="11"/>
        <w:spacing w:line="400" w:lineRule="exact"/>
        <w:outlineLvl w:val="1"/>
        <w:rPr>
          <w:rFonts w:ascii="黑体" w:eastAsia="黑体"/>
          <w:sz w:val="30"/>
        </w:rPr>
      </w:pPr>
      <w:bookmarkStart w:id="21" w:name="_Toc9165"/>
      <w:r>
        <w:rPr>
          <w:rFonts w:hint="eastAsia" w:ascii="黑体" w:eastAsia="黑体"/>
          <w:sz w:val="30"/>
        </w:rPr>
        <w:t>3.1 系统使用场景</w:t>
      </w:r>
      <w:bookmarkEnd w:id="21"/>
    </w:p>
    <w:p w14:paraId="33D2BF2D">
      <w:pPr>
        <w:spacing w:line="400" w:lineRule="exact"/>
        <w:ind w:firstLine="480" w:firstLineChars="200"/>
        <w:rPr>
          <w:sz w:val="24"/>
        </w:rPr>
      </w:pPr>
      <w:r>
        <w:rPr>
          <w:rFonts w:hint="eastAsia"/>
          <w:sz w:val="24"/>
        </w:rPr>
        <w:t>本系统的使用角色主要是对</w:t>
      </w:r>
      <w:r>
        <w:rPr>
          <w:sz w:val="24"/>
        </w:rPr>
        <w:t>AI</w:t>
      </w:r>
      <w:r>
        <w:rPr>
          <w:rFonts w:hint="eastAsia"/>
          <w:sz w:val="24"/>
        </w:rPr>
        <w:t>交易行为感兴趣的研究员或学习者，并不涉及真实的交易，系统分共为两个独立的场景。</w:t>
      </w:r>
    </w:p>
    <w:p w14:paraId="36FCE7B5">
      <w:pPr>
        <w:spacing w:line="400" w:lineRule="exact"/>
        <w:ind w:firstLine="480" w:firstLineChars="200"/>
        <w:rPr>
          <w:sz w:val="24"/>
        </w:rPr>
      </w:pPr>
      <w:r>
        <w:rPr>
          <w:rFonts w:hint="eastAsia"/>
          <w:sz w:val="24"/>
        </w:rPr>
        <w:t>第一个场景是股票辅助交易：使用者选择</w:t>
      </w:r>
      <w:r>
        <w:rPr>
          <w:sz w:val="24"/>
        </w:rPr>
        <w:t>AI</w:t>
      </w:r>
      <w:r>
        <w:rPr>
          <w:rFonts w:hint="eastAsia"/>
          <w:sz w:val="24"/>
        </w:rPr>
        <w:t>模型和风险偏好（配置有三种语言模型，和三种风险偏好类型），触发任务后</w:t>
      </w:r>
      <w:r>
        <w:rPr>
          <w:sz w:val="24"/>
        </w:rPr>
        <w:t>AI</w:t>
      </w:r>
      <w:r>
        <w:rPr>
          <w:rFonts w:hint="eastAsia"/>
          <w:sz w:val="24"/>
        </w:rPr>
        <w:t>分析行情并执行买卖，使用者可以观察</w:t>
      </w:r>
      <w:r>
        <w:rPr>
          <w:sz w:val="24"/>
        </w:rPr>
        <w:t>AI</w:t>
      </w:r>
      <w:r>
        <w:rPr>
          <w:rFonts w:hint="eastAsia"/>
          <w:sz w:val="24"/>
        </w:rPr>
        <w:t>的决策逻辑和收益。</w:t>
      </w:r>
    </w:p>
    <w:p w14:paraId="70489D90">
      <w:pPr>
        <w:spacing w:line="400" w:lineRule="exact"/>
        <w:ind w:firstLine="480" w:firstLineChars="200"/>
        <w:rPr>
          <w:sz w:val="24"/>
        </w:rPr>
      </w:pPr>
      <w:r>
        <w:rPr>
          <w:rFonts w:hint="eastAsia"/>
          <w:sz w:val="24"/>
        </w:rPr>
        <w:t>第二个场景是区块链斗兽场：使用者配置</w:t>
      </w:r>
      <w:r>
        <w:rPr>
          <w:sz w:val="24"/>
        </w:rPr>
        <w:t>AI</w:t>
      </w:r>
      <w:r>
        <w:rPr>
          <w:rFonts w:hint="eastAsia"/>
          <w:sz w:val="24"/>
        </w:rPr>
        <w:t>数量、偏好类型和博弈轮数等参数，AI进行多轮博弈，前端展示</w:t>
      </w:r>
      <w:r>
        <w:rPr>
          <w:sz w:val="24"/>
        </w:rPr>
        <w:t>AI</w:t>
      </w:r>
      <w:r>
        <w:rPr>
          <w:rFonts w:hint="eastAsia"/>
          <w:sz w:val="24"/>
        </w:rPr>
        <w:t>的收益曲线和决策逻辑。</w:t>
      </w:r>
    </w:p>
    <w:p w14:paraId="2134A9FE">
      <w:pPr>
        <w:pStyle w:val="11"/>
        <w:spacing w:line="400" w:lineRule="exact"/>
        <w:outlineLvl w:val="1"/>
        <w:rPr>
          <w:rFonts w:ascii="黑体" w:eastAsia="黑体"/>
          <w:sz w:val="30"/>
        </w:rPr>
      </w:pPr>
      <w:bookmarkStart w:id="22" w:name="_Toc27083"/>
      <w:r>
        <w:rPr>
          <w:rFonts w:hint="eastAsia" w:ascii="黑体" w:eastAsia="黑体"/>
          <w:sz w:val="30"/>
        </w:rPr>
        <w:t>3.2 功能性需求</w:t>
      </w:r>
      <w:bookmarkEnd w:id="22"/>
    </w:p>
    <w:p w14:paraId="7C6A2ED1">
      <w:pPr>
        <w:spacing w:line="400" w:lineRule="exact"/>
        <w:ind w:firstLine="480" w:firstLineChars="200"/>
        <w:rPr>
          <w:sz w:val="24"/>
        </w:rPr>
      </w:pPr>
      <w:r>
        <w:rPr>
          <w:rFonts w:hint="eastAsia"/>
          <w:sz w:val="24"/>
        </w:rPr>
        <w:t>功能性需求分为三个部分：交易所基础建设、Agent工作流、区块链斗兽场。</w:t>
      </w:r>
    </w:p>
    <w:p w14:paraId="1092F4F3">
      <w:pPr>
        <w:spacing w:line="400" w:lineRule="exact"/>
        <w:outlineLvl w:val="2"/>
        <w:rPr>
          <w:rFonts w:hint="eastAsia" w:ascii="黑体" w:hAnsi="黑体" w:eastAsia="黑体" w:cs="黑体"/>
          <w:sz w:val="28"/>
          <w:szCs w:val="28"/>
        </w:rPr>
      </w:pPr>
      <w:bookmarkStart w:id="23" w:name="_Toc3325"/>
      <w:r>
        <w:rPr>
          <w:rFonts w:hint="eastAsia" w:ascii="黑体" w:hAnsi="黑体" w:eastAsia="黑体" w:cs="黑体"/>
          <w:sz w:val="28"/>
          <w:szCs w:val="28"/>
        </w:rPr>
        <w:t>3.2.1 模拟交易所基础功能</w:t>
      </w:r>
      <w:bookmarkEnd w:id="23"/>
    </w:p>
    <w:p w14:paraId="7BC2B721">
      <w:pPr>
        <w:spacing w:line="400" w:lineRule="exact"/>
        <w:ind w:firstLine="480" w:firstLineChars="200"/>
        <w:rPr>
          <w:sz w:val="24"/>
        </w:rPr>
      </w:pPr>
      <w:r>
        <w:rPr>
          <w:rFonts w:hint="eastAsia"/>
          <w:sz w:val="24"/>
        </w:rPr>
        <w:t>这部分提供一套供</w:t>
      </w:r>
      <w:r>
        <w:rPr>
          <w:sz w:val="24"/>
        </w:rPr>
        <w:t>AI</w:t>
      </w:r>
      <w:r>
        <w:rPr>
          <w:rFonts w:hint="eastAsia"/>
          <w:sz w:val="24"/>
        </w:rPr>
        <w:t>执行买卖的基础设施。它不涉及真实资金，也不对普通用户开放账户注册功能。图3.1是模拟交易所功能的用例图。</w:t>
      </w:r>
    </w:p>
    <w:p w14:paraId="3ABDF26D">
      <w:pPr>
        <w:spacing w:line="400" w:lineRule="exact"/>
        <w:ind w:firstLine="480" w:firstLineChars="200"/>
        <w:rPr>
          <w:sz w:val="24"/>
        </w:rPr>
      </w:pPr>
    </w:p>
    <w:p w14:paraId="7A95446F">
      <w:pPr>
        <w:ind w:firstLine="480" w:firstLineChars="200"/>
        <w:rPr>
          <w:sz w:val="24"/>
        </w:rPr>
      </w:pPr>
      <w:r>
        <w:rPr>
          <w:rFonts w:hint="eastAsia"/>
          <w:sz w:val="24"/>
        </w:rPr>
        <w:drawing>
          <wp:inline distT="0" distB="0" distL="114300" distR="114300">
            <wp:extent cx="4072890" cy="2807970"/>
            <wp:effectExtent l="0" t="0" r="11430" b="11430"/>
            <wp:docPr id="12" name="图片 12" descr="未命名绘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未命名绘图"/>
                    <pic:cNvPicPr>
                      <a:picLocks noChangeAspect="1"/>
                    </pic:cNvPicPr>
                  </pic:nvPicPr>
                  <pic:blipFill>
                    <a:blip r:embed="rId28"/>
                    <a:stretch>
                      <a:fillRect/>
                    </a:stretch>
                  </pic:blipFill>
                  <pic:spPr>
                    <a:xfrm>
                      <a:off x="0" y="0"/>
                      <a:ext cx="4072890" cy="2807970"/>
                    </a:xfrm>
                    <a:prstGeom prst="rect">
                      <a:avLst/>
                    </a:prstGeom>
                  </pic:spPr>
                </pic:pic>
              </a:graphicData>
            </a:graphic>
          </wp:inline>
        </w:drawing>
      </w:r>
    </w:p>
    <w:p w14:paraId="05D0A53F">
      <w:pPr>
        <w:spacing w:line="400" w:lineRule="exact"/>
        <w:jc w:val="center"/>
        <w:rPr>
          <w:rFonts w:hint="eastAsia" w:ascii="宋体" w:hAnsi="宋体" w:cs="宋体"/>
          <w:szCs w:val="21"/>
          <w:lang w:bidi="ar"/>
        </w:rPr>
      </w:pPr>
      <w:r>
        <w:rPr>
          <w:rFonts w:hint="eastAsia" w:ascii="宋体" w:hAnsi="宋体" w:cs="宋体"/>
          <w:szCs w:val="21"/>
          <w:lang w:bidi="ar"/>
        </w:rPr>
        <w:t>图3.1</w:t>
      </w:r>
      <w:r>
        <w:rPr>
          <w:rFonts w:hint="eastAsia"/>
          <w:szCs w:val="21"/>
          <w:lang w:bidi="ar"/>
        </w:rPr>
        <w:t xml:space="preserve"> 模拟交易所用例</w:t>
      </w:r>
      <w:r>
        <w:rPr>
          <w:rFonts w:hint="eastAsia" w:ascii="宋体" w:hAnsi="宋体" w:cs="宋体"/>
          <w:szCs w:val="21"/>
          <w:lang w:bidi="ar"/>
        </w:rPr>
        <w:t>图</w:t>
      </w:r>
    </w:p>
    <w:p w14:paraId="7F4BCCAC">
      <w:pPr>
        <w:spacing w:line="400" w:lineRule="exact"/>
        <w:ind w:firstLine="480" w:firstLineChars="200"/>
        <w:rPr>
          <w:sz w:val="24"/>
        </w:rPr>
      </w:pPr>
    </w:p>
    <w:p w14:paraId="557E47A5">
      <w:pPr>
        <w:spacing w:line="400" w:lineRule="exact"/>
        <w:ind w:firstLine="480" w:firstLineChars="200"/>
        <w:rPr>
          <w:sz w:val="24"/>
        </w:rPr>
      </w:pPr>
      <w:r>
        <w:rPr>
          <w:rFonts w:hint="eastAsia"/>
          <w:sz w:val="24"/>
        </w:rPr>
        <w:t>股票行情查看。系统需要展示若干只股票的基本信息和实时价格，数据来源于</w:t>
      </w:r>
      <w:r>
        <w:rPr>
          <w:sz w:val="24"/>
        </w:rPr>
        <w:t>Alpha</w:t>
      </w:r>
      <w:r>
        <w:rPr>
          <w:rFonts w:hint="eastAsia"/>
          <w:sz w:val="24"/>
        </w:rPr>
        <w:t xml:space="preserve"> </w:t>
      </w:r>
      <w:r>
        <w:rPr>
          <w:sz w:val="24"/>
        </w:rPr>
        <w:t>Vantage</w:t>
      </w:r>
      <w:r>
        <w:rPr>
          <w:rFonts w:hint="eastAsia"/>
          <w:sz w:val="24"/>
        </w:rPr>
        <w:t>。前端以</w:t>
      </w:r>
      <w:r>
        <w:rPr>
          <w:sz w:val="24"/>
        </w:rPr>
        <w:t>k</w:t>
      </w:r>
      <w:r>
        <w:rPr>
          <w:rFonts w:hint="eastAsia"/>
          <w:sz w:val="24"/>
        </w:rPr>
        <w:t>线图形式显示股票代码、当前价格和涨跌幅。</w:t>
      </w:r>
    </w:p>
    <w:p w14:paraId="4179A659">
      <w:pPr>
        <w:spacing w:line="400" w:lineRule="exact"/>
        <w:ind w:firstLine="480" w:firstLineChars="200"/>
        <w:rPr>
          <w:sz w:val="24"/>
        </w:rPr>
      </w:pPr>
      <w:r>
        <w:rPr>
          <w:rFonts w:hint="eastAsia"/>
          <w:sz w:val="24"/>
        </w:rPr>
        <w:t>模拟买入功能。</w:t>
      </w:r>
      <w:r>
        <w:rPr>
          <w:sz w:val="24"/>
        </w:rPr>
        <w:t>AI</w:t>
      </w:r>
      <w:r>
        <w:rPr>
          <w:rFonts w:hint="eastAsia"/>
          <w:sz w:val="24"/>
        </w:rPr>
        <w:t>能够调用买入工具，输入股票代码和买入数量，返回执行结果。系统需要检查该股票是否存在、</w:t>
      </w:r>
      <w:r>
        <w:rPr>
          <w:sz w:val="24"/>
        </w:rPr>
        <w:t>AI</w:t>
      </w:r>
      <w:r>
        <w:rPr>
          <w:rFonts w:hint="eastAsia"/>
          <w:sz w:val="24"/>
        </w:rPr>
        <w:t>账户中的现金是否足够支付，通过后流水落库，并更新持仓记录和现金余额。</w:t>
      </w:r>
    </w:p>
    <w:p w14:paraId="54B411C2">
      <w:pPr>
        <w:spacing w:line="400" w:lineRule="exact"/>
        <w:ind w:firstLine="480" w:firstLineChars="200"/>
        <w:rPr>
          <w:sz w:val="24"/>
        </w:rPr>
      </w:pPr>
      <w:r>
        <w:rPr>
          <w:rFonts w:hint="eastAsia"/>
          <w:sz w:val="24"/>
        </w:rPr>
        <w:t>模拟卖出功能。</w:t>
      </w:r>
      <w:r>
        <w:rPr>
          <w:sz w:val="24"/>
        </w:rPr>
        <w:t>AI</w:t>
      </w:r>
      <w:r>
        <w:rPr>
          <w:rFonts w:hint="eastAsia"/>
          <w:sz w:val="24"/>
        </w:rPr>
        <w:t>能够调用卖出操作，传入股票代码和卖出数量，返回执行结果。系统需要检查</w:t>
      </w:r>
      <w:r>
        <w:rPr>
          <w:sz w:val="24"/>
        </w:rPr>
        <w:t>AI</w:t>
      </w:r>
      <w:r>
        <w:rPr>
          <w:rFonts w:hint="eastAsia"/>
          <w:sz w:val="24"/>
        </w:rPr>
        <w:t>持仓数量是否足够，确认后流水落库，并扣减持仓并增加现金余额。</w:t>
      </w:r>
    </w:p>
    <w:p w14:paraId="2FED11B8">
      <w:pPr>
        <w:spacing w:line="400" w:lineRule="exact"/>
        <w:ind w:firstLine="480" w:firstLineChars="200"/>
        <w:rPr>
          <w:sz w:val="24"/>
        </w:rPr>
      </w:pPr>
      <w:r>
        <w:rPr>
          <w:rFonts w:hint="eastAsia"/>
          <w:sz w:val="24"/>
        </w:rPr>
        <w:t>持仓与现金读写。前端需要展示每位</w:t>
      </w:r>
      <w:r>
        <w:rPr>
          <w:sz w:val="24"/>
        </w:rPr>
        <w:t>AI</w:t>
      </w:r>
      <w:r>
        <w:rPr>
          <w:rFonts w:hint="eastAsia"/>
          <w:sz w:val="24"/>
        </w:rPr>
        <w:t>当前的持仓明细和现金余额，</w:t>
      </w:r>
      <w:r>
        <w:rPr>
          <w:sz w:val="24"/>
        </w:rPr>
        <w:t>AI</w:t>
      </w:r>
      <w:r>
        <w:rPr>
          <w:rFonts w:hint="eastAsia"/>
          <w:sz w:val="24"/>
        </w:rPr>
        <w:t>自身在决策时也需要读写这些数据。</w:t>
      </w:r>
    </w:p>
    <w:p w14:paraId="002D5F3E">
      <w:pPr>
        <w:spacing w:line="400" w:lineRule="exact"/>
        <w:outlineLvl w:val="2"/>
        <w:rPr>
          <w:rFonts w:hint="eastAsia" w:ascii="黑体" w:hAnsi="黑体" w:eastAsia="黑体" w:cs="黑体"/>
          <w:sz w:val="28"/>
          <w:szCs w:val="28"/>
        </w:rPr>
      </w:pPr>
      <w:bookmarkStart w:id="24" w:name="_Toc16977"/>
      <w:r>
        <w:rPr>
          <w:rFonts w:hint="eastAsia" w:ascii="黑体" w:hAnsi="黑体" w:eastAsia="黑体" w:cs="黑体"/>
          <w:sz w:val="28"/>
          <w:szCs w:val="28"/>
        </w:rPr>
        <w:t xml:space="preserve">3.2.2 </w:t>
      </w:r>
      <w:r>
        <w:rPr>
          <w:rFonts w:eastAsia="黑体"/>
          <w:sz w:val="24"/>
        </w:rPr>
        <w:t>AI</w:t>
      </w:r>
      <w:r>
        <w:rPr>
          <w:rFonts w:hint="eastAsia" w:ascii="黑体" w:hAnsi="黑体" w:eastAsia="黑体" w:cs="黑体"/>
          <w:sz w:val="28"/>
          <w:szCs w:val="28"/>
        </w:rPr>
        <w:t>辅助交易功能</w:t>
      </w:r>
      <w:bookmarkEnd w:id="24"/>
    </w:p>
    <w:p w14:paraId="67AB89B0">
      <w:pPr>
        <w:spacing w:line="400" w:lineRule="exact"/>
        <w:ind w:firstLine="480" w:firstLineChars="200"/>
        <w:rPr>
          <w:sz w:val="24"/>
        </w:rPr>
      </w:pPr>
      <w:r>
        <w:rPr>
          <w:rFonts w:hint="eastAsia"/>
          <w:sz w:val="24"/>
        </w:rPr>
        <w:t>这部分功能让使用者可以手动触发</w:t>
      </w:r>
      <w:r>
        <w:rPr>
          <w:sz w:val="24"/>
        </w:rPr>
        <w:t>AI</w:t>
      </w:r>
      <w:r>
        <w:rPr>
          <w:rFonts w:hint="eastAsia"/>
          <w:sz w:val="24"/>
        </w:rPr>
        <w:t>对真实股票行情的分析和操作，并感知到</w:t>
      </w:r>
      <w:r>
        <w:rPr>
          <w:sz w:val="24"/>
        </w:rPr>
        <w:t>AI</w:t>
      </w:r>
      <w:r>
        <w:rPr>
          <w:rFonts w:hint="eastAsia"/>
          <w:sz w:val="24"/>
        </w:rPr>
        <w:t>的决策理由。图3.2是AI辅助交易的用例图</w:t>
      </w:r>
    </w:p>
    <w:p w14:paraId="3ACE1FAC">
      <w:pPr>
        <w:ind w:firstLine="480" w:firstLineChars="200"/>
        <w:rPr>
          <w:sz w:val="24"/>
        </w:rPr>
      </w:pPr>
      <w:r>
        <w:rPr>
          <w:rFonts w:hint="eastAsia"/>
          <w:sz w:val="24"/>
        </w:rPr>
        <w:t>模型与风险偏好选择。前端需要提供下拉菜单，让使用者从三个</w:t>
      </w:r>
      <w:r>
        <w:rPr>
          <w:sz w:val="24"/>
        </w:rPr>
        <w:t>AI</w:t>
      </w:r>
      <w:r>
        <w:rPr>
          <w:rFonts w:hint="eastAsia"/>
          <w:sz w:val="24"/>
        </w:rPr>
        <w:t>模型（</w:t>
      </w:r>
      <w:r>
        <w:rPr>
          <w:sz w:val="24"/>
        </w:rPr>
        <w:t>ERNIE</w:t>
      </w:r>
      <w:r>
        <w:rPr>
          <w:rFonts w:hint="eastAsia"/>
          <w:sz w:val="24"/>
        </w:rPr>
        <w:t xml:space="preserve"> 5.0、通义千问</w:t>
      </w:r>
      <w:r>
        <w:rPr>
          <w:sz w:val="24"/>
        </w:rPr>
        <w:t>Max</w:t>
      </w:r>
      <w:r>
        <w:rPr>
          <w:rFonts w:hint="eastAsia"/>
          <w:sz w:val="24"/>
        </w:rPr>
        <w:t>、</w:t>
      </w:r>
      <w:r>
        <w:rPr>
          <w:sz w:val="24"/>
        </w:rPr>
        <w:t>GPT</w:t>
      </w:r>
      <w:r>
        <w:rPr>
          <w:rFonts w:hint="eastAsia"/>
          <w:sz w:val="24"/>
        </w:rPr>
        <w:t>-4</w:t>
      </w:r>
      <w:r>
        <w:rPr>
          <w:sz w:val="24"/>
        </w:rPr>
        <w:t>o</w:t>
      </w:r>
      <w:r>
        <w:rPr>
          <w:rFonts w:hint="eastAsia"/>
          <w:sz w:val="24"/>
        </w:rPr>
        <w:t>-</w:t>
      </w:r>
      <w:r>
        <w:rPr>
          <w:sz w:val="24"/>
        </w:rPr>
        <w:t>mini</w:t>
      </w:r>
      <w:r>
        <w:rPr>
          <w:rFonts w:hint="eastAsia"/>
          <w:sz w:val="24"/>
        </w:rPr>
        <w:t>）中选择一个，再选择风险偏好（稳妥、适中、激进）。点击“</w:t>
      </w:r>
      <w:r>
        <w:rPr>
          <w:sz w:val="24"/>
        </w:rPr>
        <w:t>AI</w:t>
      </w:r>
      <w:r>
        <w:rPr>
          <w:rFonts w:hint="eastAsia"/>
          <w:sz w:val="24"/>
        </w:rPr>
        <w:t>决策”按钮后，系统启动该</w:t>
      </w:r>
      <w:r>
        <w:rPr>
          <w:sz w:val="24"/>
        </w:rPr>
        <w:t>AI</w:t>
      </w:r>
      <w:r>
        <w:rPr>
          <w:rFonts w:hint="eastAsia"/>
          <w:sz w:val="24"/>
        </w:rPr>
        <w:t>的一次决策流程。</w:t>
      </w:r>
    </w:p>
    <w:p w14:paraId="10A1DF95">
      <w:pPr>
        <w:spacing w:line="400" w:lineRule="exact"/>
        <w:ind w:firstLine="480" w:firstLineChars="200"/>
        <w:rPr>
          <w:sz w:val="24"/>
        </w:rPr>
      </w:pPr>
      <w:r>
        <w:rPr>
          <w:rFonts w:hint="eastAsia"/>
          <w:sz w:val="24"/>
        </w:rPr>
        <w:t>行情分析与决策。</w:t>
      </w:r>
      <w:r>
        <w:rPr>
          <w:sz w:val="24"/>
        </w:rPr>
        <w:t>AI</w:t>
      </w:r>
      <w:r>
        <w:rPr>
          <w:rFonts w:hint="eastAsia"/>
          <w:sz w:val="24"/>
        </w:rPr>
        <w:t>被触发后，需要读取当前所有可交易股票的最新价格和近期技术指标，结合自身持仓情况，判断是否买入、卖出或者保持观望。如果决定操作，AI需要调用提供的交易工具执行对应的买卖动作。</w:t>
      </w:r>
    </w:p>
    <w:p w14:paraId="2D0AFF4B">
      <w:pPr>
        <w:spacing w:line="400" w:lineRule="exact"/>
        <w:ind w:firstLine="480" w:firstLineChars="200"/>
        <w:rPr>
          <w:sz w:val="24"/>
        </w:rPr>
      </w:pPr>
      <w:r>
        <w:rPr>
          <w:rFonts w:hint="eastAsia"/>
          <w:sz w:val="24"/>
        </w:rPr>
        <w:t>决策理由展示。无论</w:t>
      </w:r>
      <w:r>
        <w:rPr>
          <w:sz w:val="24"/>
        </w:rPr>
        <w:t>AI</w:t>
      </w:r>
      <w:r>
        <w:rPr>
          <w:rFonts w:hint="eastAsia"/>
          <w:sz w:val="24"/>
        </w:rPr>
        <w:t>最终是否交易，都需要输出一段文字说明它的判断依据，并且给出对当前股票和市场的分析。这段文字不需要保存，仅在前端的日志区域显示。例如“</w:t>
      </w:r>
      <w:r>
        <w:rPr>
          <w:sz w:val="24"/>
        </w:rPr>
        <w:t>IBM</w:t>
      </w:r>
      <w:r>
        <w:rPr>
          <w:rFonts w:hint="eastAsia"/>
          <w:sz w:val="24"/>
        </w:rPr>
        <w:t>股价站上20日均线且</w:t>
      </w:r>
      <w:r>
        <w:rPr>
          <w:sz w:val="24"/>
        </w:rPr>
        <w:t>RSI</w:t>
      </w:r>
      <w:r>
        <w:rPr>
          <w:rFonts w:hint="eastAsia"/>
          <w:sz w:val="24"/>
        </w:rPr>
        <w:t>处于低位，因此买入100股”。</w:t>
      </w:r>
    </w:p>
    <w:p w14:paraId="2D94A673">
      <w:pPr>
        <w:jc w:val="both"/>
        <w:rPr>
          <w:rFonts w:hint="eastAsia"/>
          <w:sz w:val="24"/>
        </w:rPr>
      </w:pPr>
    </w:p>
    <w:p w14:paraId="2BE9F1B2">
      <w:pPr>
        <w:jc w:val="center"/>
        <w:rPr>
          <w:sz w:val="24"/>
        </w:rPr>
      </w:pPr>
      <w:r>
        <w:rPr>
          <w:rFonts w:hint="eastAsia"/>
          <w:sz w:val="24"/>
        </w:rPr>
        <w:drawing>
          <wp:inline distT="0" distB="0" distL="114300" distR="114300">
            <wp:extent cx="3769360" cy="2158365"/>
            <wp:effectExtent l="0" t="0" r="10160" b="5715"/>
            <wp:docPr id="23" name="图片 23" descr="未命名绘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未命名绘图 (4)"/>
                    <pic:cNvPicPr>
                      <a:picLocks noChangeAspect="1"/>
                    </pic:cNvPicPr>
                  </pic:nvPicPr>
                  <pic:blipFill>
                    <a:blip r:embed="rId29"/>
                    <a:stretch>
                      <a:fillRect/>
                    </a:stretch>
                  </pic:blipFill>
                  <pic:spPr>
                    <a:xfrm>
                      <a:off x="0" y="0"/>
                      <a:ext cx="3769360" cy="2158365"/>
                    </a:xfrm>
                    <a:prstGeom prst="rect">
                      <a:avLst/>
                    </a:prstGeom>
                  </pic:spPr>
                </pic:pic>
              </a:graphicData>
            </a:graphic>
          </wp:inline>
        </w:drawing>
      </w:r>
    </w:p>
    <w:p w14:paraId="489DF78C">
      <w:pPr>
        <w:spacing w:line="400" w:lineRule="exact"/>
        <w:jc w:val="center"/>
        <w:rPr>
          <w:rFonts w:hint="eastAsia" w:ascii="宋体" w:hAnsi="宋体" w:cs="宋体"/>
          <w:szCs w:val="21"/>
          <w:lang w:bidi="ar"/>
        </w:rPr>
      </w:pPr>
      <w:r>
        <w:rPr>
          <w:rFonts w:hint="eastAsia" w:ascii="宋体" w:hAnsi="宋体" w:cs="宋体"/>
          <w:szCs w:val="21"/>
          <w:lang w:bidi="ar"/>
        </w:rPr>
        <w:t>图3.2</w:t>
      </w:r>
      <w:r>
        <w:rPr>
          <w:rFonts w:hint="eastAsia"/>
          <w:szCs w:val="21"/>
          <w:lang w:bidi="ar"/>
        </w:rPr>
        <w:t xml:space="preserve"> AI辅助交易所用例</w:t>
      </w:r>
      <w:r>
        <w:rPr>
          <w:rFonts w:hint="eastAsia" w:ascii="宋体" w:hAnsi="宋体" w:cs="宋体"/>
          <w:szCs w:val="21"/>
          <w:lang w:bidi="ar"/>
        </w:rPr>
        <w:t>图</w:t>
      </w:r>
    </w:p>
    <w:p w14:paraId="11CDE4BA">
      <w:pPr>
        <w:spacing w:line="400" w:lineRule="exact"/>
        <w:ind w:firstLine="480" w:firstLineChars="200"/>
        <w:rPr>
          <w:sz w:val="24"/>
        </w:rPr>
      </w:pPr>
    </w:p>
    <w:p w14:paraId="19F0A183">
      <w:pPr>
        <w:spacing w:line="400" w:lineRule="exact"/>
        <w:ind w:firstLine="480" w:firstLineChars="200"/>
        <w:rPr>
          <w:sz w:val="24"/>
        </w:rPr>
      </w:pPr>
      <w:r>
        <w:rPr>
          <w:rFonts w:hint="eastAsia"/>
          <w:sz w:val="24"/>
        </w:rPr>
        <w:t>收益展示。前端需要展示当前选中</w:t>
      </w:r>
      <w:r>
        <w:rPr>
          <w:sz w:val="24"/>
        </w:rPr>
        <w:t>AI</w:t>
      </w:r>
      <w:r>
        <w:rPr>
          <w:rFonts w:hint="eastAsia"/>
          <w:sz w:val="24"/>
        </w:rPr>
        <w:t>的累计收益率和资产净值，资产净值根据现金加上持仓股票按市价折算的总和来计算；还需要展示AI的持股详情，持有某只股票多少股等。</w:t>
      </w:r>
    </w:p>
    <w:p w14:paraId="3F70DA15">
      <w:pPr>
        <w:spacing w:line="400" w:lineRule="exact"/>
        <w:outlineLvl w:val="2"/>
        <w:rPr>
          <w:rFonts w:hint="eastAsia" w:ascii="黑体" w:hAnsi="黑体" w:eastAsia="黑体" w:cs="黑体"/>
          <w:sz w:val="28"/>
          <w:szCs w:val="28"/>
        </w:rPr>
      </w:pPr>
      <w:bookmarkStart w:id="25" w:name="_Toc2634"/>
      <w:r>
        <w:rPr>
          <w:rFonts w:hint="eastAsia" w:ascii="黑体" w:hAnsi="黑体" w:eastAsia="黑体" w:cs="黑体"/>
          <w:sz w:val="28"/>
          <w:szCs w:val="28"/>
        </w:rPr>
        <w:t>3.2.3 区块链斗兽场功能</w:t>
      </w:r>
      <w:bookmarkEnd w:id="25"/>
    </w:p>
    <w:p w14:paraId="676B3A02">
      <w:pPr>
        <w:spacing w:line="400" w:lineRule="exact"/>
        <w:ind w:firstLine="480" w:firstLineChars="200"/>
        <w:rPr>
          <w:sz w:val="24"/>
        </w:rPr>
      </w:pPr>
      <w:r>
        <w:rPr>
          <w:rFonts w:hint="eastAsia"/>
          <w:sz w:val="24"/>
        </w:rPr>
        <w:t>这部分是一个独立功能，和之前股票辅助交易不同，这里的交易对象是系统内部发行的三种ERC-20代币，交易形式是代币之间的兑换，不涉及现金。</w:t>
      </w:r>
    </w:p>
    <w:p w14:paraId="179D4B86">
      <w:pPr>
        <w:spacing w:line="400" w:lineRule="exact"/>
        <w:ind w:firstLine="480" w:firstLineChars="200"/>
        <w:rPr>
          <w:sz w:val="24"/>
        </w:rPr>
      </w:pPr>
      <w:r>
        <w:rPr>
          <w:rFonts w:hint="eastAsia"/>
          <w:sz w:val="24"/>
        </w:rPr>
        <w:t>角色配置与启动。使用者需要能够在页面上选择</w:t>
      </w:r>
      <w:r>
        <w:rPr>
          <w:sz w:val="24"/>
        </w:rPr>
        <w:t>AI</w:t>
      </w:r>
      <w:r>
        <w:rPr>
          <w:rFonts w:hint="eastAsia"/>
          <w:sz w:val="24"/>
        </w:rPr>
        <w:t>数量，为</w:t>
      </w:r>
      <w:r>
        <w:rPr>
          <w:sz w:val="24"/>
        </w:rPr>
        <w:t>AI</w:t>
      </w:r>
      <w:r>
        <w:rPr>
          <w:rFonts w:hint="eastAsia"/>
          <w:sz w:val="24"/>
        </w:rPr>
        <w:t>分别选择模型代号和风险偏好，输入想要运行的总轮数，并设置三种代币的初始数量。点击启动按钮后，系统开始运行。</w:t>
      </w:r>
    </w:p>
    <w:p w14:paraId="086723A2">
      <w:pPr>
        <w:spacing w:line="400" w:lineRule="exact"/>
        <w:ind w:firstLine="480" w:firstLineChars="200"/>
        <w:rPr>
          <w:sz w:val="24"/>
        </w:rPr>
      </w:pPr>
      <w:r>
        <w:rPr>
          <w:rFonts w:hint="eastAsia"/>
          <w:sz w:val="24"/>
        </w:rPr>
        <w:t>竞争与依次执行。每一轮开始后，主线程需要先读取当前市场数据，为贴合真实的博弈场景，</w:t>
      </w:r>
      <w:r>
        <w:rPr>
          <w:sz w:val="24"/>
        </w:rPr>
        <w:t>AI</w:t>
      </w:r>
      <w:r>
        <w:rPr>
          <w:rFonts w:hint="eastAsia"/>
          <w:sz w:val="24"/>
        </w:rPr>
        <w:t>需按照设计的竞争规则确定本轮的决策顺序。顺序确定后，三位</w:t>
      </w:r>
      <w:r>
        <w:rPr>
          <w:sz w:val="24"/>
        </w:rPr>
        <w:t>AI</w:t>
      </w:r>
      <w:r>
        <w:rPr>
          <w:rFonts w:hint="eastAsia"/>
          <w:sz w:val="24"/>
        </w:rPr>
        <w:t>依次执行各自的决策。第一位</w:t>
      </w:r>
      <w:r>
        <w:rPr>
          <w:sz w:val="24"/>
        </w:rPr>
        <w:t>AI</w:t>
      </w:r>
      <w:r>
        <w:rPr>
          <w:rFonts w:hint="eastAsia"/>
          <w:sz w:val="24"/>
        </w:rPr>
        <w:t>操作后市场价格可能发生变化，第二位</w:t>
      </w:r>
      <w:r>
        <w:rPr>
          <w:sz w:val="24"/>
        </w:rPr>
        <w:t>AI</w:t>
      </w:r>
      <w:r>
        <w:rPr>
          <w:rFonts w:hint="eastAsia"/>
          <w:sz w:val="24"/>
        </w:rPr>
        <w:t>将在新价格下做决策，第</w:t>
      </w:r>
      <w:r>
        <w:rPr>
          <w:sz w:val="24"/>
        </w:rPr>
        <w:t>n</w:t>
      </w:r>
      <w:r>
        <w:rPr>
          <w:rFonts w:hint="eastAsia"/>
          <w:sz w:val="24"/>
        </w:rPr>
        <w:t>位同理。单轮结束后，如果还没到设定的总轮数，就自动进入下一轮。</w:t>
      </w:r>
    </w:p>
    <w:p w14:paraId="77CEAA0E">
      <w:pPr>
        <w:spacing w:line="400" w:lineRule="exact"/>
        <w:ind w:firstLine="480" w:firstLineChars="200"/>
        <w:rPr>
          <w:sz w:val="24"/>
        </w:rPr>
      </w:pPr>
      <w:r>
        <w:rPr>
          <w:rFonts w:hint="eastAsia"/>
          <w:sz w:val="24"/>
        </w:rPr>
        <w:t>代币价格动态更新。三种代币</w:t>
      </w:r>
      <w:r>
        <w:rPr>
          <w:sz w:val="24"/>
        </w:rPr>
        <w:t>T</w:t>
      </w:r>
      <w:r>
        <w:rPr>
          <w:rFonts w:hint="eastAsia"/>
          <w:sz w:val="24"/>
        </w:rPr>
        <w:t>1、</w:t>
      </w:r>
      <w:r>
        <w:rPr>
          <w:sz w:val="24"/>
        </w:rPr>
        <w:t>T</w:t>
      </w:r>
      <w:r>
        <w:rPr>
          <w:rFonts w:hint="eastAsia"/>
          <w:sz w:val="24"/>
        </w:rPr>
        <w:t>2、</w:t>
      </w:r>
      <w:r>
        <w:rPr>
          <w:sz w:val="24"/>
        </w:rPr>
        <w:t>T</w:t>
      </w:r>
      <w:r>
        <w:rPr>
          <w:rFonts w:hint="eastAsia"/>
          <w:sz w:val="24"/>
        </w:rPr>
        <w:t>3的相对价格需要在每次</w:t>
      </w:r>
      <w:r>
        <w:rPr>
          <w:sz w:val="24"/>
        </w:rPr>
        <w:t>AI</w:t>
      </w:r>
      <w:r>
        <w:rPr>
          <w:rFonts w:hint="eastAsia"/>
          <w:sz w:val="24"/>
        </w:rPr>
        <w:t>执行兑换操作后自动更新，价格变化应反映供需关系，买入操作会推高该代币价格，卖出会操作拉低价格。</w:t>
      </w:r>
    </w:p>
    <w:p w14:paraId="4E5EE1BB">
      <w:pPr>
        <w:spacing w:line="400" w:lineRule="exact"/>
        <w:ind w:firstLine="480" w:firstLineChars="200"/>
        <w:rPr>
          <w:sz w:val="24"/>
        </w:rPr>
      </w:pPr>
      <w:r>
        <w:rPr>
          <w:rFonts w:hint="eastAsia"/>
          <w:sz w:val="24"/>
        </w:rPr>
        <w:t>收益曲线展示。前端需要以折线图实时显示三位</w:t>
      </w:r>
      <w:r>
        <w:rPr>
          <w:sz w:val="24"/>
        </w:rPr>
        <w:t>AI</w:t>
      </w:r>
      <w:r>
        <w:rPr>
          <w:rFonts w:hint="eastAsia"/>
          <w:sz w:val="24"/>
        </w:rPr>
        <w:t>的资产总值变化。资产总值按照各</w:t>
      </w:r>
      <w:r>
        <w:rPr>
          <w:sz w:val="24"/>
        </w:rPr>
        <w:t>AI</w:t>
      </w:r>
      <w:r>
        <w:rPr>
          <w:rFonts w:hint="eastAsia"/>
          <w:sz w:val="24"/>
        </w:rPr>
        <w:t>持有的</w:t>
      </w:r>
      <w:r>
        <w:rPr>
          <w:sz w:val="24"/>
        </w:rPr>
        <w:t>T</w:t>
      </w:r>
      <w:r>
        <w:rPr>
          <w:rFonts w:hint="eastAsia"/>
          <w:sz w:val="24"/>
        </w:rPr>
        <w:t>1、</w:t>
      </w:r>
      <w:r>
        <w:rPr>
          <w:sz w:val="24"/>
        </w:rPr>
        <w:t>T</w:t>
      </w:r>
      <w:r>
        <w:rPr>
          <w:rFonts w:hint="eastAsia"/>
          <w:sz w:val="24"/>
        </w:rPr>
        <w:t>2、</w:t>
      </w:r>
      <w:r>
        <w:rPr>
          <w:sz w:val="24"/>
        </w:rPr>
        <w:t>T</w:t>
      </w:r>
      <w:r>
        <w:rPr>
          <w:rFonts w:hint="eastAsia"/>
          <w:sz w:val="24"/>
        </w:rPr>
        <w:t>3数量乘以当前价格再求和得到。曲线需要随着轮次推进自动更新。</w:t>
      </w:r>
    </w:p>
    <w:p w14:paraId="2906AC82">
      <w:pPr>
        <w:spacing w:line="400" w:lineRule="exact"/>
        <w:ind w:firstLine="480" w:firstLineChars="200"/>
        <w:rPr>
          <w:sz w:val="24"/>
        </w:rPr>
      </w:pPr>
      <w:r>
        <w:rPr>
          <w:rFonts w:hint="eastAsia"/>
          <w:sz w:val="24"/>
        </w:rPr>
        <w:t>决策日志与链上记录。前端需要列出每一轮每位</w:t>
      </w:r>
      <w:r>
        <w:rPr>
          <w:sz w:val="24"/>
        </w:rPr>
        <w:t>AI</w:t>
      </w:r>
      <w:r>
        <w:rPr>
          <w:rFonts w:hint="eastAsia"/>
          <w:sz w:val="24"/>
        </w:rPr>
        <w:t>的操作内容和决策理由。同时需要提供类似区块浏览器的功能，展示测试链上发生的转账记录，包括交易哈希、收发地址、代币种类和数量。</w:t>
      </w:r>
    </w:p>
    <w:p w14:paraId="0EB6359C">
      <w:pPr>
        <w:spacing w:line="400" w:lineRule="exact"/>
        <w:ind w:firstLine="480" w:firstLineChars="200"/>
        <w:rPr>
          <w:sz w:val="24"/>
        </w:rPr>
      </w:pPr>
    </w:p>
    <w:p w14:paraId="50ED3E1C">
      <w:pPr>
        <w:ind w:firstLine="480" w:firstLineChars="200"/>
        <w:rPr>
          <w:sz w:val="24"/>
        </w:rPr>
      </w:pPr>
      <w:r>
        <w:rPr>
          <w:rFonts w:hint="eastAsia"/>
          <w:sz w:val="24"/>
        </w:rPr>
        <w:drawing>
          <wp:inline distT="0" distB="0" distL="114300" distR="114300">
            <wp:extent cx="3876040" cy="2501265"/>
            <wp:effectExtent l="0" t="0" r="10160" b="13335"/>
            <wp:docPr id="25" name="图片 25" descr="未命名绘图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未命名绘图 (5)"/>
                    <pic:cNvPicPr>
                      <a:picLocks noChangeAspect="1"/>
                    </pic:cNvPicPr>
                  </pic:nvPicPr>
                  <pic:blipFill>
                    <a:blip r:embed="rId30"/>
                    <a:stretch>
                      <a:fillRect/>
                    </a:stretch>
                  </pic:blipFill>
                  <pic:spPr>
                    <a:xfrm>
                      <a:off x="0" y="0"/>
                      <a:ext cx="3876040" cy="2501265"/>
                    </a:xfrm>
                    <a:prstGeom prst="rect">
                      <a:avLst/>
                    </a:prstGeom>
                  </pic:spPr>
                </pic:pic>
              </a:graphicData>
            </a:graphic>
          </wp:inline>
        </w:drawing>
      </w:r>
    </w:p>
    <w:p w14:paraId="38B962F0">
      <w:pPr>
        <w:spacing w:line="400" w:lineRule="exact"/>
        <w:jc w:val="center"/>
        <w:rPr>
          <w:rFonts w:hint="eastAsia" w:ascii="宋体" w:hAnsi="宋体" w:cs="宋体"/>
          <w:szCs w:val="21"/>
          <w:lang w:bidi="ar"/>
        </w:rPr>
      </w:pPr>
      <w:r>
        <w:rPr>
          <w:rFonts w:hint="eastAsia" w:ascii="宋体" w:hAnsi="宋体" w:cs="宋体"/>
          <w:szCs w:val="21"/>
          <w:lang w:bidi="ar"/>
        </w:rPr>
        <w:t>图3.3</w:t>
      </w:r>
      <w:r>
        <w:rPr>
          <w:rFonts w:hint="eastAsia"/>
          <w:szCs w:val="21"/>
          <w:lang w:bidi="ar"/>
        </w:rPr>
        <w:t xml:space="preserve"> 区块链斗兽场用例</w:t>
      </w:r>
      <w:r>
        <w:rPr>
          <w:rFonts w:hint="eastAsia" w:ascii="宋体" w:hAnsi="宋体" w:cs="宋体"/>
          <w:szCs w:val="21"/>
          <w:lang w:bidi="ar"/>
        </w:rPr>
        <w:t>图</w:t>
      </w:r>
    </w:p>
    <w:p w14:paraId="1C6C3658">
      <w:pPr>
        <w:spacing w:line="400" w:lineRule="exact"/>
        <w:ind w:firstLine="480" w:firstLineChars="200"/>
        <w:rPr>
          <w:sz w:val="24"/>
        </w:rPr>
      </w:pPr>
      <w:r>
        <w:rPr>
          <w:rFonts w:hint="eastAsia"/>
          <w:sz w:val="24"/>
        </w:rPr>
        <w:t>使用者权限限制。斗兽场启动后，使用者只能观看，不能手动干预</w:t>
      </w:r>
      <w:r>
        <w:rPr>
          <w:sz w:val="24"/>
        </w:rPr>
        <w:t>AI</w:t>
      </w:r>
      <w:r>
        <w:rPr>
          <w:rFonts w:hint="eastAsia"/>
          <w:sz w:val="24"/>
        </w:rPr>
        <w:t>的持仓，也不能暂停或修改运行参数，系统需要完整跑完预设轮数。</w:t>
      </w:r>
    </w:p>
    <w:p w14:paraId="5EEB45C1">
      <w:pPr>
        <w:spacing w:line="400" w:lineRule="exact"/>
        <w:outlineLvl w:val="2"/>
        <w:rPr>
          <w:sz w:val="24"/>
        </w:rPr>
      </w:pPr>
      <w:r>
        <w:rPr>
          <w:rFonts w:hint="eastAsia" w:ascii="黑体" w:hAnsi="黑体" w:eastAsia="黑体" w:cs="黑体"/>
          <w:sz w:val="28"/>
          <w:szCs w:val="28"/>
        </w:rPr>
        <w:t>3.2.4 用例图</w:t>
      </w:r>
    </w:p>
    <w:p w14:paraId="19FA4F13">
      <w:pPr>
        <w:spacing w:line="400" w:lineRule="exact"/>
        <w:ind w:firstLine="480" w:firstLineChars="200"/>
        <w:rPr>
          <w:sz w:val="24"/>
        </w:rPr>
      </w:pPr>
      <w:r>
        <w:rPr>
          <w:rFonts w:hint="eastAsia"/>
          <w:sz w:val="24"/>
        </w:rPr>
        <w:t>在明确了系统的使用场景和功能性需求之后，笔者需要从用户、Agent的交互角度明确系统的功能范围，所以本节引入用例图对系统进行剖析。</w:t>
      </w:r>
    </w:p>
    <w:p w14:paraId="3FD2F2F4">
      <w:pPr>
        <w:widowControl/>
        <w:jc w:val="center"/>
        <w:rPr>
          <w:rFonts w:hint="eastAsia" w:ascii="宋体" w:hAnsi="宋体" w:cs="宋体"/>
          <w:kern w:val="0"/>
          <w:sz w:val="24"/>
          <w:lang w:bidi="ar"/>
        </w:rPr>
      </w:pPr>
      <w:r>
        <w:rPr>
          <w:rFonts w:ascii="宋体" w:hAnsi="宋体" w:cs="宋体"/>
          <w:kern w:val="0"/>
          <w:sz w:val="24"/>
          <w:lang w:bidi="ar"/>
        </w:rPr>
        <w:drawing>
          <wp:inline distT="0" distB="0" distL="114300" distR="114300">
            <wp:extent cx="5171440" cy="3166110"/>
            <wp:effectExtent l="0" t="0" r="0" b="0"/>
            <wp:docPr id="11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1" descr="IMG_256"/>
                    <pic:cNvPicPr>
                      <a:picLocks noChangeAspect="1"/>
                    </pic:cNvPicPr>
                  </pic:nvPicPr>
                  <pic:blipFill>
                    <a:blip r:embed="rId31">
                      <a:lum bright="-6000"/>
                    </a:blip>
                    <a:srcRect r="43888"/>
                    <a:stretch>
                      <a:fillRect/>
                    </a:stretch>
                  </pic:blipFill>
                  <pic:spPr>
                    <a:xfrm>
                      <a:off x="0" y="0"/>
                      <a:ext cx="5171440" cy="3166110"/>
                    </a:xfrm>
                    <a:prstGeom prst="rect">
                      <a:avLst/>
                    </a:prstGeom>
                    <a:noFill/>
                    <a:ln w="9525">
                      <a:noFill/>
                    </a:ln>
                  </pic:spPr>
                </pic:pic>
              </a:graphicData>
            </a:graphic>
          </wp:inline>
        </w:drawing>
      </w:r>
    </w:p>
    <w:p w14:paraId="7EFE78B3">
      <w:pPr>
        <w:spacing w:line="400" w:lineRule="exact"/>
        <w:jc w:val="center"/>
        <w:rPr>
          <w:rFonts w:hint="eastAsia" w:ascii="宋体" w:hAnsi="宋体" w:cs="宋体"/>
          <w:szCs w:val="21"/>
          <w:lang w:bidi="ar"/>
        </w:rPr>
      </w:pPr>
      <w:r>
        <w:rPr>
          <w:rFonts w:hint="eastAsia" w:ascii="宋体" w:hAnsi="宋体" w:cs="宋体"/>
          <w:szCs w:val="21"/>
          <w:lang w:bidi="ar"/>
        </w:rPr>
        <w:t>图3.4</w:t>
      </w:r>
      <w:r>
        <w:rPr>
          <w:rFonts w:hint="eastAsia"/>
          <w:szCs w:val="21"/>
          <w:lang w:bidi="ar"/>
        </w:rPr>
        <w:t xml:space="preserve"> 人类使用者用例</w:t>
      </w:r>
      <w:r>
        <w:rPr>
          <w:rFonts w:hint="eastAsia" w:ascii="宋体" w:hAnsi="宋体" w:cs="宋体"/>
          <w:szCs w:val="21"/>
          <w:lang w:bidi="ar"/>
        </w:rPr>
        <w:t>图</w:t>
      </w:r>
    </w:p>
    <w:p w14:paraId="2B19B92B">
      <w:pPr>
        <w:spacing w:line="400" w:lineRule="exact"/>
        <w:jc w:val="center"/>
        <w:rPr>
          <w:rFonts w:hint="eastAsia" w:ascii="宋体" w:hAnsi="宋体" w:cs="宋体"/>
          <w:szCs w:val="21"/>
          <w:lang w:bidi="ar"/>
        </w:rPr>
      </w:pPr>
    </w:p>
    <w:p w14:paraId="77B36043">
      <w:pPr>
        <w:spacing w:line="400" w:lineRule="exact"/>
        <w:ind w:firstLine="480" w:firstLineChars="200"/>
        <w:rPr>
          <w:rFonts w:hint="eastAsia" w:ascii="宋体" w:hAnsi="宋体" w:cs="宋体"/>
          <w:szCs w:val="21"/>
          <w:lang w:bidi="ar"/>
        </w:rPr>
      </w:pPr>
      <w:r>
        <w:rPr>
          <w:rFonts w:hint="eastAsia"/>
          <w:sz w:val="24"/>
        </w:rPr>
        <w:t>“人类使用者”是本系统的主要参与者。如图3.4所示，人类使用者是系统的直接操控人，可以查看股票行情、触发</w:t>
      </w:r>
      <w:r>
        <w:rPr>
          <w:sz w:val="24"/>
        </w:rPr>
        <w:t>AI</w:t>
      </w:r>
      <w:r>
        <w:rPr>
          <w:rFonts w:hint="eastAsia"/>
          <w:sz w:val="24"/>
        </w:rPr>
        <w:t>决策以及查看</w:t>
      </w:r>
      <w:r>
        <w:rPr>
          <w:sz w:val="24"/>
        </w:rPr>
        <w:t>AI</w:t>
      </w:r>
      <w:r>
        <w:rPr>
          <w:rFonts w:hint="eastAsia"/>
          <w:sz w:val="24"/>
        </w:rPr>
        <w:t>日志与收益等；除此之外，人类操作者还可以使用“斗兽场”模块，能够配置AI对局设置、观察斗兽场博弈以及链上的交易记录。</w:t>
      </w:r>
    </w:p>
    <w:p w14:paraId="3F04DD97">
      <w:pPr>
        <w:pStyle w:val="11"/>
        <w:jc w:val="center"/>
        <w:rPr>
          <w:rFonts w:ascii="黑体" w:eastAsia="黑体"/>
          <w:sz w:val="30"/>
        </w:rPr>
      </w:pPr>
      <w:r>
        <w:rPr>
          <w:rFonts w:hint="eastAsia" w:ascii="黑体" w:eastAsia="黑体"/>
          <w:sz w:val="30"/>
        </w:rPr>
        <w:drawing>
          <wp:inline distT="0" distB="0" distL="114300" distR="114300">
            <wp:extent cx="4184015" cy="2639060"/>
            <wp:effectExtent l="0" t="0" r="6985" b="8890"/>
            <wp:docPr id="112" name="图片 112" descr="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用例图.drawio"/>
                    <pic:cNvPicPr>
                      <a:picLocks noChangeAspect="1"/>
                    </pic:cNvPicPr>
                  </pic:nvPicPr>
                  <pic:blipFill>
                    <a:blip r:embed="rId32"/>
                    <a:srcRect l="58366" t="9150" r="-214" b="11126"/>
                    <a:stretch>
                      <a:fillRect/>
                    </a:stretch>
                  </pic:blipFill>
                  <pic:spPr>
                    <a:xfrm>
                      <a:off x="0" y="0"/>
                      <a:ext cx="4184015" cy="2639060"/>
                    </a:xfrm>
                    <a:prstGeom prst="rect">
                      <a:avLst/>
                    </a:prstGeom>
                  </pic:spPr>
                </pic:pic>
              </a:graphicData>
            </a:graphic>
          </wp:inline>
        </w:drawing>
      </w:r>
    </w:p>
    <w:p w14:paraId="77627070">
      <w:pPr>
        <w:spacing w:line="400" w:lineRule="exact"/>
        <w:jc w:val="center"/>
        <w:rPr>
          <w:rFonts w:hint="eastAsia" w:ascii="宋体" w:hAnsi="宋体" w:cs="宋体"/>
          <w:szCs w:val="21"/>
          <w:lang w:bidi="ar"/>
        </w:rPr>
      </w:pPr>
      <w:r>
        <w:rPr>
          <w:rFonts w:hint="eastAsia" w:ascii="宋体" w:hAnsi="宋体" w:cs="宋体"/>
          <w:szCs w:val="21"/>
          <w:lang w:bidi="ar"/>
        </w:rPr>
        <w:t>图3.5</w:t>
      </w:r>
      <w:r>
        <w:rPr>
          <w:rFonts w:hint="eastAsia"/>
          <w:szCs w:val="21"/>
          <w:lang w:bidi="ar"/>
        </w:rPr>
        <w:t xml:space="preserve"> AI交易员用例</w:t>
      </w:r>
      <w:r>
        <w:rPr>
          <w:rFonts w:hint="eastAsia" w:ascii="宋体" w:hAnsi="宋体" w:cs="宋体"/>
          <w:szCs w:val="21"/>
          <w:lang w:bidi="ar"/>
        </w:rPr>
        <w:t>图</w:t>
      </w:r>
    </w:p>
    <w:p w14:paraId="20DF2508">
      <w:pPr>
        <w:spacing w:line="400" w:lineRule="exact"/>
        <w:jc w:val="center"/>
        <w:rPr>
          <w:rFonts w:hint="eastAsia" w:ascii="宋体" w:hAnsi="宋体" w:cs="宋体"/>
          <w:szCs w:val="21"/>
          <w:lang w:bidi="ar"/>
        </w:rPr>
      </w:pPr>
    </w:p>
    <w:p w14:paraId="51D8368C">
      <w:pPr>
        <w:ind w:firstLine="480" w:firstLineChars="200"/>
        <w:rPr>
          <w:sz w:val="24"/>
        </w:rPr>
      </w:pPr>
      <w:r>
        <w:rPr>
          <w:rFonts w:hint="eastAsia"/>
          <w:sz w:val="24"/>
        </w:rPr>
        <w:t>在本系统中，</w:t>
      </w:r>
      <w:r>
        <w:rPr>
          <w:sz w:val="24"/>
        </w:rPr>
        <w:t>AI</w:t>
      </w:r>
      <w:r>
        <w:rPr>
          <w:rFonts w:hint="eastAsia"/>
          <w:sz w:val="24"/>
        </w:rPr>
        <w:t>交易员跟人类使用者一样，也是具备主观能动性的参与者，它在斗兽场和模拟交易所中都发挥着关键的作用，可以执行代币兑换和买卖股票操作，其中买卖操作包含了读写市场数据，如图3.5所示。</w:t>
      </w:r>
    </w:p>
    <w:p w14:paraId="7C257C99">
      <w:pPr>
        <w:spacing w:line="400" w:lineRule="exact"/>
        <w:ind w:firstLine="480" w:firstLineChars="200"/>
        <w:rPr>
          <w:sz w:val="24"/>
        </w:rPr>
      </w:pPr>
      <w:r>
        <w:rPr>
          <w:rFonts w:hint="eastAsia"/>
          <w:sz w:val="24"/>
        </w:rPr>
        <w:t>从用例关系看，“观察斗兽场博弈”包含了查看交易记录以及能够给用户带来参考价值的AI决策日志功能，并且人类用户触发AI决策，也能够同时读取市场数据。</w:t>
      </w:r>
    </w:p>
    <w:p w14:paraId="3940AF60">
      <w:pPr>
        <w:pStyle w:val="11"/>
        <w:spacing w:line="400" w:lineRule="exact"/>
        <w:outlineLvl w:val="1"/>
        <w:rPr>
          <w:rFonts w:ascii="黑体" w:eastAsia="黑体"/>
          <w:sz w:val="30"/>
        </w:rPr>
      </w:pPr>
      <w:bookmarkStart w:id="26" w:name="_Toc27764"/>
      <w:r>
        <w:rPr>
          <w:rFonts w:hint="eastAsia" w:ascii="黑体" w:eastAsia="黑体"/>
          <w:sz w:val="30"/>
        </w:rPr>
        <w:t>3.3 非功能性需求</w:t>
      </w:r>
      <w:bookmarkEnd w:id="26"/>
    </w:p>
    <w:p w14:paraId="0194C60E">
      <w:pPr>
        <w:spacing w:line="400" w:lineRule="exact"/>
        <w:ind w:firstLine="480" w:firstLineChars="200"/>
        <w:rPr>
          <w:sz w:val="24"/>
        </w:rPr>
      </w:pPr>
      <w:r>
        <w:rPr>
          <w:rFonts w:hint="eastAsia"/>
          <w:sz w:val="24"/>
        </w:rPr>
        <w:t>非功能性需求关注的是本系统在性能、可靠性、安全性等方面的要求。</w:t>
      </w:r>
    </w:p>
    <w:p w14:paraId="437EAF79">
      <w:pPr>
        <w:spacing w:line="400" w:lineRule="exact"/>
        <w:outlineLvl w:val="2"/>
        <w:rPr>
          <w:rFonts w:eastAsia="黑体"/>
          <w:szCs w:val="21"/>
        </w:rPr>
      </w:pPr>
      <w:bookmarkStart w:id="27" w:name="_Toc488"/>
      <w:r>
        <w:rPr>
          <w:rFonts w:hint="eastAsia" w:ascii="黑体" w:hAnsi="黑体" w:eastAsia="黑体" w:cs="黑体"/>
          <w:sz w:val="28"/>
          <w:szCs w:val="28"/>
        </w:rPr>
        <w:t>3.3.1 数据一致性</w:t>
      </w:r>
      <w:bookmarkEnd w:id="27"/>
    </w:p>
    <w:p w14:paraId="6E1E8B20">
      <w:pPr>
        <w:spacing w:line="400" w:lineRule="exact"/>
        <w:ind w:firstLine="480" w:firstLineChars="200"/>
        <w:rPr>
          <w:sz w:val="24"/>
        </w:rPr>
      </w:pPr>
      <w:r>
        <w:rPr>
          <w:rFonts w:hint="eastAsia"/>
          <w:sz w:val="24"/>
        </w:rPr>
        <w:t>股票买卖和代币兑换都会并发修改多张数据表。比如买入股票时，现金余额要减少、持仓要增加、交易流水要新增。系统必须保证这些更新操作要么全部成功，要么全部失败，不能出现一半成功一半失败导致数据对不上的情况，即需要满足事务的原子性。</w:t>
      </w:r>
    </w:p>
    <w:p w14:paraId="24CC2B96">
      <w:pPr>
        <w:spacing w:line="400" w:lineRule="exact"/>
        <w:outlineLvl w:val="2"/>
        <w:rPr>
          <w:rFonts w:hint="eastAsia" w:ascii="黑体" w:hAnsi="黑体" w:eastAsia="黑体" w:cs="黑体"/>
          <w:sz w:val="28"/>
          <w:szCs w:val="28"/>
        </w:rPr>
      </w:pPr>
      <w:bookmarkStart w:id="28" w:name="_Toc3878"/>
      <w:r>
        <w:rPr>
          <w:rFonts w:hint="eastAsia" w:ascii="黑体" w:hAnsi="黑体" w:eastAsia="黑体" w:cs="黑体"/>
          <w:sz w:val="28"/>
          <w:szCs w:val="28"/>
        </w:rPr>
        <w:t>3.3.2 多线程并发</w:t>
      </w:r>
      <w:bookmarkEnd w:id="28"/>
    </w:p>
    <w:p w14:paraId="47B0CEC4">
      <w:pPr>
        <w:spacing w:line="400" w:lineRule="exact"/>
        <w:ind w:firstLine="480" w:firstLineChars="200"/>
        <w:rPr>
          <w:sz w:val="24"/>
        </w:rPr>
      </w:pPr>
      <w:r>
        <w:rPr>
          <w:rFonts w:hint="eastAsia"/>
          <w:sz w:val="24"/>
        </w:rPr>
        <w:t>斗兽场每轮需要多位</w:t>
      </w:r>
      <w:r>
        <w:rPr>
          <w:sz w:val="24"/>
        </w:rPr>
        <w:t>AI</w:t>
      </w:r>
      <w:r>
        <w:rPr>
          <w:rFonts w:hint="eastAsia"/>
          <w:sz w:val="24"/>
        </w:rPr>
        <w:t>竞争交易顺序，</w:t>
      </w:r>
      <w:r>
        <w:rPr>
          <w:sz w:val="24"/>
        </w:rPr>
        <w:t>AI</w:t>
      </w:r>
      <w:r>
        <w:rPr>
          <w:rFonts w:hint="eastAsia"/>
          <w:sz w:val="24"/>
        </w:rPr>
        <w:t>辅助交易模块也可能同时收到多次手动触发。大模型</w:t>
      </w:r>
      <w:r>
        <w:rPr>
          <w:sz w:val="24"/>
        </w:rPr>
        <w:t>API</w:t>
      </w:r>
      <w:r>
        <w:rPr>
          <w:rFonts w:hint="eastAsia"/>
          <w:sz w:val="24"/>
        </w:rPr>
        <w:t>的调用是耗时的阻塞操作，如果放在主线程里执行会影响整个系统的性能，因此</w:t>
      </w:r>
      <w:r>
        <w:rPr>
          <w:sz w:val="24"/>
        </w:rPr>
        <w:t>AI</w:t>
      </w:r>
      <w:r>
        <w:rPr>
          <w:rFonts w:hint="eastAsia"/>
          <w:sz w:val="24"/>
        </w:rPr>
        <w:t>决策过程需要在独立的线程池中执行，线程池参数需要合理配置。</w:t>
      </w:r>
    </w:p>
    <w:p w14:paraId="64F914A9">
      <w:pPr>
        <w:spacing w:line="400" w:lineRule="exact"/>
        <w:outlineLvl w:val="2"/>
        <w:rPr>
          <w:rFonts w:hint="eastAsia" w:ascii="黑体" w:hAnsi="黑体" w:eastAsia="黑体" w:cs="黑体"/>
          <w:sz w:val="28"/>
          <w:szCs w:val="28"/>
        </w:rPr>
      </w:pPr>
      <w:bookmarkStart w:id="29" w:name="_Toc14923"/>
      <w:r>
        <w:rPr>
          <w:rFonts w:hint="eastAsia" w:ascii="黑体" w:hAnsi="黑体" w:eastAsia="黑体" w:cs="黑体"/>
          <w:sz w:val="28"/>
          <w:szCs w:val="28"/>
        </w:rPr>
        <w:t>3.3.3 外部</w:t>
      </w:r>
      <w:r>
        <w:rPr>
          <w:rFonts w:eastAsia="黑体"/>
          <w:sz w:val="24"/>
        </w:rPr>
        <w:t>API</w:t>
      </w:r>
      <w:r>
        <w:rPr>
          <w:rFonts w:hint="eastAsia" w:ascii="黑体" w:hAnsi="黑体" w:eastAsia="黑体" w:cs="黑体"/>
          <w:sz w:val="28"/>
          <w:szCs w:val="28"/>
        </w:rPr>
        <w:t>调用容错</w:t>
      </w:r>
      <w:bookmarkEnd w:id="29"/>
    </w:p>
    <w:p w14:paraId="429A80F8">
      <w:pPr>
        <w:spacing w:line="400" w:lineRule="exact"/>
        <w:ind w:firstLine="480" w:firstLineChars="200"/>
        <w:rPr>
          <w:sz w:val="24"/>
        </w:rPr>
      </w:pPr>
      <w:r>
        <w:rPr>
          <w:rFonts w:hint="eastAsia"/>
          <w:sz w:val="24"/>
        </w:rPr>
        <w:t>系统依赖</w:t>
      </w:r>
      <w:r>
        <w:rPr>
          <w:sz w:val="24"/>
        </w:rPr>
        <w:t>Alpha</w:t>
      </w:r>
      <w:r>
        <w:rPr>
          <w:rFonts w:hint="eastAsia"/>
          <w:sz w:val="24"/>
        </w:rPr>
        <w:t xml:space="preserve"> </w:t>
      </w:r>
      <w:r>
        <w:rPr>
          <w:sz w:val="24"/>
        </w:rPr>
        <w:t>Vantage</w:t>
      </w:r>
      <w:r>
        <w:rPr>
          <w:rFonts w:hint="eastAsia"/>
          <w:sz w:val="24"/>
        </w:rPr>
        <w:t>和</w:t>
      </w:r>
      <w:r>
        <w:rPr>
          <w:sz w:val="24"/>
        </w:rPr>
        <w:t>LLM</w:t>
      </w:r>
      <w:r>
        <w:rPr>
          <w:rFonts w:hint="eastAsia"/>
          <w:sz w:val="24"/>
        </w:rPr>
        <w:t>两类外部</w:t>
      </w:r>
      <w:r>
        <w:rPr>
          <w:sz w:val="24"/>
        </w:rPr>
        <w:t>API</w:t>
      </w:r>
      <w:r>
        <w:rPr>
          <w:rFonts w:hint="eastAsia"/>
          <w:sz w:val="24"/>
        </w:rPr>
        <w:t>。网络波动、</w:t>
      </w:r>
      <w:r>
        <w:rPr>
          <w:sz w:val="24"/>
        </w:rPr>
        <w:t>API</w:t>
      </w:r>
      <w:r>
        <w:rPr>
          <w:rFonts w:hint="eastAsia"/>
          <w:sz w:val="24"/>
        </w:rPr>
        <w:t>配额耗尽、服务端故障等情况都可能导致调用失败，系统不能因为外部</w:t>
      </w:r>
      <w:r>
        <w:rPr>
          <w:sz w:val="24"/>
        </w:rPr>
        <w:t>API</w:t>
      </w:r>
      <w:r>
        <w:rPr>
          <w:rFonts w:hint="eastAsia"/>
          <w:sz w:val="24"/>
        </w:rPr>
        <w:t>出错就直接崩溃，所以需要有超时控制和重试机制，并在出错时向使用者给出明确提示。</w:t>
      </w:r>
    </w:p>
    <w:p w14:paraId="3C528150">
      <w:pPr>
        <w:spacing w:line="400" w:lineRule="exact"/>
        <w:outlineLvl w:val="2"/>
        <w:rPr>
          <w:rFonts w:hint="eastAsia" w:ascii="黑体" w:hAnsi="黑体" w:eastAsia="黑体" w:cs="黑体"/>
          <w:sz w:val="28"/>
          <w:szCs w:val="28"/>
        </w:rPr>
      </w:pPr>
      <w:bookmarkStart w:id="30" w:name="_Toc19760"/>
      <w:r>
        <w:rPr>
          <w:rFonts w:hint="eastAsia" w:ascii="黑体" w:hAnsi="黑体" w:eastAsia="黑体" w:cs="黑体"/>
          <w:sz w:val="28"/>
          <w:szCs w:val="28"/>
        </w:rPr>
        <w:t>3.3.4 前端响应与展示性能</w:t>
      </w:r>
      <w:bookmarkEnd w:id="30"/>
    </w:p>
    <w:p w14:paraId="44379E06">
      <w:pPr>
        <w:spacing w:line="400" w:lineRule="exact"/>
        <w:ind w:firstLine="480" w:firstLineChars="200"/>
        <w:rPr>
          <w:sz w:val="24"/>
        </w:rPr>
      </w:pPr>
      <w:r>
        <w:rPr>
          <w:rFonts w:hint="eastAsia"/>
          <w:sz w:val="24"/>
        </w:rPr>
        <w:t>斗兽场中的</w:t>
      </w:r>
      <w:r>
        <w:rPr>
          <w:sz w:val="24"/>
        </w:rPr>
        <w:t>AI</w:t>
      </w:r>
      <w:r>
        <w:rPr>
          <w:rFonts w:hint="eastAsia"/>
          <w:sz w:val="24"/>
        </w:rPr>
        <w:t>资产曲线会随着轮次增加积累大量的数据点，决策日志条目也会越来越多。前端渲染时需要注意性能，图表更新应采用增量方式只追加新数据，而不是每次都重新绘制整个图表。日志列表如果太长，也需要考虑分页或虚拟滚动。</w:t>
      </w:r>
    </w:p>
    <w:p w14:paraId="24B61C5B">
      <w:pPr>
        <w:spacing w:line="400" w:lineRule="exact"/>
        <w:outlineLvl w:val="2"/>
        <w:rPr>
          <w:rFonts w:hint="eastAsia" w:ascii="黑体" w:hAnsi="黑体" w:eastAsia="黑体" w:cs="黑体"/>
          <w:sz w:val="28"/>
          <w:szCs w:val="28"/>
        </w:rPr>
      </w:pPr>
      <w:bookmarkStart w:id="31" w:name="_Toc28851"/>
      <w:r>
        <w:rPr>
          <w:rFonts w:hint="eastAsia" w:ascii="黑体" w:hAnsi="黑体" w:eastAsia="黑体" w:cs="黑体"/>
          <w:sz w:val="28"/>
          <w:szCs w:val="28"/>
        </w:rPr>
        <w:t>3.3.5 系统可观测性</w:t>
      </w:r>
      <w:bookmarkEnd w:id="31"/>
    </w:p>
    <w:p w14:paraId="796A902B">
      <w:pPr>
        <w:spacing w:line="400" w:lineRule="exact"/>
        <w:ind w:firstLine="480" w:firstLineChars="200"/>
        <w:rPr>
          <w:sz w:val="24"/>
        </w:rPr>
        <w:sectPr>
          <w:headerReference r:id="rId18" w:type="default"/>
          <w:pgSz w:w="11906" w:h="16838"/>
          <w:pgMar w:top="1701" w:right="1418" w:bottom="1418" w:left="1418" w:header="907" w:footer="851" w:gutter="567"/>
          <w:cols w:space="720" w:num="1"/>
          <w:docGrid w:type="lines" w:linePitch="312" w:charSpace="0"/>
        </w:sectPr>
      </w:pPr>
      <w:r>
        <w:rPr>
          <w:rFonts w:hint="eastAsia"/>
          <w:sz w:val="24"/>
        </w:rPr>
        <w:t>为了方便调试和事后分析，系统需要记录关键操作的日志，包括每次</w:t>
      </w:r>
      <w:r>
        <w:rPr>
          <w:sz w:val="24"/>
        </w:rPr>
        <w:t>AI</w:t>
      </w:r>
      <w:r>
        <w:rPr>
          <w:rFonts w:hint="eastAsia"/>
          <w:sz w:val="24"/>
        </w:rPr>
        <w:t>决策的输入数据、返回的原始内容、工具调用的参数和结果、链上交易哈希等。日志级别需要能够灵活调整，日常运行时用较粗略的级别，需要排查问题时再切换到详细级别。</w:t>
      </w:r>
    </w:p>
    <w:p w14:paraId="0829BBE8">
      <w:pPr>
        <w:rPr>
          <w:sz w:val="24"/>
        </w:rPr>
      </w:pPr>
    </w:p>
    <w:p w14:paraId="441A778A">
      <w:pPr>
        <w:spacing w:line="400" w:lineRule="exact"/>
        <w:jc w:val="center"/>
        <w:outlineLvl w:val="0"/>
        <w:rPr>
          <w:rFonts w:ascii="黑体" w:eastAsia="黑体"/>
          <w:sz w:val="32"/>
        </w:rPr>
      </w:pPr>
      <w:bookmarkStart w:id="32" w:name="_Toc26116"/>
      <w:r>
        <w:rPr>
          <w:rFonts w:hint="eastAsia" w:ascii="黑体" w:eastAsia="黑体"/>
          <w:sz w:val="32"/>
        </w:rPr>
        <w:t>4 模拟交易所</w:t>
      </w:r>
      <w:commentRangeStart w:id="1"/>
      <w:r>
        <w:rPr>
          <w:rFonts w:hint="eastAsia" w:ascii="黑体" w:eastAsia="黑体"/>
          <w:sz w:val="32"/>
        </w:rPr>
        <w:t>系统设计</w:t>
      </w:r>
      <w:commentRangeEnd w:id="1"/>
      <w:bookmarkEnd w:id="32"/>
      <w:r>
        <w:rPr>
          <w:rStyle w:val="31"/>
          <w:rFonts w:ascii="黑体" w:eastAsia="黑体"/>
          <w:sz w:val="32"/>
          <w:szCs w:val="24"/>
        </w:rPr>
        <w:commentReference w:id="1"/>
      </w:r>
    </w:p>
    <w:p w14:paraId="4668D52E">
      <w:pPr>
        <w:spacing w:line="400" w:lineRule="exact"/>
        <w:jc w:val="center"/>
        <w:rPr>
          <w:rFonts w:ascii="黑体" w:eastAsia="黑体"/>
          <w:sz w:val="32"/>
        </w:rPr>
      </w:pPr>
    </w:p>
    <w:p w14:paraId="3EC71CB4">
      <w:pPr>
        <w:spacing w:line="400" w:lineRule="exact"/>
        <w:ind w:firstLine="480" w:firstLineChars="200"/>
        <w:rPr>
          <w:sz w:val="24"/>
        </w:rPr>
      </w:pPr>
      <w:r>
        <w:rPr>
          <w:rFonts w:hint="eastAsia"/>
          <w:sz w:val="24"/>
        </w:rPr>
        <w:t>系统总体设计在需求分析的基础上进行，主要解决三个问题：系统采用什么样的架构、包含哪些功能模块、数据库需要新建哪些表来存数据。本章依次给出架构设计、模块划分和数据库表结构。</w:t>
      </w:r>
    </w:p>
    <w:p w14:paraId="77A4FACE">
      <w:pPr>
        <w:pStyle w:val="11"/>
        <w:spacing w:line="400" w:lineRule="exact"/>
        <w:outlineLvl w:val="1"/>
        <w:rPr>
          <w:rFonts w:ascii="黑体" w:eastAsia="黑体"/>
          <w:sz w:val="30"/>
        </w:rPr>
      </w:pPr>
      <w:bookmarkStart w:id="33" w:name="_Toc18741"/>
      <w:r>
        <w:rPr>
          <w:rFonts w:hint="eastAsia" w:ascii="黑体" w:eastAsia="黑体"/>
          <w:sz w:val="30"/>
        </w:rPr>
        <w:t>4.1 系统架构设计</w:t>
      </w:r>
      <w:bookmarkEnd w:id="33"/>
    </w:p>
    <w:p w14:paraId="0F36B3BD">
      <w:pPr>
        <w:spacing w:line="400" w:lineRule="exact"/>
        <w:ind w:firstLine="480" w:firstLineChars="200"/>
        <w:rPr>
          <w:sz w:val="24"/>
        </w:rPr>
      </w:pPr>
      <w:r>
        <w:rPr>
          <w:rFonts w:hint="eastAsia"/>
          <w:sz w:val="24"/>
        </w:rPr>
        <w:t>本系统采用前后端分离的架构。前端使用</w:t>
      </w:r>
      <w:r>
        <w:rPr>
          <w:sz w:val="24"/>
        </w:rPr>
        <w:t>Vue</w:t>
      </w:r>
      <w:r>
        <w:rPr>
          <w:rFonts w:hint="eastAsia"/>
          <w:sz w:val="24"/>
        </w:rPr>
        <w:t xml:space="preserve"> 3框架，运行在浏览器中，负责界面展示和用户交互。后端使用</w:t>
      </w:r>
      <w:r>
        <w:rPr>
          <w:sz w:val="24"/>
        </w:rPr>
        <w:t>SpringBoot</w:t>
      </w:r>
      <w:r>
        <w:rPr>
          <w:rFonts w:hint="eastAsia"/>
          <w:sz w:val="24"/>
        </w:rPr>
        <w:t>框架，运行在</w:t>
      </w:r>
      <w:r>
        <w:rPr>
          <w:sz w:val="24"/>
        </w:rPr>
        <w:t>Tomcat</w:t>
      </w:r>
      <w:r>
        <w:rPr>
          <w:rFonts w:hint="eastAsia"/>
          <w:sz w:val="24"/>
        </w:rPr>
        <w:t>服务器上，负责处理业务逻辑、操作数据库以及与外部系统通信。前后端之间通过</w:t>
      </w:r>
      <w:r>
        <w:rPr>
          <w:sz w:val="24"/>
        </w:rPr>
        <w:t>HTTP</w:t>
      </w:r>
      <w:r>
        <w:rPr>
          <w:rFonts w:hint="eastAsia"/>
          <w:sz w:val="24"/>
        </w:rPr>
        <w:t>协议传输</w:t>
      </w:r>
      <w:r>
        <w:rPr>
          <w:sz w:val="24"/>
        </w:rPr>
        <w:t>JSON</w:t>
      </w:r>
      <w:r>
        <w:rPr>
          <w:rFonts w:hint="eastAsia"/>
          <w:sz w:val="24"/>
        </w:rPr>
        <w:t>格式的数据。</w:t>
      </w:r>
    </w:p>
    <w:p w14:paraId="409A19B9">
      <w:pPr>
        <w:spacing w:line="400" w:lineRule="exact"/>
        <w:ind w:firstLine="480" w:firstLineChars="200"/>
        <w:rPr>
          <w:sz w:val="24"/>
        </w:rPr>
      </w:pPr>
    </w:p>
    <w:p w14:paraId="72D9B3A8">
      <w:pPr>
        <w:widowControl/>
        <w:jc w:val="left"/>
        <w:rPr>
          <w:rFonts w:hint="eastAsia" w:ascii="宋体" w:hAnsi="宋体" w:cs="宋体"/>
          <w:kern w:val="0"/>
          <w:sz w:val="24"/>
          <w:lang w:bidi="ar"/>
        </w:rPr>
      </w:pPr>
      <w:r>
        <w:rPr>
          <w:rFonts w:ascii="宋体" w:hAnsi="宋体" w:cs="宋体"/>
          <w:kern w:val="0"/>
          <w:sz w:val="24"/>
          <w:lang w:bidi="ar"/>
        </w:rPr>
        <w:drawing>
          <wp:inline distT="0" distB="0" distL="114300" distR="114300">
            <wp:extent cx="5372735" cy="4994910"/>
            <wp:effectExtent l="0" t="0" r="18415" b="0"/>
            <wp:docPr id="61"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6" descr="IMG_256"/>
                    <pic:cNvPicPr>
                      <a:picLocks noChangeAspect="1"/>
                    </pic:cNvPicPr>
                  </pic:nvPicPr>
                  <pic:blipFill>
                    <a:blip r:embed="rId33"/>
                    <a:stretch>
                      <a:fillRect/>
                    </a:stretch>
                  </pic:blipFill>
                  <pic:spPr>
                    <a:xfrm>
                      <a:off x="0" y="0"/>
                      <a:ext cx="5372735" cy="4994910"/>
                    </a:xfrm>
                    <a:prstGeom prst="rect">
                      <a:avLst/>
                    </a:prstGeom>
                    <a:noFill/>
                    <a:ln w="9525">
                      <a:noFill/>
                    </a:ln>
                  </pic:spPr>
                </pic:pic>
              </a:graphicData>
            </a:graphic>
          </wp:inline>
        </w:drawing>
      </w:r>
    </w:p>
    <w:p w14:paraId="24CE31FD">
      <w:pPr>
        <w:spacing w:line="400" w:lineRule="exact"/>
        <w:jc w:val="center"/>
      </w:pPr>
      <w:r>
        <w:rPr>
          <w:rFonts w:hint="eastAsia"/>
        </w:rPr>
        <w:t>图4.1 系统架构图</w:t>
      </w:r>
    </w:p>
    <w:p w14:paraId="1560776D">
      <w:pPr>
        <w:spacing w:line="400" w:lineRule="exact"/>
        <w:jc w:val="center"/>
      </w:pPr>
    </w:p>
    <w:p w14:paraId="30D25323">
      <w:pPr>
        <w:spacing w:line="400" w:lineRule="exact"/>
        <w:ind w:firstLine="480" w:firstLineChars="200"/>
        <w:rPr>
          <w:sz w:val="24"/>
        </w:rPr>
      </w:pPr>
      <w:r>
        <w:rPr>
          <w:rFonts w:hint="eastAsia"/>
          <w:sz w:val="24"/>
        </w:rPr>
        <w:t xml:space="preserve">系统整体大致可以分为四层，如图4.1所示。 </w:t>
      </w:r>
    </w:p>
    <w:p w14:paraId="0FCC2495">
      <w:pPr>
        <w:spacing w:line="400" w:lineRule="exact"/>
        <w:ind w:firstLine="480" w:firstLineChars="200"/>
        <w:rPr>
          <w:sz w:val="24"/>
        </w:rPr>
      </w:pPr>
      <w:r>
        <w:rPr>
          <w:rFonts w:hint="eastAsia"/>
          <w:sz w:val="24"/>
        </w:rPr>
        <w:t>前端展示层，该项目的网页包含两个主要标签页，一个是股票交易页面，另一个是斗兽场页面。页面上有表格、图表、按钮和日志列表，用户通过它们查看数据、触发操作。</w:t>
      </w:r>
    </w:p>
    <w:p w14:paraId="25A42AD1">
      <w:pPr>
        <w:spacing w:line="400" w:lineRule="exact"/>
        <w:ind w:firstLine="480" w:firstLineChars="200"/>
        <w:rPr>
          <w:sz w:val="24"/>
        </w:rPr>
      </w:pPr>
      <w:r>
        <w:rPr>
          <w:rFonts w:hint="eastAsia"/>
          <w:sz w:val="24"/>
        </w:rPr>
        <w:t>后端业务层，这一层是</w:t>
      </w:r>
      <w:r>
        <w:rPr>
          <w:sz w:val="24"/>
        </w:rPr>
        <w:t>SpringBoot</w:t>
      </w:r>
      <w:r>
        <w:rPr>
          <w:rFonts w:hint="eastAsia"/>
          <w:sz w:val="24"/>
        </w:rPr>
        <w:t>应用，接收前端发来的请求，执行对应的业务逻辑，然后返回结果。业务层内部又分为控制层、服务层和数据接口层。控制层负责接收请求和返回响应；服务层负责具体的业务处理，比如计算技术指标、调用大模型、执行买卖操作等；数据接口层负责读写持久层的数据</w:t>
      </w:r>
    </w:p>
    <w:p w14:paraId="260B60BB">
      <w:pPr>
        <w:spacing w:line="400" w:lineRule="exact"/>
        <w:ind w:firstLine="480" w:firstLineChars="200"/>
        <w:rPr>
          <w:sz w:val="24"/>
        </w:rPr>
      </w:pPr>
      <w:r>
        <w:rPr>
          <w:rFonts w:hint="eastAsia"/>
          <w:sz w:val="24"/>
        </w:rPr>
        <w:t>数据持久层。该层由</w:t>
      </w:r>
      <w:r>
        <w:rPr>
          <w:sz w:val="24"/>
        </w:rPr>
        <w:t>MySQL</w:t>
      </w:r>
      <w:r>
        <w:rPr>
          <w:rFonts w:hint="eastAsia"/>
          <w:sz w:val="24"/>
        </w:rPr>
        <w:t>存储中间件和</w:t>
      </w:r>
      <w:r>
        <w:rPr>
          <w:sz w:val="24"/>
        </w:rPr>
        <w:t>MyBatis</w:t>
      </w:r>
      <w:r>
        <w:rPr>
          <w:rFonts w:hint="eastAsia"/>
          <w:sz w:val="24"/>
        </w:rPr>
        <w:t>持久层框架实现，用来存储股票信息、价格历史、</w:t>
      </w:r>
      <w:r>
        <w:rPr>
          <w:sz w:val="24"/>
        </w:rPr>
        <w:t>AI</w:t>
      </w:r>
      <w:r>
        <w:rPr>
          <w:rFonts w:hint="eastAsia"/>
          <w:sz w:val="24"/>
        </w:rPr>
        <w:t>持仓、交易记录、斗兽场配置等所有需要持久保存的数据。</w:t>
      </w:r>
    </w:p>
    <w:p w14:paraId="1D8AA061">
      <w:pPr>
        <w:spacing w:line="400" w:lineRule="exact"/>
        <w:ind w:firstLine="480" w:firstLineChars="200"/>
        <w:rPr>
          <w:sz w:val="24"/>
        </w:rPr>
      </w:pPr>
      <w:r>
        <w:rPr>
          <w:rFonts w:hint="eastAsia"/>
          <w:sz w:val="24"/>
        </w:rPr>
        <w:t>区块链网络层。这一层是本地运行的</w:t>
      </w:r>
      <w:r>
        <w:rPr>
          <w:sz w:val="24"/>
        </w:rPr>
        <w:t>Ganache</w:t>
      </w:r>
      <w:r>
        <w:rPr>
          <w:rFonts w:hint="eastAsia"/>
          <w:sz w:val="24"/>
        </w:rPr>
        <w:t>测试链，链上部署了三种</w:t>
      </w:r>
      <w:r>
        <w:rPr>
          <w:sz w:val="24"/>
        </w:rPr>
        <w:t>ERC</w:t>
      </w:r>
      <w:r>
        <w:rPr>
          <w:rFonts w:hint="eastAsia"/>
          <w:sz w:val="24"/>
        </w:rPr>
        <w:t>-20代币合约。后端通过</w:t>
      </w:r>
      <w:r>
        <w:rPr>
          <w:sz w:val="24"/>
        </w:rPr>
        <w:t>Web</w:t>
      </w:r>
      <w:r>
        <w:rPr>
          <w:rFonts w:hint="eastAsia"/>
          <w:sz w:val="24"/>
        </w:rPr>
        <w:t>3</w:t>
      </w:r>
      <w:r>
        <w:rPr>
          <w:sz w:val="24"/>
        </w:rPr>
        <w:t>j</w:t>
      </w:r>
      <w:r>
        <w:rPr>
          <w:rFonts w:hint="eastAsia"/>
          <w:sz w:val="24"/>
        </w:rPr>
        <w:t>库连接</w:t>
      </w:r>
      <w:r>
        <w:rPr>
          <w:sz w:val="24"/>
        </w:rPr>
        <w:t>Ganache</w:t>
      </w:r>
      <w:r>
        <w:rPr>
          <w:rFonts w:hint="eastAsia"/>
          <w:sz w:val="24"/>
        </w:rPr>
        <w:t>节点，执行查询余额和转账等操作。</w:t>
      </w:r>
    </w:p>
    <w:p w14:paraId="6A3776C9">
      <w:pPr>
        <w:spacing w:line="400" w:lineRule="exact"/>
        <w:ind w:firstLine="480" w:firstLineChars="200"/>
        <w:rPr>
          <w:sz w:val="24"/>
        </w:rPr>
      </w:pPr>
      <w:r>
        <w:rPr>
          <w:rFonts w:hint="eastAsia"/>
          <w:sz w:val="24"/>
        </w:rPr>
        <w:t>此外，系统还依赖两个外部</w:t>
      </w:r>
      <w:r>
        <w:rPr>
          <w:sz w:val="24"/>
        </w:rPr>
        <w:t>API</w:t>
      </w:r>
      <w:r>
        <w:rPr>
          <w:rFonts w:hint="eastAsia"/>
          <w:sz w:val="24"/>
        </w:rPr>
        <w:t>：</w:t>
      </w:r>
      <w:r>
        <w:rPr>
          <w:sz w:val="24"/>
        </w:rPr>
        <w:t>Alpha</w:t>
      </w:r>
      <w:r>
        <w:rPr>
          <w:rFonts w:hint="eastAsia"/>
          <w:sz w:val="24"/>
        </w:rPr>
        <w:t xml:space="preserve"> </w:t>
      </w:r>
      <w:r>
        <w:rPr>
          <w:sz w:val="24"/>
        </w:rPr>
        <w:t>Vantage</w:t>
      </w:r>
      <w:r>
        <w:rPr>
          <w:rFonts w:hint="eastAsia"/>
          <w:sz w:val="24"/>
        </w:rPr>
        <w:t>提供股票行情数据，大语言模型</w:t>
      </w:r>
      <w:r>
        <w:rPr>
          <w:sz w:val="24"/>
        </w:rPr>
        <w:t>API</w:t>
      </w:r>
      <w:r>
        <w:rPr>
          <w:rFonts w:hint="eastAsia"/>
          <w:sz w:val="24"/>
        </w:rPr>
        <w:t>提供</w:t>
      </w:r>
      <w:r>
        <w:rPr>
          <w:sz w:val="24"/>
        </w:rPr>
        <w:t>AI</w:t>
      </w:r>
      <w:r>
        <w:rPr>
          <w:rFonts w:hint="eastAsia"/>
          <w:sz w:val="24"/>
        </w:rPr>
        <w:t>推理能力，后端通过</w:t>
      </w:r>
      <w:r>
        <w:rPr>
          <w:sz w:val="24"/>
        </w:rPr>
        <w:t>HTTP</w:t>
      </w:r>
      <w:r>
        <w:rPr>
          <w:rFonts w:hint="eastAsia"/>
          <w:sz w:val="24"/>
        </w:rPr>
        <w:t>和JSON-</w:t>
      </w:r>
      <w:r>
        <w:rPr>
          <w:sz w:val="24"/>
        </w:rPr>
        <w:t>RPC</w:t>
      </w:r>
      <w:r>
        <w:rPr>
          <w:rFonts w:hint="eastAsia"/>
          <w:sz w:val="24"/>
        </w:rPr>
        <w:t>调用这两个外部服务。</w:t>
      </w:r>
    </w:p>
    <w:p w14:paraId="6CD4FD25">
      <w:pPr>
        <w:pStyle w:val="11"/>
        <w:spacing w:line="400" w:lineRule="exact"/>
        <w:outlineLvl w:val="1"/>
        <w:rPr>
          <w:rFonts w:ascii="黑体" w:eastAsia="黑体"/>
          <w:sz w:val="30"/>
        </w:rPr>
      </w:pPr>
      <w:bookmarkStart w:id="34" w:name="_Toc28196"/>
      <w:r>
        <w:rPr>
          <w:rFonts w:hint="eastAsia" w:ascii="黑体" w:eastAsia="黑体"/>
          <w:sz w:val="30"/>
        </w:rPr>
        <w:t xml:space="preserve">4.2 </w:t>
      </w:r>
      <w:commentRangeStart w:id="2"/>
      <w:r>
        <w:rPr>
          <w:rFonts w:hint="eastAsia" w:ascii="黑体" w:eastAsia="黑体"/>
          <w:sz w:val="30"/>
        </w:rPr>
        <w:t>功能模块</w:t>
      </w:r>
      <w:commentRangeEnd w:id="2"/>
      <w:bookmarkEnd w:id="34"/>
      <w:r>
        <w:rPr>
          <w:rStyle w:val="31"/>
          <w:rFonts w:hint="eastAsia" w:ascii="黑体" w:eastAsia="黑体"/>
          <w:sz w:val="30"/>
          <w:szCs w:val="24"/>
        </w:rPr>
        <w:commentReference w:id="2"/>
      </w:r>
      <w:r>
        <w:rPr>
          <w:rFonts w:hint="eastAsia" w:ascii="黑体" w:eastAsia="黑体"/>
          <w:sz w:val="30"/>
        </w:rPr>
        <w:t>设计</w:t>
      </w:r>
    </w:p>
    <w:p w14:paraId="2CA52AB3">
      <w:pPr>
        <w:spacing w:line="400" w:lineRule="exact"/>
        <w:ind w:firstLine="480" w:firstLineChars="200"/>
        <w:rPr>
          <w:rFonts w:hint="eastAsia" w:eastAsia="宋体"/>
          <w:sz w:val="24"/>
          <w:lang w:val="en-US" w:eastAsia="zh-CN"/>
        </w:rPr>
      </w:pPr>
      <w:r>
        <w:rPr>
          <w:rFonts w:hint="eastAsia"/>
          <w:sz w:val="24"/>
        </w:rPr>
        <w:t>按照功能需求的划分，本系统需要设计模块来实现模拟交易所功能、AI辅助交易功能和区块链斗兽场功能，针对功能需求的三个场景，笔者设计了六个相辅相成的模块</w:t>
      </w:r>
      <w:r>
        <w:rPr>
          <w:rFonts w:hint="eastAsia"/>
          <w:sz w:val="24"/>
          <w:lang w:eastAsia="zh-CN"/>
        </w:rPr>
        <w:t>。</w:t>
      </w:r>
    </w:p>
    <w:p w14:paraId="134B7A9C">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sz w:val="24"/>
        </w:rPr>
      </w:pPr>
      <w:r>
        <w:rPr>
          <w:rFonts w:hint="eastAsia" w:ascii="黑体" w:hAnsi="黑体" w:eastAsia="黑体" w:cs="黑体"/>
          <w:sz w:val="28"/>
          <w:szCs w:val="28"/>
        </w:rPr>
        <w:t>4.</w:t>
      </w:r>
      <w:r>
        <w:rPr>
          <w:rFonts w:hint="eastAsia" w:ascii="黑体" w:hAnsi="黑体" w:eastAsia="黑体" w:cs="黑体"/>
          <w:sz w:val="28"/>
          <w:szCs w:val="28"/>
          <w:lang w:val="en-US" w:eastAsia="zh-CN"/>
        </w:rPr>
        <w:t>2</w:t>
      </w:r>
      <w:r>
        <w:rPr>
          <w:rFonts w:hint="eastAsia" w:ascii="黑体" w:hAnsi="黑体" w:eastAsia="黑体" w:cs="黑体"/>
          <w:sz w:val="28"/>
          <w:szCs w:val="28"/>
        </w:rPr>
        <w:t>.1 行情数据模块</w:t>
      </w:r>
    </w:p>
    <w:p w14:paraId="3C2DD6CD">
      <w:pPr>
        <w:spacing w:line="400" w:lineRule="exact"/>
        <w:ind w:firstLine="480" w:firstLineChars="200"/>
        <w:rPr>
          <w:rFonts w:hint="default"/>
          <w:sz w:val="24"/>
        </w:rPr>
      </w:pPr>
      <w:r>
        <w:rPr>
          <w:rFonts w:hint="eastAsia"/>
          <w:sz w:val="24"/>
        </w:rPr>
        <w:t>行情数据模块，</w:t>
      </w:r>
      <w:r>
        <w:rPr>
          <w:rFonts w:hint="default"/>
          <w:sz w:val="24"/>
        </w:rPr>
        <w:t>该模块</w:t>
      </w:r>
      <w:r>
        <w:rPr>
          <w:rFonts w:hint="eastAsia"/>
          <w:sz w:val="24"/>
        </w:rPr>
        <w:t>是整个</w:t>
      </w:r>
      <w:r>
        <w:rPr>
          <w:rFonts w:hint="default"/>
          <w:sz w:val="24"/>
        </w:rPr>
        <w:t>系统的数据基础设施，负责抽象并封装外部</w:t>
      </w:r>
      <w:r>
        <w:rPr>
          <w:rFonts w:hint="eastAsia"/>
          <w:sz w:val="24"/>
        </w:rPr>
        <w:t>的</w:t>
      </w:r>
      <w:r>
        <w:rPr>
          <w:rFonts w:hint="default"/>
          <w:sz w:val="24"/>
        </w:rPr>
        <w:t>行情数据源。包括外部API的数据接入、清洗</w:t>
      </w:r>
      <w:r>
        <w:rPr>
          <w:rFonts w:hint="eastAsia"/>
          <w:sz w:val="24"/>
        </w:rPr>
        <w:t>，</w:t>
      </w:r>
      <w:r>
        <w:rPr>
          <w:rFonts w:hint="default"/>
          <w:sz w:val="24"/>
        </w:rPr>
        <w:t>以及本地数据库的</w:t>
      </w:r>
      <w:r>
        <w:rPr>
          <w:rFonts w:hint="eastAsia"/>
          <w:sz w:val="24"/>
        </w:rPr>
        <w:t>调用</w:t>
      </w:r>
      <w:r>
        <w:rPr>
          <w:rFonts w:hint="default"/>
          <w:sz w:val="24"/>
        </w:rPr>
        <w:t>。通过提供</w:t>
      </w:r>
      <w:r>
        <w:rPr>
          <w:rFonts w:hint="eastAsia"/>
          <w:sz w:val="24"/>
        </w:rPr>
        <w:t>约定的</w:t>
      </w:r>
      <w:r>
        <w:rPr>
          <w:rFonts w:hint="default"/>
          <w:sz w:val="24"/>
        </w:rPr>
        <w:t>数据</w:t>
      </w:r>
      <w:r>
        <w:rPr>
          <w:rFonts w:hint="eastAsia"/>
          <w:sz w:val="24"/>
        </w:rPr>
        <w:t>Class</w:t>
      </w:r>
      <w:r>
        <w:rPr>
          <w:rFonts w:hint="default"/>
          <w:sz w:val="24"/>
        </w:rPr>
        <w:t>（DAO），</w:t>
      </w:r>
      <w:r>
        <w:rPr>
          <w:rFonts w:hint="eastAsia"/>
          <w:sz w:val="24"/>
        </w:rPr>
        <w:t>实现</w:t>
      </w:r>
      <w:r>
        <w:rPr>
          <w:rFonts w:hint="default"/>
          <w:sz w:val="24"/>
        </w:rPr>
        <w:t>为上层业务模块屏蔽</w:t>
      </w:r>
      <w:r>
        <w:rPr>
          <w:rFonts w:hint="eastAsia"/>
          <w:sz w:val="24"/>
        </w:rPr>
        <w:t>底层的</w:t>
      </w:r>
      <w:r>
        <w:rPr>
          <w:rFonts w:hint="default"/>
          <w:sz w:val="24"/>
        </w:rPr>
        <w:t>数据源差异，保障</w:t>
      </w:r>
      <w:r>
        <w:rPr>
          <w:rFonts w:hint="eastAsia"/>
          <w:sz w:val="24"/>
        </w:rPr>
        <w:t>了上层模块</w:t>
      </w:r>
      <w:r>
        <w:rPr>
          <w:rFonts w:hint="default"/>
          <w:sz w:val="24"/>
        </w:rPr>
        <w:t>高效的查询性能</w:t>
      </w:r>
      <w:r>
        <w:rPr>
          <w:rFonts w:hint="eastAsia"/>
          <w:sz w:val="24"/>
        </w:rPr>
        <w:t>和获取数据的快捷可读</w:t>
      </w:r>
      <w:r>
        <w:rPr>
          <w:rFonts w:hint="default"/>
          <w:sz w:val="24"/>
        </w:rPr>
        <w:t>。</w:t>
      </w:r>
    </w:p>
    <w:p w14:paraId="2529BD97">
      <w:pPr>
        <w:spacing w:line="400" w:lineRule="exact"/>
        <w:ind w:firstLine="480" w:firstLineChars="200"/>
        <w:rPr>
          <w:rFonts w:hint="eastAsia"/>
          <w:sz w:val="24"/>
          <w:lang w:eastAsia="zh-CN"/>
        </w:rPr>
      </w:pPr>
      <w:r>
        <w:rPr>
          <w:rFonts w:hint="eastAsia"/>
          <w:sz w:val="24"/>
        </w:rPr>
        <w:t>如图</w:t>
      </w:r>
      <w:r>
        <w:rPr>
          <w:rFonts w:hint="eastAsia"/>
          <w:sz w:val="24"/>
          <w:lang w:val="en-US" w:eastAsia="zh-CN"/>
        </w:rPr>
        <w:t>4</w:t>
      </w:r>
      <w:r>
        <w:rPr>
          <w:rFonts w:hint="eastAsia"/>
          <w:sz w:val="24"/>
        </w:rPr>
        <w:t>.</w:t>
      </w:r>
      <w:r>
        <w:rPr>
          <w:rFonts w:hint="eastAsia"/>
          <w:sz w:val="24"/>
          <w:lang w:val="en-US" w:eastAsia="zh-CN"/>
        </w:rPr>
        <w:t>2</w:t>
      </w:r>
      <w:r>
        <w:rPr>
          <w:rFonts w:hint="eastAsia"/>
          <w:sz w:val="24"/>
        </w:rPr>
        <w:t>所示，</w:t>
      </w:r>
      <w:r>
        <w:rPr>
          <w:rFonts w:hint="eastAsia"/>
          <w:sz w:val="24"/>
          <w:lang w:eastAsia="zh-CN"/>
        </w:rPr>
        <w:t>行情数据模块</w:t>
      </w:r>
      <w:r>
        <w:rPr>
          <w:rFonts w:hint="eastAsia"/>
          <w:sz w:val="24"/>
        </w:rPr>
        <w:t>的数据查询</w:t>
      </w:r>
      <w:r>
        <w:rPr>
          <w:rFonts w:hint="eastAsia"/>
          <w:sz w:val="24"/>
          <w:lang w:eastAsia="zh-CN"/>
        </w:rPr>
        <w:t>功能</w:t>
      </w:r>
      <w:r>
        <w:rPr>
          <w:rFonts w:hint="eastAsia"/>
          <w:sz w:val="24"/>
        </w:rPr>
        <w:t>采用懒加载策略，</w:t>
      </w:r>
      <w:r>
        <w:rPr>
          <w:rFonts w:hint="eastAsia"/>
          <w:sz w:val="24"/>
          <w:lang w:eastAsia="zh-CN"/>
        </w:rPr>
        <w:t>具体设计流程如下：</w:t>
      </w:r>
    </w:p>
    <w:p w14:paraId="6A5A5287">
      <w:pPr>
        <w:spacing w:line="400" w:lineRule="exact"/>
        <w:ind w:firstLine="480" w:firstLineChars="200"/>
        <w:rPr>
          <w:rFonts w:hint="eastAsia"/>
          <w:sz w:val="24"/>
        </w:rPr>
      </w:pPr>
      <w:r>
        <w:rPr>
          <w:rFonts w:hint="default"/>
          <w:sz w:val="24"/>
        </w:rPr>
        <w:t>按需发起查询</w:t>
      </w:r>
      <w:r>
        <w:rPr>
          <w:rFonts w:hint="eastAsia"/>
          <w:sz w:val="24"/>
          <w:lang w:eastAsia="zh-CN"/>
        </w:rPr>
        <w:t>，</w:t>
      </w:r>
      <w:r>
        <w:rPr>
          <w:rFonts w:hint="default"/>
          <w:sz w:val="24"/>
        </w:rPr>
        <w:t>项目启动时不</w:t>
      </w:r>
      <w:r>
        <w:rPr>
          <w:rFonts w:hint="eastAsia"/>
          <w:sz w:val="24"/>
          <w:lang w:eastAsia="zh-CN"/>
        </w:rPr>
        <w:t>会</w:t>
      </w:r>
      <w:r>
        <w:rPr>
          <w:rFonts w:hint="default"/>
          <w:sz w:val="24"/>
        </w:rPr>
        <w:t>拉取</w:t>
      </w:r>
      <w:r>
        <w:rPr>
          <w:rFonts w:hint="eastAsia"/>
          <w:sz w:val="24"/>
          <w:lang w:eastAsia="zh-CN"/>
        </w:rPr>
        <w:t>行情接口的全量信息</w:t>
      </w:r>
      <w:r>
        <w:rPr>
          <w:rFonts w:hint="default"/>
          <w:sz w:val="24"/>
        </w:rPr>
        <w:t>，仅在前端请求指定股票的K线图时才触发后端查询逻辑。</w:t>
      </w:r>
    </w:p>
    <w:p w14:paraId="6A7ED9B2">
      <w:pPr>
        <w:spacing w:line="400" w:lineRule="exact"/>
        <w:ind w:firstLine="480" w:firstLineChars="200"/>
        <w:rPr>
          <w:rFonts w:hint="default"/>
          <w:sz w:val="24"/>
        </w:rPr>
      </w:pPr>
      <w:r>
        <w:rPr>
          <w:rFonts w:hint="default"/>
          <w:sz w:val="24"/>
        </w:rPr>
        <w:t>本地</w:t>
      </w:r>
      <w:r>
        <w:rPr>
          <w:rFonts w:hint="eastAsia"/>
          <w:sz w:val="24"/>
          <w:lang w:val="en-US" w:eastAsia="zh-CN"/>
        </w:rPr>
        <w:t>DB</w:t>
      </w:r>
      <w:r>
        <w:rPr>
          <w:rFonts w:hint="default"/>
          <w:sz w:val="24"/>
        </w:rPr>
        <w:t>检索</w:t>
      </w:r>
      <w:r>
        <w:rPr>
          <w:rFonts w:hint="eastAsia"/>
          <w:sz w:val="24"/>
          <w:lang w:eastAsia="zh-CN"/>
        </w:rPr>
        <w:t>，</w:t>
      </w:r>
      <w:r>
        <w:rPr>
          <w:rFonts w:hint="default"/>
          <w:sz w:val="24"/>
        </w:rPr>
        <w:t>后端接收</w:t>
      </w:r>
      <w:r>
        <w:rPr>
          <w:rFonts w:hint="eastAsia"/>
          <w:sz w:val="24"/>
          <w:lang w:eastAsia="zh-CN"/>
        </w:rPr>
        <w:t>到前端</w:t>
      </w:r>
      <w:r>
        <w:rPr>
          <w:rFonts w:hint="default"/>
          <w:sz w:val="24"/>
        </w:rPr>
        <w:t>请求后</w:t>
      </w:r>
      <w:r>
        <w:rPr>
          <w:rFonts w:hint="eastAsia"/>
          <w:sz w:val="24"/>
          <w:lang w:eastAsia="zh-CN"/>
        </w:rPr>
        <w:t>，</w:t>
      </w:r>
      <w:r>
        <w:rPr>
          <w:rFonts w:hint="default"/>
          <w:sz w:val="24"/>
        </w:rPr>
        <w:t>首先</w:t>
      </w:r>
      <w:r>
        <w:rPr>
          <w:rFonts w:hint="eastAsia"/>
          <w:sz w:val="24"/>
          <w:lang w:eastAsia="zh-CN"/>
        </w:rPr>
        <w:t>查询</w:t>
      </w:r>
      <w:r>
        <w:rPr>
          <w:rFonts w:hint="default"/>
          <w:sz w:val="24"/>
        </w:rPr>
        <w:t>本地</w:t>
      </w:r>
      <w:r>
        <w:rPr>
          <w:rFonts w:hint="eastAsia"/>
          <w:sz w:val="24"/>
          <w:lang w:eastAsia="zh-CN"/>
        </w:rPr>
        <w:t>数据</w:t>
      </w:r>
      <w:r>
        <w:rPr>
          <w:rFonts w:hint="default"/>
          <w:sz w:val="24"/>
        </w:rPr>
        <w:t>表，若存在对应</w:t>
      </w:r>
      <w:r>
        <w:rPr>
          <w:rFonts w:hint="eastAsia"/>
          <w:sz w:val="24"/>
          <w:lang w:eastAsia="zh-CN"/>
        </w:rPr>
        <w:t>的</w:t>
      </w:r>
      <w:r>
        <w:rPr>
          <w:rFonts w:hint="default"/>
          <w:sz w:val="24"/>
        </w:rPr>
        <w:t>数据则直接读取并返回前端。</w:t>
      </w:r>
    </w:p>
    <w:p w14:paraId="10D50113">
      <w:pPr>
        <w:spacing w:line="400" w:lineRule="exact"/>
        <w:ind w:firstLine="480" w:firstLineChars="200"/>
        <w:rPr>
          <w:rFonts w:hint="default"/>
          <w:sz w:val="24"/>
        </w:rPr>
      </w:pPr>
      <w:r>
        <w:rPr>
          <w:rFonts w:hint="default"/>
          <w:sz w:val="24"/>
        </w:rPr>
        <w:t>外部数据</w:t>
      </w:r>
      <w:r>
        <w:rPr>
          <w:rFonts w:hint="eastAsia"/>
          <w:sz w:val="24"/>
          <w:lang w:eastAsia="zh-CN"/>
        </w:rPr>
        <w:t>补充，</w:t>
      </w:r>
      <w:r>
        <w:rPr>
          <w:rFonts w:hint="default"/>
          <w:sz w:val="24"/>
        </w:rPr>
        <w:t>若</w:t>
      </w:r>
      <w:r>
        <w:rPr>
          <w:rFonts w:hint="eastAsia"/>
          <w:sz w:val="24"/>
          <w:lang w:eastAsia="zh-CN"/>
        </w:rPr>
        <w:t>查询未命中</w:t>
      </w:r>
      <w:r>
        <w:rPr>
          <w:rFonts w:hint="default"/>
          <w:sz w:val="24"/>
        </w:rPr>
        <w:t>本地</w:t>
      </w:r>
      <w:r>
        <w:rPr>
          <w:rFonts w:hint="eastAsia"/>
          <w:sz w:val="24"/>
          <w:lang w:val="en-US" w:eastAsia="zh-CN"/>
        </w:rPr>
        <w:t>DB</w:t>
      </w:r>
      <w:r>
        <w:rPr>
          <w:rFonts w:hint="default"/>
          <w:sz w:val="24"/>
        </w:rPr>
        <w:t>，则</w:t>
      </w:r>
      <w:r>
        <w:rPr>
          <w:rFonts w:hint="eastAsia"/>
          <w:sz w:val="24"/>
          <w:lang w:eastAsia="zh-CN"/>
        </w:rPr>
        <w:t>使用</w:t>
      </w:r>
      <w:r>
        <w:rPr>
          <w:rFonts w:hint="default"/>
          <w:sz w:val="24"/>
        </w:rPr>
        <w:t>RestTemplate类</w:t>
      </w:r>
      <w:r>
        <w:rPr>
          <w:rFonts w:hint="eastAsia"/>
          <w:sz w:val="24"/>
          <w:lang w:eastAsia="zh-CN"/>
        </w:rPr>
        <w:t>调用</w:t>
      </w:r>
      <w:r>
        <w:rPr>
          <w:rFonts w:hint="default"/>
          <w:sz w:val="24"/>
        </w:rPr>
        <w:t>Alpha Vantage数据</w:t>
      </w:r>
      <w:r>
        <w:rPr>
          <w:rFonts w:hint="eastAsia"/>
          <w:sz w:val="24"/>
          <w:lang w:eastAsia="zh-CN"/>
        </w:rPr>
        <w:t>接口</w:t>
      </w:r>
      <w:r>
        <w:rPr>
          <w:rFonts w:hint="default"/>
          <w:sz w:val="24"/>
        </w:rPr>
        <w:t>。</w:t>
      </w:r>
    </w:p>
    <w:p w14:paraId="44F7E699">
      <w:pPr>
        <w:spacing w:line="400" w:lineRule="exact"/>
        <w:ind w:firstLine="480" w:firstLineChars="200"/>
        <w:rPr>
          <w:rFonts w:hint="default"/>
          <w:sz w:val="24"/>
        </w:rPr>
      </w:pPr>
      <w:r>
        <w:rPr>
          <w:rFonts w:hint="default"/>
          <w:sz w:val="24"/>
        </w:rPr>
        <w:t>数据解析落库</w:t>
      </w:r>
      <w:r>
        <w:rPr>
          <w:rFonts w:hint="eastAsia"/>
          <w:sz w:val="24"/>
          <w:lang w:eastAsia="zh-CN"/>
        </w:rPr>
        <w:t>，</w:t>
      </w:r>
      <w:r>
        <w:rPr>
          <w:rFonts w:hint="default"/>
          <w:sz w:val="24"/>
        </w:rPr>
        <w:t>收到响应后使用Jackson静态类解析JSON</w:t>
      </w:r>
      <w:r>
        <w:rPr>
          <w:rFonts w:hint="eastAsia"/>
          <w:sz w:val="24"/>
          <w:lang w:val="en-US" w:eastAsia="zh-CN"/>
        </w:rPr>
        <w:t>Response</w:t>
      </w:r>
      <w:r>
        <w:rPr>
          <w:rFonts w:hint="default"/>
          <w:sz w:val="24"/>
        </w:rPr>
        <w:t>，提取每日收盘价、最高价、最低价</w:t>
      </w:r>
      <w:r>
        <w:rPr>
          <w:rFonts w:hint="eastAsia"/>
          <w:sz w:val="24"/>
          <w:lang w:eastAsia="zh-CN"/>
        </w:rPr>
        <w:t>后，</w:t>
      </w:r>
      <w:r>
        <w:rPr>
          <w:rFonts w:hint="default"/>
          <w:sz w:val="24"/>
        </w:rPr>
        <w:t>批量插入本地</w:t>
      </w:r>
      <w:r>
        <w:rPr>
          <w:rFonts w:hint="eastAsia"/>
          <w:sz w:val="24"/>
          <w:lang w:eastAsia="zh-CN"/>
        </w:rPr>
        <w:t>数据库</w:t>
      </w:r>
      <w:r>
        <w:rPr>
          <w:rFonts w:hint="default"/>
          <w:sz w:val="24"/>
        </w:rPr>
        <w:t>表。</w:t>
      </w:r>
    </w:p>
    <w:p w14:paraId="5A837136">
      <w:pPr>
        <w:spacing w:line="400" w:lineRule="exact"/>
        <w:ind w:firstLine="480" w:firstLineChars="200"/>
        <w:rPr>
          <w:rFonts w:hint="default"/>
          <w:sz w:val="24"/>
        </w:rPr>
      </w:pPr>
      <w:r>
        <w:rPr>
          <w:rFonts w:hint="default"/>
          <w:sz w:val="24"/>
        </w:rPr>
        <w:t>后续请求复用</w:t>
      </w:r>
      <w:r>
        <w:rPr>
          <w:rFonts w:hint="eastAsia"/>
          <w:sz w:val="24"/>
          <w:lang w:eastAsia="zh-CN"/>
        </w:rPr>
        <w:t>，</w:t>
      </w:r>
      <w:r>
        <w:rPr>
          <w:rFonts w:hint="default"/>
          <w:sz w:val="24"/>
        </w:rPr>
        <w:t>后续相同K线数据的查询请求将直接命中本地</w:t>
      </w:r>
      <w:r>
        <w:rPr>
          <w:rFonts w:hint="eastAsia"/>
          <w:sz w:val="24"/>
          <w:lang w:val="en-US" w:eastAsia="zh-CN"/>
        </w:rPr>
        <w:t>DB</w:t>
      </w:r>
      <w:r>
        <w:rPr>
          <w:rFonts w:hint="default"/>
          <w:sz w:val="24"/>
        </w:rPr>
        <w:t>，</w:t>
      </w:r>
      <w:r>
        <w:rPr>
          <w:rFonts w:hint="eastAsia"/>
          <w:sz w:val="24"/>
          <w:lang w:eastAsia="zh-CN"/>
        </w:rPr>
        <w:t>这样就实现了在</w:t>
      </w:r>
      <w:r>
        <w:rPr>
          <w:rFonts w:hint="default"/>
          <w:sz w:val="24"/>
        </w:rPr>
        <w:t>有限的API</w:t>
      </w:r>
      <w:r>
        <w:rPr>
          <w:rFonts w:hint="eastAsia"/>
          <w:sz w:val="24"/>
          <w:lang w:eastAsia="zh-CN"/>
        </w:rPr>
        <w:t>使用限度</w:t>
      </w:r>
      <w:r>
        <w:rPr>
          <w:rFonts w:hint="default"/>
          <w:sz w:val="24"/>
        </w:rPr>
        <w:t>内</w:t>
      </w:r>
      <w:r>
        <w:rPr>
          <w:rFonts w:hint="eastAsia"/>
          <w:sz w:val="24"/>
          <w:lang w:eastAsia="zh-CN"/>
        </w:rPr>
        <w:t>，</w:t>
      </w:r>
      <w:r>
        <w:rPr>
          <w:rFonts w:hint="default"/>
          <w:sz w:val="24"/>
        </w:rPr>
        <w:t>节省</w:t>
      </w:r>
      <w:r>
        <w:rPr>
          <w:rFonts w:hint="eastAsia"/>
          <w:sz w:val="24"/>
          <w:lang w:eastAsia="zh-CN"/>
        </w:rPr>
        <w:t>网络</w:t>
      </w:r>
      <w:r>
        <w:rPr>
          <w:rFonts w:hint="default"/>
          <w:sz w:val="24"/>
        </w:rPr>
        <w:t>与存储资源。</w:t>
      </w:r>
    </w:p>
    <w:p w14:paraId="55399D6F">
      <w:pPr>
        <w:spacing w:line="400" w:lineRule="exact"/>
        <w:ind w:firstLine="480" w:firstLineChars="200"/>
        <w:rPr>
          <w:rFonts w:ascii="宋体" w:hAnsi="宋体" w:cs="宋体"/>
          <w:sz w:val="24"/>
          <w:lang w:val="en-IE"/>
        </w:rPr>
      </w:pPr>
    </w:p>
    <w:p w14:paraId="2754B06A">
      <w:pPr>
        <w:jc w:val="center"/>
        <w:rPr>
          <w:sz w:val="24"/>
        </w:rPr>
      </w:pPr>
      <w:r>
        <w:rPr>
          <w:rFonts w:hint="eastAsia"/>
          <w:sz w:val="24"/>
        </w:rPr>
        <w:drawing>
          <wp:inline distT="0" distB="0" distL="114300" distR="114300">
            <wp:extent cx="5382895" cy="3642995"/>
            <wp:effectExtent l="0" t="0" r="8255" b="14605"/>
            <wp:docPr id="120" name="图片 120" descr="前端请求股票数据流程.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前端请求股票数据流程.drawio (1)"/>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382895" cy="3642995"/>
                    </a:xfrm>
                    <a:prstGeom prst="rect">
                      <a:avLst/>
                    </a:prstGeom>
                  </pic:spPr>
                </pic:pic>
              </a:graphicData>
            </a:graphic>
          </wp:inline>
        </w:drawing>
      </w:r>
    </w:p>
    <w:p w14:paraId="6CCEA6D1">
      <w:pPr>
        <w:jc w:val="center"/>
        <w:rPr>
          <w:rFonts w:hint="eastAsia" w:ascii="宋体" w:hAnsi="宋体" w:cs="宋体"/>
          <w:szCs w:val="21"/>
          <w:lang w:bidi="ar"/>
        </w:rPr>
      </w:pPr>
      <w:r>
        <w:rPr>
          <w:rFonts w:hint="eastAsia" w:ascii="宋体" w:hAnsi="宋体" w:cs="宋体"/>
          <w:szCs w:val="21"/>
          <w:lang w:bidi="ar"/>
        </w:rPr>
        <w:t>图</w:t>
      </w:r>
      <w:r>
        <w:rPr>
          <w:rFonts w:hint="eastAsia" w:ascii="宋体" w:hAnsi="宋体" w:cs="宋体"/>
          <w:szCs w:val="21"/>
          <w:lang w:val="en-US" w:eastAsia="zh-CN" w:bidi="ar"/>
        </w:rPr>
        <w:t>4.2</w:t>
      </w:r>
      <w:r>
        <w:rPr>
          <w:rFonts w:hint="eastAsia"/>
          <w:szCs w:val="21"/>
          <w:lang w:bidi="ar"/>
        </w:rPr>
        <w:t xml:space="preserve"> 查询股票数据流程</w:t>
      </w:r>
      <w:r>
        <w:rPr>
          <w:rFonts w:hint="eastAsia" w:ascii="宋体" w:hAnsi="宋体" w:cs="宋体"/>
          <w:szCs w:val="21"/>
          <w:lang w:bidi="ar"/>
        </w:rPr>
        <w:t>图</w:t>
      </w:r>
    </w:p>
    <w:p w14:paraId="33C90388">
      <w:pPr>
        <w:jc w:val="center"/>
        <w:rPr>
          <w:rFonts w:hint="eastAsia" w:ascii="宋体" w:hAnsi="宋体" w:cs="宋体"/>
          <w:szCs w:val="21"/>
          <w:lang w:bidi="ar"/>
        </w:rPr>
      </w:pPr>
    </w:p>
    <w:p w14:paraId="5C61D55A">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sz w:val="24"/>
        </w:rPr>
      </w:pPr>
      <w:r>
        <w:rPr>
          <w:rFonts w:hint="eastAsia" w:ascii="黑体" w:hAnsi="黑体" w:eastAsia="黑体" w:cs="黑体"/>
          <w:sz w:val="28"/>
          <w:szCs w:val="28"/>
        </w:rPr>
        <w:t>4.</w:t>
      </w:r>
      <w:r>
        <w:rPr>
          <w:rFonts w:hint="eastAsia" w:ascii="黑体" w:hAnsi="黑体" w:eastAsia="黑体" w:cs="黑体"/>
          <w:sz w:val="28"/>
          <w:szCs w:val="28"/>
          <w:lang w:val="en-US" w:eastAsia="zh-CN"/>
        </w:rPr>
        <w:t>2</w:t>
      </w:r>
      <w:r>
        <w:rPr>
          <w:rFonts w:hint="eastAsia" w:ascii="黑体" w:hAnsi="黑体" w:eastAsia="黑体" w:cs="黑体"/>
          <w:sz w:val="28"/>
          <w:szCs w:val="28"/>
        </w:rPr>
        <w:t>.</w:t>
      </w:r>
      <w:r>
        <w:rPr>
          <w:rFonts w:hint="eastAsia" w:ascii="黑体" w:hAnsi="黑体" w:eastAsia="黑体" w:cs="黑体"/>
          <w:sz w:val="28"/>
          <w:szCs w:val="28"/>
          <w:lang w:val="en-US" w:eastAsia="zh-CN"/>
        </w:rPr>
        <w:t>2</w:t>
      </w:r>
      <w:r>
        <w:rPr>
          <w:rFonts w:hint="eastAsia" w:ascii="黑体" w:hAnsi="黑体" w:eastAsia="黑体" w:cs="黑体"/>
          <w:sz w:val="28"/>
          <w:szCs w:val="28"/>
        </w:rPr>
        <w:t xml:space="preserve"> 模拟交易模块</w:t>
      </w:r>
    </w:p>
    <w:p w14:paraId="316A58C5">
      <w:pPr>
        <w:spacing w:line="400" w:lineRule="exact"/>
        <w:ind w:firstLine="480" w:firstLineChars="200"/>
        <w:rPr>
          <w:rFonts w:hint="eastAsia" w:ascii="宋体" w:hAnsi="宋体" w:cs="宋体"/>
          <w:sz w:val="24"/>
        </w:rPr>
      </w:pPr>
      <w:r>
        <w:rPr>
          <w:rFonts w:hint="eastAsia"/>
          <w:sz w:val="24"/>
        </w:rPr>
        <w:t>模拟交易模块，</w:t>
      </w:r>
      <w:r>
        <w:rPr>
          <w:rFonts w:hint="default"/>
          <w:sz w:val="24"/>
        </w:rPr>
        <w:t>该模块作为交易执行层，负责维护</w:t>
      </w:r>
      <w:r>
        <w:rPr>
          <w:rFonts w:hint="eastAsia"/>
          <w:sz w:val="24"/>
        </w:rPr>
        <w:t>Agent交易的</w:t>
      </w:r>
      <w:r>
        <w:rPr>
          <w:rFonts w:hint="default"/>
          <w:sz w:val="24"/>
        </w:rPr>
        <w:t>核心账本。其</w:t>
      </w:r>
      <w:r>
        <w:rPr>
          <w:rFonts w:hint="eastAsia"/>
          <w:sz w:val="24"/>
          <w:lang w:eastAsia="zh-CN"/>
        </w:rPr>
        <w:t>主要设计点</w:t>
      </w:r>
      <w:r>
        <w:rPr>
          <w:rFonts w:hint="default"/>
          <w:sz w:val="24"/>
        </w:rPr>
        <w:t>包括</w:t>
      </w:r>
      <w:r>
        <w:rPr>
          <w:rFonts w:hint="eastAsia"/>
          <w:sz w:val="24"/>
        </w:rPr>
        <w:t>Agent</w:t>
      </w:r>
      <w:r>
        <w:rPr>
          <w:rFonts w:hint="default"/>
          <w:sz w:val="24"/>
        </w:rPr>
        <w:t>的账户</w:t>
      </w:r>
      <w:r>
        <w:rPr>
          <w:rFonts w:hint="eastAsia"/>
          <w:sz w:val="24"/>
        </w:rPr>
        <w:t>操作</w:t>
      </w:r>
      <w:r>
        <w:rPr>
          <w:rFonts w:hint="default"/>
          <w:sz w:val="24"/>
        </w:rPr>
        <w:t>、仓位</w:t>
      </w:r>
      <w:r>
        <w:rPr>
          <w:rFonts w:hint="eastAsia"/>
          <w:sz w:val="24"/>
        </w:rPr>
        <w:t>日志和生成Agent的</w:t>
      </w:r>
      <w:r>
        <w:rPr>
          <w:rFonts w:hint="default"/>
          <w:sz w:val="24"/>
        </w:rPr>
        <w:t>资产快照。</w:t>
      </w:r>
      <w:r>
        <w:rPr>
          <w:rFonts w:hint="eastAsia"/>
          <w:sz w:val="24"/>
        </w:rPr>
        <w:t>该</w:t>
      </w:r>
      <w:r>
        <w:rPr>
          <w:rFonts w:hint="default"/>
          <w:sz w:val="24"/>
        </w:rPr>
        <w:t>模块将</w:t>
      </w:r>
      <w:r>
        <w:rPr>
          <w:rFonts w:hint="eastAsia"/>
          <w:sz w:val="24"/>
        </w:rPr>
        <w:t>位于数据库</w:t>
      </w:r>
      <w:r>
        <w:rPr>
          <w:rFonts w:hint="default"/>
          <w:sz w:val="24"/>
        </w:rPr>
        <w:t>层的</w:t>
      </w:r>
      <w:r>
        <w:rPr>
          <w:rFonts w:hint="eastAsia"/>
          <w:sz w:val="24"/>
          <w:lang w:eastAsia="zh-CN"/>
        </w:rPr>
        <w:t>“</w:t>
      </w:r>
      <w:r>
        <w:rPr>
          <w:rFonts w:hint="default"/>
          <w:sz w:val="24"/>
        </w:rPr>
        <w:t>买入/卖出</w:t>
      </w:r>
      <w:r>
        <w:rPr>
          <w:rFonts w:hint="eastAsia"/>
          <w:sz w:val="24"/>
          <w:lang w:eastAsia="zh-CN"/>
        </w:rPr>
        <w:t>”</w:t>
      </w:r>
      <w:r>
        <w:rPr>
          <w:rFonts w:hint="default"/>
          <w:sz w:val="24"/>
        </w:rPr>
        <w:t>封装为</w:t>
      </w:r>
      <w:r>
        <w:rPr>
          <w:rFonts w:hint="eastAsia"/>
          <w:sz w:val="24"/>
        </w:rPr>
        <w:t>方法，在方法中保证Agent买卖事务的原子性和一致性，并暴露工具接口，将交易能力开放给AI决策层。</w:t>
      </w:r>
    </w:p>
    <w:p w14:paraId="5298FF1B">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宋体" w:hAnsi="宋体" w:cs="宋体"/>
          <w:sz w:val="24"/>
        </w:rPr>
      </w:pPr>
      <w:r>
        <w:rPr>
          <w:rFonts w:hint="eastAsia" w:ascii="黑体" w:hAnsi="黑体" w:eastAsia="黑体" w:cs="黑体"/>
          <w:sz w:val="28"/>
          <w:szCs w:val="28"/>
        </w:rPr>
        <w:t>4.</w:t>
      </w:r>
      <w:r>
        <w:rPr>
          <w:rFonts w:hint="eastAsia" w:ascii="黑体" w:hAnsi="黑体" w:eastAsia="黑体" w:cs="黑体"/>
          <w:sz w:val="28"/>
          <w:szCs w:val="28"/>
          <w:lang w:val="en-US" w:eastAsia="zh-CN"/>
        </w:rPr>
        <w:t>2</w:t>
      </w:r>
      <w:r>
        <w:rPr>
          <w:rFonts w:hint="eastAsia" w:ascii="黑体" w:hAnsi="黑体" w:eastAsia="黑体" w:cs="黑体"/>
          <w:sz w:val="28"/>
          <w:szCs w:val="28"/>
        </w:rPr>
        <w:t>.</w:t>
      </w:r>
      <w:r>
        <w:rPr>
          <w:rFonts w:hint="eastAsia" w:ascii="黑体" w:hAnsi="黑体" w:eastAsia="黑体" w:cs="黑体"/>
          <w:sz w:val="28"/>
          <w:szCs w:val="28"/>
          <w:lang w:val="en-US" w:eastAsia="zh-CN"/>
        </w:rPr>
        <w:t>3</w:t>
      </w:r>
      <w:r>
        <w:rPr>
          <w:rFonts w:hint="eastAsia" w:ascii="黑体" w:hAnsi="黑体" w:eastAsia="黑体" w:cs="黑体"/>
          <w:sz w:val="28"/>
          <w:szCs w:val="28"/>
        </w:rPr>
        <w:t xml:space="preserve"> </w:t>
      </w:r>
      <w:r>
        <w:rPr>
          <w:rFonts w:hint="default" w:ascii="Times New Roman" w:hAnsi="Times New Roman" w:eastAsia="黑体" w:cs="Times New Roman"/>
          <w:sz w:val="28"/>
          <w:szCs w:val="28"/>
        </w:rPr>
        <w:t>AI</w:t>
      </w:r>
      <w:r>
        <w:rPr>
          <w:rFonts w:hint="eastAsia" w:ascii="黑体" w:hAnsi="黑体" w:eastAsia="黑体" w:cs="黑体"/>
          <w:sz w:val="28"/>
          <w:szCs w:val="28"/>
        </w:rPr>
        <w:t>决策模块</w:t>
      </w:r>
    </w:p>
    <w:p w14:paraId="00517E2F">
      <w:pPr>
        <w:spacing w:line="400" w:lineRule="exact"/>
        <w:ind w:firstLine="480" w:firstLineChars="200"/>
        <w:rPr>
          <w:rFonts w:hint="eastAsia"/>
          <w:sz w:val="24"/>
        </w:rPr>
      </w:pPr>
      <w:r>
        <w:rPr>
          <w:rFonts w:hint="eastAsia"/>
          <w:sz w:val="24"/>
        </w:rPr>
        <w:t>该模块是本系统核心的业务逻辑层，主要负责大语言模型的调度。其职责包括管理多Agent的实例、抓取数据组装prompt、以及处理模型响应的结果。该模块通过行情数据模块获取Agent决策需要的信息，并通过暴露的Tools调用模拟交易模块的买卖接口，实现了数据、决策和交易的解耦。</w:t>
      </w:r>
    </w:p>
    <w:p w14:paraId="6939FAAD">
      <w:pPr>
        <w:spacing w:line="400" w:lineRule="exact"/>
        <w:ind w:firstLine="480" w:firstLineChars="200"/>
        <w:rPr>
          <w:rFonts w:hint="eastAsia"/>
          <w:sz w:val="24"/>
          <w:lang w:val="en-US" w:eastAsia="zh-CN"/>
        </w:rPr>
      </w:pPr>
      <w:r>
        <w:rPr>
          <w:rFonts w:hint="eastAsia"/>
          <w:sz w:val="24"/>
        </w:rPr>
        <w:t>如图</w:t>
      </w:r>
      <w:r>
        <w:rPr>
          <w:rFonts w:hint="eastAsia"/>
          <w:sz w:val="24"/>
          <w:lang w:val="en-US" w:eastAsia="zh-CN"/>
        </w:rPr>
        <w:t>4.3</w:t>
      </w:r>
      <w:r>
        <w:rPr>
          <w:rFonts w:hint="eastAsia"/>
          <w:sz w:val="24"/>
        </w:rPr>
        <w:t>所示</w:t>
      </w:r>
      <w:r>
        <w:rPr>
          <w:rFonts w:hint="eastAsia"/>
          <w:sz w:val="24"/>
          <w:lang w:eastAsia="zh-CN"/>
        </w:rPr>
        <w:t>，以下是调用</w:t>
      </w:r>
      <w:r>
        <w:rPr>
          <w:rFonts w:hint="eastAsia"/>
          <w:sz w:val="24"/>
          <w:lang w:val="en-US" w:eastAsia="zh-CN"/>
        </w:rPr>
        <w:t>AI决策模块的核心流程。</w:t>
      </w:r>
    </w:p>
    <w:p w14:paraId="022F64B7">
      <w:pPr>
        <w:spacing w:line="400" w:lineRule="exact"/>
        <w:ind w:firstLine="480" w:firstLineChars="200"/>
        <w:rPr>
          <w:rFonts w:hint="default"/>
          <w:sz w:val="24"/>
          <w:lang w:val="en-IE"/>
        </w:rPr>
      </w:pPr>
      <w:r>
        <w:rPr>
          <w:rFonts w:hint="default"/>
          <w:sz w:val="24"/>
        </w:rPr>
        <w:t>用户配置并触发</w:t>
      </w:r>
      <w:r>
        <w:rPr>
          <w:rFonts w:hint="eastAsia"/>
          <w:sz w:val="24"/>
          <w:lang w:eastAsia="zh-CN"/>
        </w:rPr>
        <w:t>，用</w:t>
      </w:r>
      <w:r>
        <w:rPr>
          <w:rFonts w:hint="eastAsia"/>
          <w:sz w:val="24"/>
        </w:rPr>
        <w:t>户首先在前端界面选择具体的A</w:t>
      </w:r>
      <w:r>
        <w:rPr>
          <w:rFonts w:hint="eastAsia"/>
          <w:sz w:val="24"/>
          <w:lang w:val="en-US" w:eastAsia="zh-CN"/>
        </w:rPr>
        <w:t>gent</w:t>
      </w:r>
      <w:r>
        <w:rPr>
          <w:rFonts w:hint="eastAsia"/>
          <w:sz w:val="24"/>
        </w:rPr>
        <w:t>模型以及对应的风险偏好，随后点击“AI操作”按钮激活流程。</w:t>
      </w:r>
    </w:p>
    <w:p w14:paraId="58C1904C">
      <w:pPr>
        <w:spacing w:line="400" w:lineRule="exact"/>
        <w:ind w:firstLine="480" w:firstLineChars="200"/>
        <w:rPr>
          <w:rFonts w:hint="eastAsia"/>
          <w:sz w:val="24"/>
        </w:rPr>
      </w:pPr>
      <w:r>
        <w:rPr>
          <w:rFonts w:hint="default"/>
          <w:sz w:val="24"/>
        </w:rPr>
        <w:t>前端转发请求</w:t>
      </w:r>
      <w:r>
        <w:rPr>
          <w:rFonts w:hint="eastAsia"/>
          <w:sz w:val="24"/>
          <w:lang w:eastAsia="zh-CN"/>
        </w:rPr>
        <w:t>，</w:t>
      </w:r>
      <w:r>
        <w:rPr>
          <w:rFonts w:hint="eastAsia"/>
          <w:sz w:val="24"/>
        </w:rPr>
        <w:t>前端在</w:t>
      </w:r>
      <w:r>
        <w:rPr>
          <w:rFonts w:hint="eastAsia"/>
          <w:sz w:val="24"/>
          <w:lang w:eastAsia="zh-CN"/>
        </w:rPr>
        <w:t>感知</w:t>
      </w:r>
      <w:r>
        <w:rPr>
          <w:rFonts w:hint="eastAsia"/>
          <w:sz w:val="24"/>
        </w:rPr>
        <w:t>到用户的点击事件后，立即将</w:t>
      </w:r>
      <w:r>
        <w:rPr>
          <w:rFonts w:hint="eastAsia"/>
          <w:sz w:val="24"/>
          <w:lang w:eastAsia="zh-CN"/>
        </w:rPr>
        <w:t>相关</w:t>
      </w:r>
      <w:r>
        <w:rPr>
          <w:rFonts w:hint="eastAsia"/>
          <w:sz w:val="24"/>
        </w:rPr>
        <w:t>参数打包成请求，异步发送至后端。</w:t>
      </w:r>
    </w:p>
    <w:p w14:paraId="03199727">
      <w:pPr>
        <w:spacing w:line="400" w:lineRule="exact"/>
        <w:ind w:firstLine="480" w:firstLineChars="200"/>
        <w:rPr>
          <w:rFonts w:hint="default"/>
          <w:sz w:val="24"/>
        </w:rPr>
      </w:pPr>
      <w:r>
        <w:rPr>
          <w:rFonts w:hint="default"/>
          <w:sz w:val="24"/>
        </w:rPr>
        <w:t>后端组装提示词</w:t>
      </w:r>
      <w:r>
        <w:rPr>
          <w:rFonts w:hint="eastAsia"/>
          <w:sz w:val="24"/>
          <w:lang w:eastAsia="zh-CN"/>
        </w:rPr>
        <w:t>，</w:t>
      </w:r>
      <w:r>
        <w:rPr>
          <w:rFonts w:hint="eastAsia"/>
          <w:sz w:val="24"/>
        </w:rPr>
        <w:t>后端接收</w:t>
      </w:r>
      <w:r>
        <w:rPr>
          <w:rFonts w:hint="eastAsia"/>
          <w:sz w:val="24"/>
          <w:lang w:eastAsia="zh-CN"/>
        </w:rPr>
        <w:t>到</w:t>
      </w:r>
      <w:r>
        <w:rPr>
          <w:rFonts w:hint="eastAsia"/>
          <w:sz w:val="24"/>
        </w:rPr>
        <w:t>请求后</w:t>
      </w:r>
      <w:r>
        <w:rPr>
          <w:rFonts w:hint="eastAsia"/>
          <w:sz w:val="24"/>
          <w:lang w:eastAsia="zh-CN"/>
        </w:rPr>
        <w:t>，同步地</w:t>
      </w:r>
      <w:r>
        <w:rPr>
          <w:rFonts w:hint="eastAsia"/>
          <w:sz w:val="24"/>
        </w:rPr>
        <w:t>获取市场实时数据并计算</w:t>
      </w:r>
      <w:r>
        <w:rPr>
          <w:rFonts w:hint="eastAsia"/>
          <w:sz w:val="24"/>
          <w:lang w:eastAsia="zh-CN"/>
        </w:rPr>
        <w:t>股票技术</w:t>
      </w:r>
      <w:r>
        <w:rPr>
          <w:rFonts w:hint="eastAsia"/>
          <w:sz w:val="24"/>
        </w:rPr>
        <w:t>指标，随后将数据与</w:t>
      </w:r>
      <w:r>
        <w:rPr>
          <w:rFonts w:hint="eastAsia"/>
          <w:sz w:val="24"/>
          <w:lang w:eastAsia="zh-CN"/>
        </w:rPr>
        <w:t>对应的风险</w:t>
      </w:r>
      <w:r>
        <w:rPr>
          <w:rFonts w:hint="eastAsia"/>
          <w:sz w:val="24"/>
        </w:rPr>
        <w:t>偏好</w:t>
      </w:r>
      <w:r>
        <w:rPr>
          <w:rFonts w:hint="eastAsia"/>
          <w:sz w:val="24"/>
          <w:lang w:eastAsia="zh-CN"/>
        </w:rPr>
        <w:t>提示词组合</w:t>
      </w:r>
      <w:r>
        <w:rPr>
          <w:rFonts w:hint="eastAsia"/>
          <w:sz w:val="24"/>
        </w:rPr>
        <w:t>，构造</w:t>
      </w:r>
      <w:r>
        <w:rPr>
          <w:rFonts w:hint="eastAsia"/>
          <w:sz w:val="24"/>
          <w:lang w:val="en-US" w:eastAsia="zh-CN"/>
        </w:rPr>
        <w:t>prompt</w:t>
      </w:r>
      <w:r>
        <w:rPr>
          <w:rFonts w:hint="eastAsia"/>
          <w:sz w:val="24"/>
        </w:rPr>
        <w:t>并调用大模型API。</w:t>
      </w:r>
    </w:p>
    <w:p w14:paraId="217EFCDC">
      <w:pPr>
        <w:spacing w:line="400" w:lineRule="exact"/>
        <w:ind w:firstLine="480" w:firstLineChars="200"/>
        <w:rPr>
          <w:rFonts w:hint="default"/>
          <w:sz w:val="24"/>
        </w:rPr>
      </w:pPr>
      <w:r>
        <w:rPr>
          <w:rFonts w:hint="default"/>
          <w:sz w:val="24"/>
        </w:rPr>
        <w:t>模型分析并决策</w:t>
      </w:r>
      <w:r>
        <w:rPr>
          <w:rFonts w:hint="eastAsia"/>
          <w:sz w:val="24"/>
          <w:lang w:eastAsia="zh-CN"/>
        </w:rPr>
        <w:t>，</w:t>
      </w:r>
      <w:r>
        <w:rPr>
          <w:rFonts w:hint="eastAsia"/>
          <w:sz w:val="24"/>
        </w:rPr>
        <w:t>大模型接收提示词后，对当前市场数据与历史持仓进行</w:t>
      </w:r>
      <w:r>
        <w:rPr>
          <w:rFonts w:hint="eastAsia"/>
          <w:sz w:val="24"/>
          <w:lang w:eastAsia="zh-CN"/>
        </w:rPr>
        <w:t>推理分析</w:t>
      </w:r>
      <w:r>
        <w:rPr>
          <w:rFonts w:hint="eastAsia"/>
          <w:sz w:val="24"/>
        </w:rPr>
        <w:t>，返回买入、卖出或观望的具体决策结果</w:t>
      </w:r>
      <w:r>
        <w:rPr>
          <w:rFonts w:hint="eastAsia"/>
          <w:sz w:val="24"/>
          <w:lang w:eastAsia="zh-CN"/>
        </w:rPr>
        <w:t>，附带执行方法的参数</w:t>
      </w:r>
      <w:r>
        <w:rPr>
          <w:rFonts w:hint="eastAsia"/>
          <w:sz w:val="24"/>
        </w:rPr>
        <w:t>。</w:t>
      </w:r>
    </w:p>
    <w:p w14:paraId="00154356">
      <w:pPr>
        <w:spacing w:line="400" w:lineRule="exact"/>
        <w:ind w:firstLine="480" w:firstLineChars="200"/>
        <w:rPr>
          <w:rFonts w:hint="default"/>
          <w:sz w:val="24"/>
        </w:rPr>
      </w:pPr>
      <w:r>
        <w:rPr>
          <w:rFonts w:hint="default"/>
          <w:sz w:val="24"/>
        </w:rPr>
        <w:t>系统判断并交易</w:t>
      </w:r>
      <w:r>
        <w:rPr>
          <w:rFonts w:hint="eastAsia"/>
          <w:sz w:val="24"/>
          <w:lang w:eastAsia="zh-CN"/>
        </w:rPr>
        <w:t>，</w:t>
      </w:r>
      <w:r>
        <w:rPr>
          <w:rFonts w:hint="eastAsia"/>
          <w:sz w:val="24"/>
        </w:rPr>
        <w:t>系统</w:t>
      </w:r>
      <w:r>
        <w:rPr>
          <w:rFonts w:hint="eastAsia"/>
          <w:sz w:val="24"/>
          <w:lang w:eastAsia="zh-CN"/>
        </w:rPr>
        <w:t>判断</w:t>
      </w:r>
      <w:r>
        <w:rPr>
          <w:rFonts w:hint="eastAsia"/>
          <w:sz w:val="24"/>
        </w:rPr>
        <w:t>模型结果，若模型决定</w:t>
      </w:r>
      <w:r>
        <w:rPr>
          <w:rFonts w:hint="eastAsia"/>
          <w:sz w:val="24"/>
          <w:lang w:eastAsia="zh-CN"/>
        </w:rPr>
        <w:t>执行</w:t>
      </w:r>
      <w:r>
        <w:rPr>
          <w:rFonts w:hint="eastAsia"/>
          <w:sz w:val="24"/>
        </w:rPr>
        <w:t>交易，则后端调用买卖工具执行</w:t>
      </w:r>
      <w:r>
        <w:rPr>
          <w:rFonts w:hint="eastAsia"/>
          <w:sz w:val="24"/>
          <w:lang w:eastAsia="zh-CN"/>
        </w:rPr>
        <w:t>交易</w:t>
      </w:r>
      <w:r>
        <w:rPr>
          <w:rFonts w:hint="eastAsia"/>
          <w:sz w:val="24"/>
        </w:rPr>
        <w:t>，</w:t>
      </w:r>
      <w:r>
        <w:rPr>
          <w:rFonts w:hint="eastAsia"/>
          <w:sz w:val="24"/>
          <w:lang w:eastAsia="zh-CN"/>
        </w:rPr>
        <w:t>同时</w:t>
      </w:r>
      <w:r>
        <w:rPr>
          <w:rFonts w:hint="eastAsia"/>
          <w:sz w:val="24"/>
        </w:rPr>
        <w:t>持久化记录交易流水与系统日志。</w:t>
      </w:r>
    </w:p>
    <w:p w14:paraId="296114E9">
      <w:pPr>
        <w:spacing w:line="400" w:lineRule="exact"/>
        <w:ind w:firstLine="480" w:firstLineChars="200"/>
        <w:rPr>
          <w:rFonts w:hint="eastAsia"/>
          <w:sz w:val="24"/>
          <w:lang w:eastAsia="zh-CN"/>
        </w:rPr>
      </w:pPr>
      <w:r>
        <w:rPr>
          <w:rFonts w:hint="default"/>
          <w:sz w:val="24"/>
        </w:rPr>
        <w:t>SSE推送</w:t>
      </w:r>
      <w:r>
        <w:rPr>
          <w:rFonts w:hint="eastAsia"/>
          <w:sz w:val="24"/>
          <w:lang w:eastAsia="zh-CN"/>
        </w:rPr>
        <w:t>，最后</w:t>
      </w:r>
      <w:r>
        <w:rPr>
          <w:rFonts w:hint="eastAsia"/>
          <w:sz w:val="24"/>
        </w:rPr>
        <w:t>无论是否交易，后端</w:t>
      </w:r>
      <w:r>
        <w:rPr>
          <w:rFonts w:hint="eastAsia"/>
          <w:sz w:val="24"/>
          <w:lang w:eastAsia="zh-CN"/>
        </w:rPr>
        <w:t>都会</w:t>
      </w:r>
      <w:r>
        <w:rPr>
          <w:rFonts w:hint="eastAsia"/>
          <w:sz w:val="24"/>
        </w:rPr>
        <w:t>通过SSE</w:t>
      </w:r>
      <w:r>
        <w:rPr>
          <w:rFonts w:hint="eastAsia"/>
          <w:sz w:val="24"/>
          <w:lang w:eastAsia="zh-CN"/>
        </w:rPr>
        <w:t>管道</w:t>
      </w:r>
      <w:r>
        <w:rPr>
          <w:rFonts w:hint="eastAsia"/>
          <w:sz w:val="24"/>
        </w:rPr>
        <w:t>将决策结果与日志实时推送到前端，更新日志列表和</w:t>
      </w:r>
      <w:r>
        <w:rPr>
          <w:rFonts w:hint="eastAsia"/>
          <w:sz w:val="24"/>
          <w:lang w:eastAsia="zh-CN"/>
        </w:rPr>
        <w:t>文本框</w:t>
      </w:r>
      <w:r>
        <w:rPr>
          <w:rFonts w:hint="eastAsia"/>
          <w:sz w:val="24"/>
        </w:rPr>
        <w:t>，供用户</w:t>
      </w:r>
      <w:r>
        <w:rPr>
          <w:rFonts w:hint="eastAsia"/>
          <w:sz w:val="24"/>
          <w:lang w:eastAsia="zh-CN"/>
        </w:rPr>
        <w:t>分析</w:t>
      </w:r>
      <w:r>
        <w:rPr>
          <w:rFonts w:hint="eastAsia"/>
          <w:sz w:val="24"/>
          <w:lang w:val="en-US" w:eastAsia="zh-CN"/>
        </w:rPr>
        <w:t>Agent的</w:t>
      </w:r>
      <w:r>
        <w:rPr>
          <w:rFonts w:hint="eastAsia"/>
          <w:sz w:val="24"/>
        </w:rPr>
        <w:t>决策理由</w:t>
      </w:r>
      <w:r>
        <w:rPr>
          <w:rFonts w:hint="eastAsia"/>
          <w:sz w:val="24"/>
          <w:lang w:eastAsia="zh-CN"/>
        </w:rPr>
        <w:t>。</w:t>
      </w:r>
    </w:p>
    <w:p w14:paraId="4FB322E6">
      <w:pPr>
        <w:spacing w:line="400" w:lineRule="exact"/>
        <w:ind w:firstLine="480" w:firstLineChars="200"/>
        <w:rPr>
          <w:rFonts w:hint="eastAsia"/>
          <w:sz w:val="24"/>
          <w:lang w:eastAsia="zh-CN"/>
        </w:rPr>
      </w:pPr>
    </w:p>
    <w:p w14:paraId="682BD7A9">
      <w:pPr>
        <w:jc w:val="center"/>
        <w:rPr>
          <w:sz w:val="24"/>
        </w:rPr>
      </w:pPr>
      <w:r>
        <w:rPr>
          <w:rFonts w:hint="eastAsia"/>
          <w:sz w:val="24"/>
        </w:rPr>
        <w:drawing>
          <wp:inline distT="0" distB="0" distL="114300" distR="114300">
            <wp:extent cx="5387975" cy="3881120"/>
            <wp:effectExtent l="0" t="0" r="3175" b="5080"/>
            <wp:docPr id="123" name="图片 123" descr="用户触发AI单次交易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用户触发AI单次交易流程.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387975" cy="3881120"/>
                    </a:xfrm>
                    <a:prstGeom prst="rect">
                      <a:avLst/>
                    </a:prstGeom>
                  </pic:spPr>
                </pic:pic>
              </a:graphicData>
            </a:graphic>
          </wp:inline>
        </w:drawing>
      </w:r>
    </w:p>
    <w:p w14:paraId="6D971C17">
      <w:pPr>
        <w:spacing w:line="400" w:lineRule="exact"/>
        <w:ind w:firstLine="420" w:firstLineChars="200"/>
        <w:jc w:val="center"/>
        <w:rPr>
          <w:rFonts w:hint="eastAsia" w:ascii="宋体" w:hAnsi="宋体" w:cs="宋体"/>
          <w:sz w:val="24"/>
        </w:rPr>
      </w:pPr>
      <w:r>
        <w:rPr>
          <w:rFonts w:hint="eastAsia" w:ascii="宋体" w:hAnsi="宋体" w:cs="宋体"/>
          <w:szCs w:val="21"/>
          <w:lang w:bidi="ar"/>
        </w:rPr>
        <w:t>图</w:t>
      </w:r>
      <w:r>
        <w:rPr>
          <w:rFonts w:hint="eastAsia" w:ascii="宋体" w:hAnsi="宋体" w:cs="宋体"/>
          <w:szCs w:val="21"/>
          <w:lang w:val="en-US" w:eastAsia="zh-CN" w:bidi="ar"/>
        </w:rPr>
        <w:t>4.3</w:t>
      </w:r>
      <w:r>
        <w:rPr>
          <w:rFonts w:hint="eastAsia"/>
          <w:szCs w:val="21"/>
          <w:lang w:bidi="ar"/>
        </w:rPr>
        <w:t xml:space="preserve"> AI决策</w:t>
      </w:r>
      <w:r>
        <w:rPr>
          <w:rFonts w:hint="eastAsia"/>
          <w:szCs w:val="21"/>
          <w:lang w:eastAsia="zh-CN" w:bidi="ar"/>
        </w:rPr>
        <w:t>模块</w:t>
      </w:r>
      <w:r>
        <w:rPr>
          <w:rFonts w:hint="eastAsia"/>
          <w:szCs w:val="21"/>
          <w:lang w:bidi="ar"/>
        </w:rPr>
        <w:t>流程</w:t>
      </w:r>
      <w:r>
        <w:rPr>
          <w:rFonts w:hint="eastAsia" w:ascii="宋体" w:hAnsi="宋体" w:cs="宋体"/>
          <w:szCs w:val="21"/>
          <w:lang w:bidi="ar"/>
        </w:rPr>
        <w:t>图</w:t>
      </w:r>
    </w:p>
    <w:p w14:paraId="2571D509">
      <w:pPr>
        <w:tabs>
          <w:tab w:val="left" w:pos="523"/>
        </w:tabs>
        <w:spacing w:line="400" w:lineRule="exact"/>
        <w:rPr>
          <w:rFonts w:hint="eastAsia" w:ascii="黑体" w:hAnsi="黑体" w:eastAsia="黑体" w:cs="黑体"/>
          <w:sz w:val="28"/>
          <w:szCs w:val="28"/>
        </w:rPr>
      </w:pPr>
    </w:p>
    <w:p w14:paraId="1C2631DA">
      <w:pPr>
        <w:tabs>
          <w:tab w:val="left" w:pos="523"/>
        </w:tabs>
        <w:spacing w:line="400" w:lineRule="exact"/>
        <w:rPr>
          <w:rFonts w:hint="default" w:ascii="宋体" w:hAnsi="宋体" w:cs="宋体"/>
          <w:sz w:val="24"/>
          <w:lang w:val="en-US"/>
        </w:rPr>
      </w:pPr>
      <w:r>
        <w:rPr>
          <w:rFonts w:hint="eastAsia" w:ascii="黑体" w:hAnsi="黑体" w:eastAsia="黑体" w:cs="黑体"/>
          <w:sz w:val="28"/>
          <w:szCs w:val="28"/>
        </w:rPr>
        <w:t>4.</w:t>
      </w:r>
      <w:r>
        <w:rPr>
          <w:rFonts w:hint="eastAsia" w:ascii="黑体" w:hAnsi="黑体" w:eastAsia="黑体" w:cs="黑体"/>
          <w:sz w:val="28"/>
          <w:szCs w:val="28"/>
          <w:lang w:val="en-US" w:eastAsia="zh-CN"/>
        </w:rPr>
        <w:t>2</w:t>
      </w:r>
      <w:r>
        <w:rPr>
          <w:rFonts w:hint="eastAsia" w:ascii="黑体" w:hAnsi="黑体" w:eastAsia="黑体" w:cs="黑体"/>
          <w:sz w:val="28"/>
          <w:szCs w:val="28"/>
        </w:rPr>
        <w:t>.</w:t>
      </w:r>
      <w:r>
        <w:rPr>
          <w:rFonts w:hint="eastAsia" w:ascii="黑体" w:hAnsi="黑体" w:eastAsia="黑体" w:cs="黑体"/>
          <w:sz w:val="28"/>
          <w:szCs w:val="28"/>
          <w:lang w:val="en-US" w:eastAsia="zh-CN"/>
        </w:rPr>
        <w:t xml:space="preserve">3 </w:t>
      </w:r>
      <w:r>
        <w:rPr>
          <w:rFonts w:hint="eastAsia" w:ascii="黑体" w:hAnsi="黑体" w:eastAsia="黑体" w:cs="黑体"/>
          <w:sz w:val="28"/>
          <w:szCs w:val="28"/>
        </w:rPr>
        <w:t>斗兽场控制模块</w:t>
      </w:r>
    </w:p>
    <w:p w14:paraId="0A5DB13D">
      <w:pPr>
        <w:spacing w:line="400" w:lineRule="exact"/>
        <w:ind w:firstLine="480" w:firstLineChars="200"/>
        <w:rPr>
          <w:rFonts w:hint="eastAsia" w:ascii="宋体" w:hAnsi="宋体" w:cs="宋体"/>
          <w:szCs w:val="21"/>
          <w:lang w:bidi="ar"/>
        </w:rPr>
      </w:pPr>
      <w:r>
        <w:rPr>
          <w:rFonts w:hint="eastAsia"/>
          <w:sz w:val="24"/>
        </w:rPr>
        <w:t>该模块作为Agent在链上博弈的核心编排层，负责管理</w:t>
      </w:r>
      <w:r>
        <w:rPr>
          <w:sz w:val="24"/>
        </w:rPr>
        <w:t>Agent</w:t>
      </w:r>
      <w:r>
        <w:rPr>
          <w:rFonts w:hint="eastAsia"/>
          <w:sz w:val="24"/>
        </w:rPr>
        <w:t>对抗的生命周期。它按照设定的轮数和角色配置，控制每轮的交易顺序，协调</w:t>
      </w:r>
      <w:r>
        <w:rPr>
          <w:sz w:val="24"/>
        </w:rPr>
        <w:t>AI</w:t>
      </w:r>
      <w:r>
        <w:rPr>
          <w:rFonts w:hint="eastAsia"/>
          <w:sz w:val="24"/>
        </w:rPr>
        <w:t>决策模块和区块链交互模块完成代币交易，</w:t>
      </w:r>
      <w:r>
        <w:rPr>
          <w:rFonts w:ascii="宋体" w:hAnsi="宋体" w:cs="宋体"/>
          <w:sz w:val="24"/>
        </w:rPr>
        <w:t>充当“中枢协调者”</w:t>
      </w:r>
      <w:r>
        <w:rPr>
          <w:rFonts w:hint="eastAsia"/>
          <w:sz w:val="24"/>
        </w:rPr>
        <w:t>。</w:t>
      </w:r>
    </w:p>
    <w:p w14:paraId="3948FF4F">
      <w:pPr>
        <w:spacing w:line="400" w:lineRule="exact"/>
        <w:ind w:firstLine="480" w:firstLineChars="200"/>
        <w:rPr>
          <w:sz w:val="24"/>
        </w:rPr>
      </w:pPr>
      <w:r>
        <w:rPr>
          <w:rFonts w:hint="eastAsia"/>
          <w:sz w:val="24"/>
        </w:rPr>
        <w:t>对斗兽场</w:t>
      </w:r>
      <w:r>
        <w:rPr>
          <w:rFonts w:hint="eastAsia"/>
          <w:sz w:val="24"/>
          <w:lang w:eastAsia="zh-CN"/>
        </w:rPr>
        <w:t>控制模块，</w:t>
      </w:r>
      <w:r>
        <w:rPr>
          <w:rFonts w:hint="eastAsia"/>
          <w:sz w:val="24"/>
        </w:rPr>
        <w:t>笔者设计了</w:t>
      </w:r>
      <w:r>
        <w:rPr>
          <w:rFonts w:hint="eastAsia"/>
          <w:sz w:val="24"/>
          <w:lang w:eastAsia="zh-CN"/>
        </w:rPr>
        <w:t>如图</w:t>
      </w:r>
      <w:r>
        <w:rPr>
          <w:rFonts w:hint="eastAsia"/>
          <w:sz w:val="24"/>
          <w:lang w:val="en-US" w:eastAsia="zh-CN"/>
        </w:rPr>
        <w:t>4.4的核心流程</w:t>
      </w:r>
      <w:r>
        <w:rPr>
          <w:rFonts w:hint="eastAsia"/>
          <w:sz w:val="24"/>
        </w:rPr>
        <w:t>：</w:t>
      </w:r>
    </w:p>
    <w:p w14:paraId="464BF3DF">
      <w:pPr>
        <w:spacing w:line="400" w:lineRule="exact"/>
        <w:ind w:firstLine="480" w:firstLineChars="200"/>
        <w:rPr>
          <w:rFonts w:hint="eastAsia" w:eastAsia="宋体"/>
          <w:sz w:val="24"/>
          <w:lang w:eastAsia="zh-CN"/>
        </w:rPr>
      </w:pPr>
      <w:r>
        <w:rPr>
          <w:rFonts w:hint="eastAsia"/>
          <w:sz w:val="24"/>
          <w:lang w:eastAsia="zh-CN"/>
        </w:rPr>
        <w:t>前端配置，前端携带用户配置的参数请求后端“启动斗兽场”接口</w:t>
      </w:r>
    </w:p>
    <w:p w14:paraId="344E4C7A">
      <w:pPr>
        <w:spacing w:line="400" w:lineRule="exact"/>
        <w:ind w:firstLine="480" w:firstLineChars="200"/>
        <w:rPr>
          <w:sz w:val="24"/>
        </w:rPr>
      </w:pPr>
      <w:r>
        <w:rPr>
          <w:rFonts w:hint="eastAsia"/>
          <w:sz w:val="24"/>
          <w:lang w:eastAsia="zh-CN"/>
        </w:rPr>
        <w:t>配置落表，后端接收到请求后，</w:t>
      </w:r>
      <w:r>
        <w:rPr>
          <w:rFonts w:hint="eastAsia"/>
          <w:sz w:val="24"/>
        </w:rPr>
        <w:t>将用户的配置记录插入</w:t>
      </w:r>
      <w:r>
        <w:rPr>
          <w:rFonts w:hint="eastAsia"/>
          <w:sz w:val="24"/>
          <w:lang w:eastAsia="zh-CN"/>
        </w:rPr>
        <w:t>配置</w:t>
      </w:r>
      <w:r>
        <w:rPr>
          <w:rFonts w:hint="eastAsia"/>
          <w:sz w:val="24"/>
        </w:rPr>
        <w:t>表，设置初始状态为RUNNING。</w:t>
      </w:r>
    </w:p>
    <w:p w14:paraId="2BCF354E">
      <w:pPr>
        <w:spacing w:line="400" w:lineRule="exact"/>
        <w:ind w:firstLine="480" w:firstLineChars="200"/>
        <w:rPr>
          <w:sz w:val="24"/>
        </w:rPr>
      </w:pPr>
      <w:r>
        <w:rPr>
          <w:rFonts w:hint="eastAsia"/>
          <w:sz w:val="24"/>
          <w:lang w:eastAsia="zh-CN"/>
        </w:rPr>
        <w:t>生成私钥、地址，</w:t>
      </w:r>
      <w:r>
        <w:rPr>
          <w:rFonts w:hint="eastAsia"/>
          <w:sz w:val="24"/>
        </w:rPr>
        <w:t>调用Web3j的Credentials.create私钥生成方法，为三位Agent分配独立的以太坊地址与私钥，并将地址保存到</w:t>
      </w:r>
      <w:r>
        <w:rPr>
          <w:rFonts w:hint="eastAsia"/>
          <w:sz w:val="24"/>
          <w:lang w:eastAsia="zh-CN"/>
        </w:rPr>
        <w:t>数据库</w:t>
      </w:r>
      <w:r>
        <w:rPr>
          <w:rFonts w:hint="eastAsia"/>
          <w:sz w:val="24"/>
        </w:rPr>
        <w:t>表的区块链地址字段。</w:t>
      </w:r>
    </w:p>
    <w:p w14:paraId="40DA5042">
      <w:pPr>
        <w:spacing w:line="400" w:lineRule="exact"/>
        <w:ind w:firstLine="480" w:firstLineChars="200"/>
        <w:rPr>
          <w:sz w:val="24"/>
        </w:rPr>
      </w:pPr>
      <w:r>
        <w:rPr>
          <w:rFonts w:hint="eastAsia"/>
          <w:sz w:val="24"/>
          <w:lang w:eastAsia="zh-CN"/>
        </w:rPr>
        <w:t>初始化账户，</w:t>
      </w:r>
      <w:r>
        <w:rPr>
          <w:rFonts w:hint="eastAsia"/>
          <w:sz w:val="24"/>
        </w:rPr>
        <w:t>操作系统托管地址向三位AI地址分别转入指定数量的T1、T2、T3代币，在区块链中转账通过Web3j调用ERC20合约transfer方法实现。</w:t>
      </w:r>
    </w:p>
    <w:p w14:paraId="1106128F">
      <w:pPr>
        <w:spacing w:line="400" w:lineRule="exact"/>
        <w:ind w:firstLine="480" w:firstLineChars="200"/>
        <w:rPr>
          <w:sz w:val="24"/>
        </w:rPr>
      </w:pPr>
      <w:r>
        <w:rPr>
          <w:rFonts w:hint="eastAsia"/>
          <w:sz w:val="24"/>
          <w:lang w:eastAsia="zh-CN"/>
        </w:rPr>
        <w:t>定义货币价格，</w:t>
      </w:r>
      <w:r>
        <w:rPr>
          <w:rFonts w:hint="eastAsia"/>
          <w:sz w:val="24"/>
        </w:rPr>
        <w:t>在</w:t>
      </w:r>
      <w:r>
        <w:rPr>
          <w:rFonts w:hint="eastAsia"/>
          <w:sz w:val="24"/>
          <w:lang w:eastAsia="zh-CN"/>
        </w:rPr>
        <w:t>数据库</w:t>
      </w:r>
      <w:r>
        <w:rPr>
          <w:rFonts w:hint="eastAsia"/>
          <w:sz w:val="24"/>
        </w:rPr>
        <w:t>表中插入初始价格记录。为了体现AI的交易表现，本系统中约定“SET”为“基准货币”，T1、T2、T3相对SET的初始价格均为1.0。</w:t>
      </w:r>
    </w:p>
    <w:p w14:paraId="6B1C8927">
      <w:pPr>
        <w:spacing w:line="400" w:lineRule="exact"/>
        <w:ind w:firstLine="480" w:firstLineChars="200"/>
        <w:rPr>
          <w:rFonts w:hint="eastAsia"/>
          <w:sz w:val="24"/>
        </w:rPr>
      </w:pPr>
      <w:r>
        <w:rPr>
          <w:rFonts w:hint="eastAsia"/>
          <w:sz w:val="24"/>
        </w:rPr>
        <w:t>返回response，前端转跳斗兽场监控页面展示AI实时收益；随后开始执行AI交易的循环，单次循环结束就将当前Agent的持仓和每个代币的价格返回给前端。</w:t>
      </w:r>
    </w:p>
    <w:p w14:paraId="18974435">
      <w:pPr>
        <w:jc w:val="center"/>
        <w:rPr>
          <w:rFonts w:hint="eastAsia"/>
          <w:sz w:val="24"/>
        </w:rPr>
      </w:pPr>
    </w:p>
    <w:p w14:paraId="5A5F3E6C">
      <w:pPr>
        <w:jc w:val="center"/>
        <w:rPr>
          <w:sz w:val="24"/>
        </w:rPr>
      </w:pPr>
      <w:r>
        <w:rPr>
          <w:rFonts w:hint="eastAsia"/>
          <w:sz w:val="24"/>
        </w:rPr>
        <w:drawing>
          <wp:inline distT="0" distB="0" distL="114300" distR="114300">
            <wp:extent cx="5375275" cy="4719955"/>
            <wp:effectExtent l="0" t="0" r="15875" b="4445"/>
            <wp:docPr id="118" name="图片 118" descr="用户配置并启动斗兽场流程.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用户配置并启动斗兽场流程.drawio (2)"/>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375275" cy="4719955"/>
                    </a:xfrm>
                    <a:prstGeom prst="rect">
                      <a:avLst/>
                    </a:prstGeom>
                  </pic:spPr>
                </pic:pic>
              </a:graphicData>
            </a:graphic>
          </wp:inline>
        </w:drawing>
      </w:r>
    </w:p>
    <w:p w14:paraId="052FA04F">
      <w:pPr>
        <w:spacing w:line="400" w:lineRule="exact"/>
        <w:jc w:val="center"/>
        <w:rPr>
          <w:rFonts w:hint="eastAsia" w:ascii="宋体" w:hAnsi="宋体" w:cs="宋体"/>
          <w:szCs w:val="21"/>
          <w:lang w:bidi="ar"/>
        </w:rPr>
      </w:pPr>
      <w:r>
        <w:rPr>
          <w:rFonts w:hint="eastAsia" w:ascii="宋体" w:hAnsi="宋体" w:cs="宋体"/>
          <w:szCs w:val="21"/>
          <w:lang w:bidi="ar"/>
        </w:rPr>
        <w:t>图</w:t>
      </w:r>
      <w:r>
        <w:rPr>
          <w:rFonts w:hint="eastAsia" w:ascii="宋体" w:hAnsi="宋体" w:cs="宋体"/>
          <w:szCs w:val="21"/>
          <w:lang w:val="en-US" w:eastAsia="zh-CN" w:bidi="ar"/>
        </w:rPr>
        <w:t>4.4</w:t>
      </w:r>
      <w:r>
        <w:rPr>
          <w:rFonts w:hint="eastAsia"/>
          <w:szCs w:val="21"/>
          <w:lang w:bidi="ar"/>
        </w:rPr>
        <w:t xml:space="preserve"> 斗兽场</w:t>
      </w:r>
      <w:r>
        <w:rPr>
          <w:rFonts w:hint="eastAsia"/>
          <w:szCs w:val="21"/>
          <w:lang w:eastAsia="zh-CN" w:bidi="ar"/>
        </w:rPr>
        <w:t>模块</w:t>
      </w:r>
      <w:r>
        <w:rPr>
          <w:rFonts w:hint="eastAsia"/>
          <w:szCs w:val="21"/>
          <w:lang w:bidi="ar"/>
        </w:rPr>
        <w:t>流程</w:t>
      </w:r>
      <w:r>
        <w:rPr>
          <w:rFonts w:hint="eastAsia" w:ascii="宋体" w:hAnsi="宋体" w:cs="宋体"/>
          <w:szCs w:val="21"/>
          <w:lang w:bidi="ar"/>
        </w:rPr>
        <w:t>图</w:t>
      </w:r>
    </w:p>
    <w:p w14:paraId="0DEBF1CA">
      <w:pPr>
        <w:spacing w:line="400" w:lineRule="exact"/>
        <w:jc w:val="both"/>
        <w:rPr>
          <w:rFonts w:hint="eastAsia" w:ascii="宋体" w:hAnsi="宋体" w:cs="宋体"/>
          <w:szCs w:val="21"/>
          <w:lang w:bidi="ar"/>
        </w:rPr>
      </w:pPr>
    </w:p>
    <w:p w14:paraId="5858AD0F">
      <w:pPr>
        <w:tabs>
          <w:tab w:val="left" w:pos="523"/>
        </w:tabs>
        <w:spacing w:line="400" w:lineRule="exact"/>
        <w:rPr>
          <w:rFonts w:hint="eastAsia"/>
          <w:sz w:val="24"/>
        </w:rPr>
      </w:pPr>
      <w:r>
        <w:rPr>
          <w:rFonts w:hint="eastAsia" w:ascii="黑体" w:hAnsi="黑体" w:eastAsia="黑体" w:cs="黑体"/>
          <w:sz w:val="28"/>
          <w:szCs w:val="28"/>
        </w:rPr>
        <w:t>4.</w:t>
      </w:r>
      <w:r>
        <w:rPr>
          <w:rFonts w:hint="eastAsia" w:ascii="黑体" w:hAnsi="黑体" w:eastAsia="黑体" w:cs="黑体"/>
          <w:sz w:val="28"/>
          <w:szCs w:val="28"/>
          <w:lang w:val="en-US" w:eastAsia="zh-CN"/>
        </w:rPr>
        <w:t>2</w:t>
      </w:r>
      <w:r>
        <w:rPr>
          <w:rFonts w:hint="eastAsia" w:ascii="黑体" w:hAnsi="黑体" w:eastAsia="黑体" w:cs="黑体"/>
          <w:sz w:val="28"/>
          <w:szCs w:val="28"/>
        </w:rPr>
        <w:t>.</w:t>
      </w:r>
      <w:r>
        <w:rPr>
          <w:rFonts w:hint="eastAsia" w:ascii="黑体" w:hAnsi="黑体" w:eastAsia="黑体" w:cs="黑体"/>
          <w:sz w:val="28"/>
          <w:szCs w:val="28"/>
          <w:lang w:val="en-US" w:eastAsia="zh-CN"/>
        </w:rPr>
        <w:t xml:space="preserve">4 </w:t>
      </w:r>
      <w:r>
        <w:rPr>
          <w:rFonts w:hint="eastAsia" w:ascii="黑体" w:hAnsi="黑体" w:eastAsia="黑体" w:cs="黑体"/>
          <w:sz w:val="28"/>
          <w:szCs w:val="28"/>
        </w:rPr>
        <w:t>区块链交互模块</w:t>
      </w:r>
    </w:p>
    <w:p w14:paraId="60872A06">
      <w:pPr>
        <w:spacing w:line="400" w:lineRule="exact"/>
        <w:ind w:firstLine="480" w:firstLineChars="200"/>
        <w:rPr>
          <w:rFonts w:hint="eastAsia"/>
          <w:sz w:val="24"/>
        </w:rPr>
      </w:pPr>
      <w:r>
        <w:rPr>
          <w:rFonts w:ascii="宋体" w:hAnsi="宋体" w:cs="宋体"/>
          <w:sz w:val="24"/>
        </w:rPr>
        <w:t>该模块作为区块链网络</w:t>
      </w:r>
      <w:r>
        <w:rPr>
          <w:rFonts w:hint="eastAsia" w:ascii="宋体" w:hAnsi="宋体" w:cs="宋体"/>
          <w:sz w:val="24"/>
        </w:rPr>
        <w:t>ABI</w:t>
      </w:r>
      <w:r>
        <w:rPr>
          <w:rFonts w:ascii="宋体" w:hAnsi="宋体" w:cs="宋体"/>
          <w:sz w:val="24"/>
        </w:rPr>
        <w:t>的适配层，负责隔离</w:t>
      </w:r>
      <w:r>
        <w:rPr>
          <w:rFonts w:hint="eastAsia" w:ascii="宋体" w:hAnsi="宋体" w:cs="宋体"/>
          <w:sz w:val="24"/>
        </w:rPr>
        <w:t>链上</w:t>
      </w:r>
      <w:r>
        <w:rPr>
          <w:rFonts w:ascii="宋体" w:hAnsi="宋体" w:cs="宋体"/>
          <w:sz w:val="24"/>
        </w:rPr>
        <w:t>智能合约与本地业务系统</w:t>
      </w:r>
      <w:r>
        <w:rPr>
          <w:rFonts w:hint="eastAsia"/>
          <w:sz w:val="24"/>
        </w:rPr>
        <w:t>。包括部署代币合约、向指定地址转账初始代币、查询地址的代币余额、执行代币转账等操作，在最后将交易日志和结果落入行情数据模块。</w:t>
      </w:r>
    </w:p>
    <w:p w14:paraId="7BCB1C39">
      <w:pPr>
        <w:tabs>
          <w:tab w:val="left" w:pos="523"/>
        </w:tabs>
        <w:spacing w:line="400" w:lineRule="exact"/>
        <w:rPr>
          <w:rFonts w:hint="eastAsia"/>
          <w:sz w:val="24"/>
        </w:rPr>
      </w:pPr>
      <w:r>
        <w:rPr>
          <w:rFonts w:hint="eastAsia" w:ascii="黑体" w:hAnsi="黑体" w:eastAsia="黑体" w:cs="黑体"/>
          <w:sz w:val="28"/>
          <w:szCs w:val="28"/>
        </w:rPr>
        <w:t>4.</w:t>
      </w:r>
      <w:r>
        <w:rPr>
          <w:rFonts w:hint="eastAsia" w:ascii="黑体" w:hAnsi="黑体" w:eastAsia="黑体" w:cs="黑体"/>
          <w:sz w:val="28"/>
          <w:szCs w:val="28"/>
          <w:lang w:val="en-US" w:eastAsia="zh-CN"/>
        </w:rPr>
        <w:t>2</w:t>
      </w:r>
      <w:r>
        <w:rPr>
          <w:rFonts w:hint="eastAsia" w:ascii="黑体" w:hAnsi="黑体" w:eastAsia="黑体" w:cs="黑体"/>
          <w:sz w:val="28"/>
          <w:szCs w:val="28"/>
        </w:rPr>
        <w:t>.</w:t>
      </w:r>
      <w:r>
        <w:rPr>
          <w:rFonts w:hint="eastAsia" w:ascii="黑体" w:hAnsi="黑体" w:eastAsia="黑体" w:cs="黑体"/>
          <w:sz w:val="28"/>
          <w:szCs w:val="28"/>
          <w:lang w:val="en-US" w:eastAsia="zh-CN"/>
        </w:rPr>
        <w:t xml:space="preserve">4 </w:t>
      </w:r>
      <w:r>
        <w:rPr>
          <w:rFonts w:hint="eastAsia" w:ascii="黑体" w:hAnsi="黑体" w:eastAsia="黑体" w:cs="黑体"/>
          <w:sz w:val="28"/>
          <w:szCs w:val="28"/>
        </w:rPr>
        <w:t>前端模块</w:t>
      </w:r>
    </w:p>
    <w:p w14:paraId="3C642011">
      <w:pPr>
        <w:spacing w:line="400" w:lineRule="exact"/>
        <w:ind w:firstLine="480" w:firstLineChars="200"/>
        <w:rPr>
          <w:rFonts w:hint="eastAsia"/>
          <w:sz w:val="24"/>
        </w:rPr>
      </w:pPr>
      <w:r>
        <w:rPr>
          <w:rFonts w:hint="eastAsia"/>
          <w:sz w:val="24"/>
          <w:lang w:eastAsia="zh-CN"/>
        </w:rPr>
        <w:t>该</w:t>
      </w:r>
      <w:r>
        <w:rPr>
          <w:rFonts w:hint="eastAsia"/>
          <w:sz w:val="24"/>
        </w:rPr>
        <w:t>模块负责页面的展示和交互。该</w:t>
      </w:r>
      <w:r>
        <w:rPr>
          <w:rFonts w:ascii="宋体" w:hAnsi="宋体" w:cs="宋体"/>
          <w:sz w:val="24"/>
        </w:rPr>
        <w:t>模块采用分屏与动态看板设计</w:t>
      </w:r>
      <w:r>
        <w:rPr>
          <w:rFonts w:hint="eastAsia" w:ascii="宋体" w:hAnsi="宋体" w:cs="宋体"/>
          <w:sz w:val="24"/>
        </w:rPr>
        <w:t>，其中</w:t>
      </w:r>
      <w:r>
        <w:rPr>
          <w:rFonts w:hint="eastAsia"/>
          <w:sz w:val="24"/>
        </w:rPr>
        <w:t>股票交易页展示动态变化的行情表格、</w:t>
      </w:r>
      <w:r>
        <w:rPr>
          <w:sz w:val="24"/>
        </w:rPr>
        <w:t>AI</w:t>
      </w:r>
      <w:r>
        <w:rPr>
          <w:rFonts w:hint="eastAsia"/>
          <w:sz w:val="24"/>
        </w:rPr>
        <w:t>选择控件、操作按钮、收益曲线和日志列表等；斗兽场页包含资产曲线、轮次信息、日志列表和交易记录表格。</w:t>
      </w:r>
    </w:p>
    <w:p w14:paraId="26B4B667">
      <w:pPr>
        <w:tabs>
          <w:tab w:val="left" w:pos="523"/>
        </w:tabs>
        <w:spacing w:line="400" w:lineRule="exact"/>
        <w:rPr>
          <w:rFonts w:hint="eastAsia"/>
          <w:sz w:val="24"/>
        </w:rPr>
      </w:pPr>
      <w:r>
        <w:rPr>
          <w:rFonts w:hint="eastAsia" w:ascii="黑体" w:hAnsi="黑体" w:eastAsia="黑体" w:cs="黑体"/>
          <w:sz w:val="28"/>
          <w:szCs w:val="28"/>
        </w:rPr>
        <w:t>4.</w:t>
      </w:r>
      <w:r>
        <w:rPr>
          <w:rFonts w:hint="eastAsia" w:ascii="黑体" w:hAnsi="黑体" w:eastAsia="黑体" w:cs="黑体"/>
          <w:sz w:val="28"/>
          <w:szCs w:val="28"/>
          <w:lang w:val="en-US" w:eastAsia="zh-CN"/>
        </w:rPr>
        <w:t>2</w:t>
      </w:r>
      <w:r>
        <w:rPr>
          <w:rFonts w:hint="eastAsia" w:ascii="黑体" w:hAnsi="黑体" w:eastAsia="黑体" w:cs="黑体"/>
          <w:sz w:val="28"/>
          <w:szCs w:val="28"/>
        </w:rPr>
        <w:t>.</w:t>
      </w:r>
      <w:r>
        <w:rPr>
          <w:rFonts w:hint="eastAsia" w:ascii="黑体" w:hAnsi="黑体" w:eastAsia="黑体" w:cs="黑体"/>
          <w:sz w:val="28"/>
          <w:szCs w:val="28"/>
          <w:lang w:val="en-US" w:eastAsia="zh-CN"/>
        </w:rPr>
        <w:t xml:space="preserve">4 </w:t>
      </w:r>
      <w:r>
        <w:rPr>
          <w:rFonts w:hint="eastAsia" w:ascii="黑体" w:hAnsi="黑体" w:eastAsia="黑体" w:cs="黑体"/>
          <w:sz w:val="28"/>
          <w:szCs w:val="28"/>
        </w:rPr>
        <w:t>模块</w:t>
      </w:r>
      <w:r>
        <w:rPr>
          <w:rFonts w:hint="eastAsia" w:ascii="黑体" w:hAnsi="黑体" w:eastAsia="黑体" w:cs="黑体"/>
          <w:sz w:val="28"/>
          <w:szCs w:val="28"/>
          <w:lang w:eastAsia="zh-CN"/>
        </w:rPr>
        <w:t>间交互</w:t>
      </w:r>
    </w:p>
    <w:p w14:paraId="682EF7A0">
      <w:pPr>
        <w:spacing w:line="400" w:lineRule="exact"/>
        <w:ind w:firstLine="480" w:firstLineChars="200"/>
        <w:rPr>
          <w:sz w:val="24"/>
        </w:rPr>
      </w:pPr>
      <w:r>
        <w:rPr>
          <w:rFonts w:hint="eastAsia"/>
          <w:sz w:val="24"/>
        </w:rPr>
        <w:t>各模块之间的</w:t>
      </w:r>
      <w:r>
        <w:rPr>
          <w:rFonts w:hint="eastAsia"/>
          <w:sz w:val="24"/>
          <w:lang w:eastAsia="zh-CN"/>
        </w:rPr>
        <w:t>交互</w:t>
      </w:r>
      <w:r>
        <w:rPr>
          <w:rFonts w:hint="eastAsia"/>
          <w:sz w:val="24"/>
        </w:rPr>
        <w:t>关系可参考图4.</w:t>
      </w:r>
      <w:r>
        <w:rPr>
          <w:rFonts w:hint="eastAsia"/>
          <w:sz w:val="24"/>
          <w:lang w:val="en-US" w:eastAsia="zh-CN"/>
        </w:rPr>
        <w:t>5</w:t>
      </w:r>
      <w:r>
        <w:rPr>
          <w:rFonts w:hint="eastAsia"/>
          <w:sz w:val="24"/>
        </w:rPr>
        <w:t>，前端模块通过</w:t>
      </w:r>
      <w:r>
        <w:rPr>
          <w:sz w:val="24"/>
        </w:rPr>
        <w:t>HTTP</w:t>
      </w:r>
      <w:r>
        <w:rPr>
          <w:rFonts w:hint="eastAsia"/>
          <w:sz w:val="24"/>
        </w:rPr>
        <w:t>调用后端业务层的控制层；控制层根据请求调用行情数据模块、模拟交易模块、</w:t>
      </w:r>
      <w:r>
        <w:rPr>
          <w:sz w:val="24"/>
        </w:rPr>
        <w:t>AI</w:t>
      </w:r>
      <w:r>
        <w:rPr>
          <w:rFonts w:hint="eastAsia"/>
          <w:sz w:val="24"/>
        </w:rPr>
        <w:t>决策模块或斗兽场控制模块；</w:t>
      </w:r>
      <w:r>
        <w:rPr>
          <w:sz w:val="24"/>
        </w:rPr>
        <w:t>AI</w:t>
      </w:r>
      <w:r>
        <w:rPr>
          <w:rFonts w:hint="eastAsia"/>
          <w:sz w:val="24"/>
        </w:rPr>
        <w:t>决策模块在需要时调用模拟交易模块的工具；斗兽场控制模块在需要时调用</w:t>
      </w:r>
      <w:r>
        <w:rPr>
          <w:sz w:val="24"/>
        </w:rPr>
        <w:t>AI</w:t>
      </w:r>
      <w:r>
        <w:rPr>
          <w:rFonts w:hint="eastAsia"/>
          <w:sz w:val="24"/>
        </w:rPr>
        <w:t>决策模块和区块链交互模块；行情数据模块和区块链交互模块分别与外部</w:t>
      </w:r>
      <w:r>
        <w:rPr>
          <w:sz w:val="24"/>
        </w:rPr>
        <w:t>API</w:t>
      </w:r>
      <w:r>
        <w:rPr>
          <w:rFonts w:hint="eastAsia"/>
          <w:sz w:val="24"/>
        </w:rPr>
        <w:t>和</w:t>
      </w:r>
      <w:r>
        <w:rPr>
          <w:sz w:val="24"/>
        </w:rPr>
        <w:t>Ganache</w:t>
      </w:r>
      <w:r>
        <w:rPr>
          <w:rFonts w:hint="eastAsia"/>
          <w:sz w:val="24"/>
        </w:rPr>
        <w:t>节点通信。</w:t>
      </w:r>
    </w:p>
    <w:p w14:paraId="6CDEB1F4">
      <w:pPr>
        <w:spacing w:line="400" w:lineRule="exact"/>
        <w:ind w:firstLine="480" w:firstLineChars="200"/>
        <w:rPr>
          <w:sz w:val="24"/>
        </w:rPr>
      </w:pPr>
    </w:p>
    <w:p w14:paraId="365DCF02">
      <w:pPr>
        <w:jc w:val="center"/>
        <w:rPr>
          <w:rFonts w:hint="eastAsia" w:ascii="宋体" w:hAnsi="宋体" w:cs="宋体"/>
          <w:kern w:val="0"/>
          <w:sz w:val="24"/>
          <w:lang w:bidi="ar"/>
        </w:rPr>
      </w:pPr>
      <w:r>
        <w:rPr>
          <w:rFonts w:ascii="宋体" w:hAnsi="宋体" w:cs="宋体"/>
          <w:kern w:val="0"/>
          <w:sz w:val="24"/>
          <w:lang w:bidi="ar"/>
        </w:rPr>
        <w:drawing>
          <wp:inline distT="0" distB="0" distL="114300" distR="114300">
            <wp:extent cx="4436745" cy="4272280"/>
            <wp:effectExtent l="0" t="0" r="1905" b="13970"/>
            <wp:docPr id="65" name="图片 65" descr="diagram name=模块划分图 id=LC1jSShbVQXfm.tx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diagram name=模块划分图 id=LC1jSShbVQXfm.txt.drawio"/>
                    <pic:cNvPicPr>
                      <a:picLocks noChangeAspect="1"/>
                    </pic:cNvPicPr>
                  </pic:nvPicPr>
                  <pic:blipFill>
                    <a:blip r:embed="rId40"/>
                    <a:stretch>
                      <a:fillRect/>
                    </a:stretch>
                  </pic:blipFill>
                  <pic:spPr>
                    <a:xfrm>
                      <a:off x="0" y="0"/>
                      <a:ext cx="4436745" cy="4272280"/>
                    </a:xfrm>
                    <a:prstGeom prst="rect">
                      <a:avLst/>
                    </a:prstGeom>
                  </pic:spPr>
                </pic:pic>
              </a:graphicData>
            </a:graphic>
          </wp:inline>
        </w:drawing>
      </w:r>
    </w:p>
    <w:p w14:paraId="44052CFD">
      <w:pPr>
        <w:jc w:val="center"/>
      </w:pPr>
      <w:commentRangeStart w:id="3"/>
      <w:r>
        <w:rPr>
          <w:rFonts w:hint="eastAsia"/>
        </w:rPr>
        <w:t>图4.</w:t>
      </w:r>
      <w:r>
        <w:rPr>
          <w:rFonts w:hint="eastAsia"/>
          <w:lang w:val="en-US" w:eastAsia="zh-CN"/>
        </w:rPr>
        <w:t>5</w:t>
      </w:r>
      <w:r>
        <w:rPr>
          <w:rFonts w:hint="eastAsia"/>
        </w:rPr>
        <w:t xml:space="preserve"> 模块</w:t>
      </w:r>
      <w:r>
        <w:rPr>
          <w:rFonts w:hint="eastAsia"/>
          <w:lang w:eastAsia="zh-CN"/>
        </w:rPr>
        <w:t>设计</w:t>
      </w:r>
      <w:r>
        <w:rPr>
          <w:rFonts w:hint="eastAsia"/>
        </w:rPr>
        <w:t>图</w:t>
      </w:r>
      <w:commentRangeEnd w:id="3"/>
      <w:r>
        <w:rPr>
          <w:rStyle w:val="31"/>
          <w:szCs w:val="24"/>
        </w:rPr>
        <w:commentReference w:id="3"/>
      </w:r>
    </w:p>
    <w:p w14:paraId="6D68E242">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ascii="黑体" w:eastAsia="黑体"/>
          <w:sz w:val="30"/>
        </w:rPr>
      </w:pPr>
      <w:bookmarkStart w:id="35" w:name="_Toc25544"/>
      <w:r>
        <w:rPr>
          <w:rFonts w:hint="eastAsia" w:ascii="黑体" w:eastAsia="黑体"/>
          <w:sz w:val="30"/>
        </w:rPr>
        <w:t xml:space="preserve">4.4 </w:t>
      </w:r>
      <w:commentRangeStart w:id="4"/>
      <w:r>
        <w:rPr>
          <w:rFonts w:hint="eastAsia" w:ascii="黑体" w:eastAsia="黑体"/>
          <w:sz w:val="30"/>
        </w:rPr>
        <w:t>数据库表设计</w:t>
      </w:r>
      <w:bookmarkEnd w:id="35"/>
      <w:commentRangeEnd w:id="4"/>
      <w:r>
        <w:rPr>
          <w:rStyle w:val="31"/>
          <w:rFonts w:ascii="黑体" w:eastAsia="黑体"/>
          <w:sz w:val="30"/>
          <w:szCs w:val="24"/>
        </w:rPr>
        <w:commentReference w:id="4"/>
      </w:r>
    </w:p>
    <w:p w14:paraId="6BBCFB7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本系统使用关系型数据库</w:t>
      </w:r>
      <w:r>
        <w:rPr>
          <w:sz w:val="24"/>
        </w:rPr>
        <w:t>MySQL</w:t>
      </w:r>
      <w:r>
        <w:rPr>
          <w:rFonts w:hint="eastAsia"/>
          <w:sz w:val="24"/>
        </w:rPr>
        <w:t>存储数据，以下列出主要的关系型数据表及其字段，用E-R图表示数据表之间的关系。</w:t>
      </w:r>
    </w:p>
    <w:p w14:paraId="5E351D8A">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sz w:val="24"/>
        </w:rPr>
      </w:pPr>
      <w:r>
        <w:rPr>
          <w:rFonts w:hint="eastAsia" w:ascii="黑体" w:hAnsi="黑体" w:eastAsia="黑体" w:cs="黑体"/>
          <w:sz w:val="28"/>
          <w:szCs w:val="28"/>
        </w:rPr>
        <w:t xml:space="preserve">4.4.1 </w:t>
      </w:r>
      <w:r>
        <w:rPr>
          <w:rFonts w:hint="eastAsia" w:ascii="黑体" w:hAnsi="黑体" w:eastAsia="黑体" w:cs="黑体"/>
          <w:sz w:val="28"/>
          <w:szCs w:val="28"/>
          <w:lang w:val="en-US" w:eastAsia="zh-CN"/>
        </w:rPr>
        <w:t>E-R图</w:t>
      </w:r>
    </w:p>
    <w:p w14:paraId="58F7F787">
      <w:pPr>
        <w:spacing w:line="400" w:lineRule="exact"/>
        <w:ind w:firstLine="480" w:firstLineChars="200"/>
        <w:rPr>
          <w:rFonts w:hint="eastAsia"/>
          <w:sz w:val="24"/>
        </w:rPr>
      </w:pPr>
      <w:r>
        <w:rPr>
          <w:rFonts w:hint="eastAsia"/>
          <w:sz w:val="24"/>
        </w:rPr>
        <w:t>图4.</w:t>
      </w:r>
      <w:r>
        <w:rPr>
          <w:rFonts w:hint="eastAsia"/>
          <w:sz w:val="24"/>
          <w:lang w:val="en-US" w:eastAsia="zh-CN"/>
        </w:rPr>
        <w:t>6</w:t>
      </w:r>
      <w:r>
        <w:rPr>
          <w:rFonts w:hint="eastAsia"/>
          <w:sz w:val="24"/>
        </w:rPr>
        <w:t>是股票行情相关的E-R图，一个基本的股票(stock_info)可能关联着多条日线数据(stock_price)，它们之间通过stock_id连接</w:t>
      </w:r>
    </w:p>
    <w:p w14:paraId="1DFFBA71">
      <w:pPr>
        <w:spacing w:line="400" w:lineRule="exact"/>
        <w:ind w:firstLine="480" w:firstLineChars="200"/>
        <w:rPr>
          <w:rFonts w:hint="eastAsia"/>
          <w:sz w:val="24"/>
        </w:rPr>
      </w:pPr>
    </w:p>
    <w:p w14:paraId="2EB11C17">
      <w:pPr>
        <w:jc w:val="center"/>
        <w:rPr>
          <w:sz w:val="24"/>
        </w:rPr>
      </w:pPr>
      <w:r>
        <w:rPr>
          <w:rFonts w:hint="eastAsia"/>
          <w:sz w:val="24"/>
        </w:rPr>
        <w:drawing>
          <wp:inline distT="0" distB="0" distL="114300" distR="114300">
            <wp:extent cx="4631690" cy="1412875"/>
            <wp:effectExtent l="0" t="0" r="16510" b="15875"/>
            <wp:docPr id="76" name="图片 76"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E-R图.drawio"/>
                    <pic:cNvPicPr>
                      <a:picLocks noChangeAspect="1"/>
                    </pic:cNvPicPr>
                  </pic:nvPicPr>
                  <pic:blipFill>
                    <a:blip r:embed="rId41"/>
                    <a:srcRect t="-126" r="4504" b="86096"/>
                    <a:stretch>
                      <a:fillRect/>
                    </a:stretch>
                  </pic:blipFill>
                  <pic:spPr>
                    <a:xfrm>
                      <a:off x="0" y="0"/>
                      <a:ext cx="4631690" cy="1412875"/>
                    </a:xfrm>
                    <a:prstGeom prst="rect">
                      <a:avLst/>
                    </a:prstGeom>
                  </pic:spPr>
                </pic:pic>
              </a:graphicData>
            </a:graphic>
          </wp:inline>
        </w:drawing>
      </w:r>
    </w:p>
    <w:p w14:paraId="5532D3C2">
      <w:pPr>
        <w:spacing w:line="400" w:lineRule="exact"/>
        <w:jc w:val="center"/>
        <w:rPr>
          <w:rFonts w:hint="eastAsia"/>
        </w:rPr>
      </w:pPr>
      <w:r>
        <w:rPr>
          <w:rFonts w:hint="eastAsia"/>
        </w:rPr>
        <w:t>图4.</w:t>
      </w:r>
      <w:r>
        <w:rPr>
          <w:rFonts w:hint="eastAsia"/>
          <w:lang w:val="en-US" w:eastAsia="zh-CN"/>
        </w:rPr>
        <w:t>6</w:t>
      </w:r>
      <w:r>
        <w:rPr>
          <w:rFonts w:hint="eastAsia"/>
        </w:rPr>
        <w:t xml:space="preserve"> 股票行情</w:t>
      </w:r>
      <w:r>
        <w:rPr>
          <w:sz w:val="24"/>
        </w:rPr>
        <w:t>E</w:t>
      </w:r>
      <w:r>
        <w:rPr>
          <w:rFonts w:hint="eastAsia"/>
        </w:rPr>
        <w:t>-</w:t>
      </w:r>
      <w:r>
        <w:rPr>
          <w:sz w:val="24"/>
        </w:rPr>
        <w:t>R</w:t>
      </w:r>
      <w:r>
        <w:rPr>
          <w:rFonts w:hint="eastAsia"/>
        </w:rPr>
        <w:t>图</w:t>
      </w:r>
    </w:p>
    <w:p w14:paraId="473FFC16">
      <w:pPr>
        <w:spacing w:line="400" w:lineRule="exact"/>
        <w:jc w:val="center"/>
        <w:rPr>
          <w:rFonts w:hint="eastAsia"/>
        </w:rPr>
      </w:pPr>
    </w:p>
    <w:p w14:paraId="2EB83175">
      <w:pPr>
        <w:spacing w:line="400" w:lineRule="exact"/>
        <w:ind w:firstLine="480" w:firstLineChars="200"/>
        <w:rPr>
          <w:sz w:val="24"/>
        </w:rPr>
      </w:pPr>
      <w:r>
        <w:rPr>
          <w:rFonts w:hint="eastAsia"/>
          <w:sz w:val="24"/>
        </w:rPr>
        <w:t>图4.</w:t>
      </w:r>
      <w:r>
        <w:rPr>
          <w:rFonts w:hint="eastAsia"/>
          <w:sz w:val="24"/>
          <w:lang w:val="en-US" w:eastAsia="zh-CN"/>
        </w:rPr>
        <w:t>7</w:t>
      </w:r>
      <w:r>
        <w:rPr>
          <w:rFonts w:hint="eastAsia"/>
          <w:sz w:val="24"/>
        </w:rPr>
        <w:t>是AI辅助交易的E-R图，其中单个ai_trader数据对应多个ai_position和ai_decision_log数据，表示一个交易员有多个持仓数据和决策日志，一个持仓数据也对应多个交易数据</w:t>
      </w:r>
    </w:p>
    <w:p w14:paraId="64A2F527">
      <w:pPr>
        <w:spacing w:line="400" w:lineRule="exact"/>
      </w:pPr>
    </w:p>
    <w:p w14:paraId="4AB81B87">
      <w:pPr>
        <w:jc w:val="center"/>
        <w:rPr>
          <w:sz w:val="24"/>
        </w:rPr>
      </w:pPr>
      <w:r>
        <w:rPr>
          <w:rFonts w:hint="eastAsia"/>
          <w:sz w:val="24"/>
        </w:rPr>
        <w:drawing>
          <wp:inline distT="0" distB="0" distL="114300" distR="114300">
            <wp:extent cx="4368165" cy="3103880"/>
            <wp:effectExtent l="0" t="0" r="13335" b="1270"/>
            <wp:docPr id="75" name="图片 75"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R图.drawio"/>
                    <pic:cNvPicPr>
                      <a:picLocks noChangeAspect="1"/>
                    </pic:cNvPicPr>
                  </pic:nvPicPr>
                  <pic:blipFill>
                    <a:blip r:embed="rId41"/>
                    <a:srcRect t="18671" b="47115"/>
                    <a:stretch>
                      <a:fillRect/>
                    </a:stretch>
                  </pic:blipFill>
                  <pic:spPr>
                    <a:xfrm>
                      <a:off x="0" y="0"/>
                      <a:ext cx="4368165" cy="3103880"/>
                    </a:xfrm>
                    <a:prstGeom prst="rect">
                      <a:avLst/>
                    </a:prstGeom>
                  </pic:spPr>
                </pic:pic>
              </a:graphicData>
            </a:graphic>
          </wp:inline>
        </w:drawing>
      </w:r>
    </w:p>
    <w:p w14:paraId="5C7831B7">
      <w:pPr>
        <w:jc w:val="center"/>
        <w:rPr>
          <w:rFonts w:hint="eastAsia" w:ascii="宋体" w:hAnsi="宋体" w:cs="宋体"/>
          <w:szCs w:val="21"/>
          <w:lang w:bidi="ar"/>
        </w:rPr>
      </w:pPr>
      <w:commentRangeStart w:id="5"/>
      <w:r>
        <w:rPr>
          <w:rFonts w:hint="eastAsia" w:ascii="宋体" w:hAnsi="宋体" w:cs="宋体"/>
          <w:szCs w:val="21"/>
          <w:lang w:bidi="ar"/>
        </w:rPr>
        <w:t>图</w:t>
      </w:r>
      <w:r>
        <w:rPr>
          <w:szCs w:val="21"/>
          <w:lang w:bidi="ar"/>
        </w:rPr>
        <w:t>4</w:t>
      </w:r>
      <w:r>
        <w:rPr>
          <w:rFonts w:hint="eastAsia"/>
          <w:szCs w:val="21"/>
          <w:lang w:bidi="ar"/>
        </w:rPr>
        <w:t>.</w:t>
      </w:r>
      <w:r>
        <w:rPr>
          <w:rFonts w:hint="eastAsia"/>
          <w:szCs w:val="21"/>
          <w:lang w:val="en-US" w:eastAsia="zh-CN" w:bidi="ar"/>
        </w:rPr>
        <w:t>7</w:t>
      </w:r>
      <w:r>
        <w:rPr>
          <w:rFonts w:hint="eastAsia"/>
          <w:szCs w:val="21"/>
          <w:lang w:bidi="ar"/>
        </w:rPr>
        <w:t xml:space="preserve">  </w:t>
      </w:r>
      <w:r>
        <w:rPr>
          <w:sz w:val="24"/>
          <w:lang w:val="en-IE" w:bidi="ar"/>
        </w:rPr>
        <w:t>AI</w:t>
      </w:r>
      <w:r>
        <w:rPr>
          <w:rFonts w:hint="eastAsia"/>
          <w:szCs w:val="21"/>
          <w:lang w:val="en-IE" w:bidi="ar"/>
        </w:rPr>
        <w:t>辅助交易</w:t>
      </w:r>
      <w:r>
        <w:rPr>
          <w:sz w:val="24"/>
          <w:lang w:bidi="ar"/>
        </w:rPr>
        <w:t>E</w:t>
      </w:r>
      <w:r>
        <w:rPr>
          <w:rFonts w:hint="eastAsia"/>
          <w:szCs w:val="21"/>
          <w:lang w:bidi="ar"/>
        </w:rPr>
        <w:t>-</w:t>
      </w:r>
      <w:r>
        <w:rPr>
          <w:sz w:val="24"/>
          <w:lang w:bidi="ar"/>
        </w:rPr>
        <w:t>R</w:t>
      </w:r>
      <w:r>
        <w:rPr>
          <w:rFonts w:hint="eastAsia" w:ascii="宋体" w:hAnsi="宋体" w:cs="宋体"/>
          <w:szCs w:val="21"/>
          <w:lang w:bidi="ar"/>
        </w:rPr>
        <w:t>图</w:t>
      </w:r>
      <w:commentRangeEnd w:id="5"/>
      <w:r>
        <w:rPr>
          <w:rStyle w:val="31"/>
          <w:rFonts w:hint="eastAsia" w:ascii="宋体" w:hAnsi="宋体" w:cs="宋体"/>
          <w:lang w:bidi="ar"/>
        </w:rPr>
        <w:commentReference w:id="5"/>
      </w:r>
    </w:p>
    <w:p w14:paraId="63B86819">
      <w:pPr>
        <w:rPr>
          <w:rFonts w:hint="eastAsia" w:ascii="宋体" w:hAnsi="宋体" w:cs="宋体"/>
          <w:szCs w:val="21"/>
          <w:lang w:bidi="ar"/>
        </w:rPr>
      </w:pPr>
    </w:p>
    <w:p w14:paraId="4732CA05">
      <w:pPr>
        <w:spacing w:line="400" w:lineRule="exact"/>
        <w:ind w:firstLine="480" w:firstLineChars="200"/>
        <w:rPr>
          <w:sz w:val="24"/>
        </w:rPr>
      </w:pPr>
      <w:r>
        <w:rPr>
          <w:rFonts w:hint="eastAsia"/>
          <w:sz w:val="24"/>
        </w:rPr>
        <w:t>图4.</w:t>
      </w:r>
      <w:r>
        <w:rPr>
          <w:rFonts w:hint="eastAsia"/>
          <w:sz w:val="24"/>
          <w:lang w:val="en-US" w:eastAsia="zh-CN"/>
        </w:rPr>
        <w:t>8</w:t>
      </w:r>
      <w:r>
        <w:rPr>
          <w:rFonts w:hint="eastAsia"/>
          <w:sz w:val="24"/>
        </w:rPr>
        <w:t>是斗兽场的E-R图，其中单个回合数据对应多个代币价格和Agent交易数据，表示在单个回合中有产生了多次Agent交易和多种代币价格，而单个配置数据对应多轮回合数据则表明一次配置存在多轮回合。</w:t>
      </w:r>
    </w:p>
    <w:p w14:paraId="5F841DB6">
      <w:pPr>
        <w:spacing w:line="400" w:lineRule="exact"/>
        <w:ind w:firstLine="480" w:firstLineChars="200"/>
        <w:rPr>
          <w:rFonts w:hint="eastAsia"/>
          <w:sz w:val="24"/>
        </w:rPr>
      </w:pPr>
    </w:p>
    <w:p w14:paraId="6E850811">
      <w:pPr>
        <w:ind w:firstLine="640" w:firstLineChars="200"/>
        <w:rPr>
          <w:sz w:val="24"/>
        </w:rPr>
      </w:pPr>
      <w:r>
        <w:rPr>
          <w:rFonts w:hint="eastAsia" w:ascii="黑体" w:eastAsia="黑体"/>
          <w:sz w:val="32"/>
        </w:rPr>
        <w:drawing>
          <wp:inline distT="0" distB="0" distL="114300" distR="114300">
            <wp:extent cx="4573905" cy="4394200"/>
            <wp:effectExtent l="0" t="0" r="17145" b="6350"/>
            <wp:docPr id="1" name="图片 1"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R图.drawio"/>
                    <pic:cNvPicPr>
                      <a:picLocks noChangeAspect="1"/>
                    </pic:cNvPicPr>
                  </pic:nvPicPr>
                  <pic:blipFill>
                    <a:blip r:embed="rId41"/>
                    <a:srcRect t="53728"/>
                    <a:stretch>
                      <a:fillRect/>
                    </a:stretch>
                  </pic:blipFill>
                  <pic:spPr>
                    <a:xfrm>
                      <a:off x="0" y="0"/>
                      <a:ext cx="4573905" cy="4394200"/>
                    </a:xfrm>
                    <a:prstGeom prst="rect">
                      <a:avLst/>
                    </a:prstGeom>
                  </pic:spPr>
                </pic:pic>
              </a:graphicData>
            </a:graphic>
          </wp:inline>
        </w:drawing>
      </w:r>
    </w:p>
    <w:p w14:paraId="238B6082">
      <w:pPr>
        <w:spacing w:line="400" w:lineRule="exact"/>
        <w:jc w:val="center"/>
        <w:rPr>
          <w:rFonts w:hint="eastAsia" w:ascii="宋体" w:hAnsi="宋体" w:cs="宋体"/>
          <w:szCs w:val="21"/>
          <w:lang w:bidi="ar"/>
        </w:rPr>
      </w:pPr>
      <w:r>
        <w:rPr>
          <w:rFonts w:hint="eastAsia" w:ascii="宋体" w:hAnsi="宋体" w:cs="宋体"/>
          <w:szCs w:val="21"/>
          <w:lang w:bidi="ar"/>
        </w:rPr>
        <w:t>图</w:t>
      </w:r>
      <w:r>
        <w:rPr>
          <w:szCs w:val="21"/>
          <w:lang w:bidi="ar"/>
        </w:rPr>
        <w:t>4.</w:t>
      </w:r>
      <w:r>
        <w:rPr>
          <w:rFonts w:hint="eastAsia"/>
          <w:szCs w:val="21"/>
          <w:lang w:val="en-US" w:eastAsia="zh-CN" w:bidi="ar"/>
        </w:rPr>
        <w:t>8</w:t>
      </w:r>
      <w:r>
        <w:rPr>
          <w:rFonts w:hint="eastAsia"/>
          <w:szCs w:val="21"/>
          <w:lang w:bidi="ar"/>
        </w:rPr>
        <w:t xml:space="preserve"> 斗兽场相关</w:t>
      </w:r>
      <w:r>
        <w:rPr>
          <w:sz w:val="24"/>
          <w:lang w:bidi="ar"/>
        </w:rPr>
        <w:t>E</w:t>
      </w:r>
      <w:r>
        <w:rPr>
          <w:rFonts w:hint="eastAsia"/>
          <w:szCs w:val="21"/>
          <w:lang w:bidi="ar"/>
        </w:rPr>
        <w:t>-</w:t>
      </w:r>
      <w:r>
        <w:rPr>
          <w:sz w:val="24"/>
          <w:lang w:bidi="ar"/>
        </w:rPr>
        <w:t>R</w:t>
      </w:r>
      <w:r>
        <w:rPr>
          <w:rFonts w:hint="eastAsia" w:ascii="宋体" w:hAnsi="宋体" w:cs="宋体"/>
          <w:szCs w:val="21"/>
          <w:lang w:bidi="ar"/>
        </w:rPr>
        <w:t>图</w:t>
      </w:r>
    </w:p>
    <w:p w14:paraId="43FF0253">
      <w:pPr>
        <w:spacing w:line="400" w:lineRule="exact"/>
        <w:rPr>
          <w:rFonts w:hint="eastAsia"/>
          <w:sz w:val="24"/>
        </w:rPr>
      </w:pPr>
    </w:p>
    <w:p w14:paraId="4C08811D">
      <w:pPr>
        <w:spacing w:line="400" w:lineRule="exact"/>
        <w:outlineLvl w:val="2"/>
        <w:rPr>
          <w:rFonts w:hint="eastAsia" w:ascii="黑体" w:hAnsi="黑体" w:eastAsia="黑体" w:cs="黑体"/>
          <w:sz w:val="28"/>
          <w:szCs w:val="28"/>
        </w:rPr>
      </w:pPr>
      <w:bookmarkStart w:id="36" w:name="_Toc517"/>
      <w:r>
        <w:rPr>
          <w:rFonts w:hint="eastAsia" w:ascii="黑体" w:hAnsi="黑体" w:eastAsia="黑体" w:cs="黑体"/>
          <w:sz w:val="28"/>
          <w:szCs w:val="28"/>
        </w:rPr>
        <w:t>4.4.</w:t>
      </w:r>
      <w:r>
        <w:rPr>
          <w:rFonts w:hint="eastAsia" w:ascii="黑体" w:hAnsi="黑体" w:eastAsia="黑体" w:cs="黑体"/>
          <w:sz w:val="28"/>
          <w:szCs w:val="28"/>
          <w:lang w:val="en-US" w:eastAsia="zh-CN"/>
        </w:rPr>
        <w:t>2</w:t>
      </w:r>
      <w:r>
        <w:rPr>
          <w:rFonts w:hint="eastAsia" w:ascii="黑体" w:hAnsi="黑体" w:eastAsia="黑体" w:cs="黑体"/>
          <w:sz w:val="28"/>
          <w:szCs w:val="28"/>
        </w:rPr>
        <w:t xml:space="preserve"> 股票行情相关表</w:t>
      </w:r>
      <w:bookmarkEnd w:id="36"/>
    </w:p>
    <w:p w14:paraId="7C53524F">
      <w:pPr>
        <w:jc w:val="center"/>
      </w:pPr>
    </w:p>
    <w:p w14:paraId="4A64779B">
      <w:pPr>
        <w:jc w:val="center"/>
      </w:pPr>
      <w:r>
        <w:rPr>
          <w:rFonts w:hint="eastAsia"/>
        </w:rPr>
        <w:t>表4.</w:t>
      </w:r>
      <w:r>
        <w:rPr>
          <w:rFonts w:hint="eastAsia"/>
          <w:lang w:val="en-US" w:eastAsia="zh-CN"/>
        </w:rPr>
        <w:t>9</w:t>
      </w:r>
      <w:r>
        <w:rPr>
          <w:rFonts w:hint="eastAsia"/>
        </w:rPr>
        <w:t xml:space="preserve"> stock_info表</w:t>
      </w:r>
    </w:p>
    <w:tbl>
      <w:tblPr>
        <w:tblStyle w:val="23"/>
        <w:tblW w:w="8692" w:type="dxa"/>
        <w:jc w:val="center"/>
        <w:shd w:val="clear" w:color="auto" w:fill="FFFFFF"/>
        <w:tblLayout w:type="autofit"/>
        <w:tblCellMar>
          <w:top w:w="15" w:type="dxa"/>
          <w:left w:w="15" w:type="dxa"/>
          <w:bottom w:w="15" w:type="dxa"/>
          <w:right w:w="15" w:type="dxa"/>
        </w:tblCellMar>
      </w:tblPr>
      <w:tblGrid>
        <w:gridCol w:w="1327"/>
        <w:gridCol w:w="1845"/>
        <w:gridCol w:w="1042"/>
        <w:gridCol w:w="4478"/>
      </w:tblGrid>
      <w:tr w14:paraId="622D1A2D">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3B3D8E3F">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CFC3FA2">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3292A774">
            <w:pPr>
              <w:snapToGrid w:val="0"/>
              <w:jc w:val="center"/>
              <w:rPr>
                <w:b/>
                <w:sz w:val="24"/>
              </w:rPr>
            </w:pPr>
            <w:r>
              <w:rPr>
                <w:b/>
                <w:sz w:val="24"/>
              </w:rPr>
              <w:t>长度</w:t>
            </w:r>
          </w:p>
        </w:tc>
        <w:tc>
          <w:tcPr>
            <w:tcW w:w="4478"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C247A74">
            <w:pPr>
              <w:snapToGrid w:val="0"/>
              <w:jc w:val="center"/>
              <w:rPr>
                <w:b/>
                <w:sz w:val="24"/>
              </w:rPr>
            </w:pPr>
            <w:r>
              <w:rPr>
                <w:b/>
                <w:sz w:val="24"/>
              </w:rPr>
              <w:t>含义</w:t>
            </w:r>
          </w:p>
        </w:tc>
      </w:tr>
      <w:tr w14:paraId="1266AB84">
        <w:tblPrEx>
          <w:shd w:val="clear" w:color="auto" w:fill="FFFFFF"/>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4C4101BC">
            <w:pPr>
              <w:snapToGrid w:val="0"/>
              <w:jc w:val="center"/>
              <w:rPr>
                <w:sz w:val="24"/>
              </w:rPr>
            </w:pPr>
            <w:r>
              <w:rPr>
                <w:sz w:val="24"/>
              </w:rPr>
              <w:t>stock_id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7F1AD369">
            <w:pPr>
              <w:snapToGrid w:val="0"/>
              <w:jc w:val="center"/>
              <w:rPr>
                <w:sz w:val="24"/>
              </w:rPr>
            </w:pPr>
            <w:r>
              <w:rPr>
                <w:sz w:val="24"/>
              </w:rPr>
              <w:t>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4614671">
            <w:pPr>
              <w:snapToGrid w:val="0"/>
              <w:jc w:val="center"/>
              <w:rPr>
                <w:sz w:val="24"/>
              </w:rPr>
            </w:pPr>
            <w:r>
              <w:rPr>
                <w:sz w:val="24"/>
              </w:rPr>
              <w:t>11</w:t>
            </w:r>
          </w:p>
        </w:tc>
        <w:tc>
          <w:tcPr>
            <w:tcW w:w="4478"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377CB116">
            <w:pPr>
              <w:snapToGrid w:val="0"/>
              <w:jc w:val="center"/>
              <w:rPr>
                <w:sz w:val="24"/>
              </w:rPr>
            </w:pPr>
            <w:r>
              <w:rPr>
                <w:sz w:val="24"/>
              </w:rPr>
              <w:t>股票唯一自增ID，主键</w:t>
            </w:r>
          </w:p>
        </w:tc>
      </w:tr>
      <w:tr w14:paraId="14A08900">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6C237DF6">
            <w:pPr>
              <w:snapToGrid w:val="0"/>
              <w:jc w:val="center"/>
              <w:rPr>
                <w:sz w:val="24"/>
              </w:rPr>
            </w:pPr>
            <w:r>
              <w:rPr>
                <w:sz w:val="24"/>
              </w:rPr>
              <w:t>symbol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7CD169C">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E6BD39D">
            <w:pPr>
              <w:snapToGrid w:val="0"/>
              <w:jc w:val="center"/>
              <w:rPr>
                <w:sz w:val="24"/>
              </w:rPr>
            </w:pPr>
            <w:r>
              <w:rPr>
                <w:sz w:val="24"/>
              </w:rPr>
              <w:t>20</w:t>
            </w:r>
          </w:p>
        </w:tc>
        <w:tc>
          <w:tcPr>
            <w:tcW w:w="4478" w:type="dxa"/>
            <w:tcBorders>
              <w:top w:val="nil"/>
              <w:left w:val="nil"/>
              <w:bottom w:val="nil"/>
              <w:right w:val="nil"/>
            </w:tcBorders>
            <w:shd w:val="clear" w:color="auto" w:fill="FFFFFF"/>
            <w:tcMar>
              <w:top w:w="120" w:type="dxa"/>
              <w:left w:w="192" w:type="dxa"/>
              <w:bottom w:w="120" w:type="dxa"/>
              <w:right w:w="-1" w:type="dxa"/>
            </w:tcMar>
            <w:vAlign w:val="center"/>
          </w:tcPr>
          <w:p w14:paraId="16A7AE63">
            <w:pPr>
              <w:snapToGrid w:val="0"/>
              <w:jc w:val="center"/>
              <w:rPr>
                <w:sz w:val="24"/>
              </w:rPr>
            </w:pPr>
            <w:r>
              <w:rPr>
                <w:sz w:val="24"/>
              </w:rPr>
              <w:t>股票代码（如AAPL, 600000）</w:t>
            </w:r>
          </w:p>
        </w:tc>
      </w:tr>
      <w:tr w14:paraId="015A1837">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4EACD66">
            <w:pPr>
              <w:snapToGrid w:val="0"/>
              <w:jc w:val="center"/>
              <w:rPr>
                <w:sz w:val="24"/>
              </w:rPr>
            </w:pPr>
            <w:r>
              <w:rPr>
                <w:sz w:val="24"/>
              </w:rPr>
              <w:t>name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4EA5307">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78A4A0F">
            <w:pPr>
              <w:snapToGrid w:val="0"/>
              <w:jc w:val="center"/>
              <w:rPr>
                <w:sz w:val="24"/>
              </w:rPr>
            </w:pPr>
            <w:r>
              <w:rPr>
                <w:sz w:val="24"/>
              </w:rPr>
              <w:t>100</w:t>
            </w:r>
          </w:p>
        </w:tc>
        <w:tc>
          <w:tcPr>
            <w:tcW w:w="4478" w:type="dxa"/>
            <w:tcBorders>
              <w:top w:val="nil"/>
              <w:left w:val="nil"/>
              <w:bottom w:val="nil"/>
              <w:right w:val="nil"/>
            </w:tcBorders>
            <w:shd w:val="clear" w:color="auto" w:fill="FFFFFF"/>
            <w:tcMar>
              <w:top w:w="120" w:type="dxa"/>
              <w:left w:w="192" w:type="dxa"/>
              <w:bottom w:w="120" w:type="dxa"/>
              <w:right w:w="-1" w:type="dxa"/>
            </w:tcMar>
            <w:vAlign w:val="center"/>
          </w:tcPr>
          <w:p w14:paraId="43377E54">
            <w:pPr>
              <w:snapToGrid w:val="0"/>
              <w:jc w:val="center"/>
              <w:rPr>
                <w:sz w:val="24"/>
              </w:rPr>
            </w:pPr>
            <w:r>
              <w:rPr>
                <w:sz w:val="24"/>
              </w:rPr>
              <w:t>股票中文或英文简称</w:t>
            </w:r>
          </w:p>
        </w:tc>
      </w:tr>
      <w:tr w14:paraId="63DA670D">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70BBCECE">
            <w:pPr>
              <w:snapToGrid w:val="0"/>
              <w:jc w:val="center"/>
              <w:rPr>
                <w:sz w:val="24"/>
              </w:rPr>
            </w:pPr>
            <w:r>
              <w:rPr>
                <w:sz w:val="24"/>
              </w:rPr>
              <w:t>exchange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27F7F85">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4A64172">
            <w:pPr>
              <w:snapToGrid w:val="0"/>
              <w:jc w:val="center"/>
              <w:rPr>
                <w:sz w:val="24"/>
              </w:rPr>
            </w:pPr>
            <w:r>
              <w:rPr>
                <w:sz w:val="24"/>
              </w:rPr>
              <w:t>20</w:t>
            </w:r>
          </w:p>
        </w:tc>
        <w:tc>
          <w:tcPr>
            <w:tcW w:w="4478" w:type="dxa"/>
            <w:tcBorders>
              <w:top w:val="nil"/>
              <w:left w:val="nil"/>
              <w:bottom w:val="nil"/>
              <w:right w:val="nil"/>
            </w:tcBorders>
            <w:shd w:val="clear" w:color="auto" w:fill="FFFFFF"/>
            <w:tcMar>
              <w:top w:w="120" w:type="dxa"/>
              <w:left w:w="192" w:type="dxa"/>
              <w:bottom w:w="120" w:type="dxa"/>
              <w:right w:w="-1" w:type="dxa"/>
            </w:tcMar>
            <w:vAlign w:val="center"/>
          </w:tcPr>
          <w:p w14:paraId="3A219B72">
            <w:pPr>
              <w:snapToGrid w:val="0"/>
              <w:jc w:val="center"/>
              <w:rPr>
                <w:sz w:val="24"/>
              </w:rPr>
            </w:pPr>
            <w:r>
              <w:rPr>
                <w:sz w:val="24"/>
              </w:rPr>
              <w:t>上市交易所（如NASDAQ, SSE）</w:t>
            </w:r>
          </w:p>
        </w:tc>
      </w:tr>
      <w:tr w14:paraId="2E711239">
        <w:tblPrEx>
          <w:shd w:val="clear" w:color="auto" w:fill="FFFFFF"/>
          <w:tblCellMar>
            <w:top w:w="15" w:type="dxa"/>
            <w:left w:w="15" w:type="dxa"/>
            <w:bottom w:w="15" w:type="dxa"/>
            <w:right w:w="15" w:type="dxa"/>
          </w:tblCellMar>
        </w:tblPrEx>
        <w:trPr>
          <w:jc w:val="center"/>
        </w:trPr>
        <w:tc>
          <w:tcPr>
            <w:tcW w:w="1327"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601A27F5">
            <w:pPr>
              <w:snapToGrid w:val="0"/>
              <w:jc w:val="center"/>
              <w:rPr>
                <w:sz w:val="24"/>
              </w:rPr>
            </w:pPr>
            <w:r>
              <w:rPr>
                <w:sz w:val="24"/>
              </w:rPr>
              <w:t>currency</w:t>
            </w:r>
          </w:p>
        </w:tc>
        <w:tc>
          <w:tcPr>
            <w:tcW w:w="1845"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5B058A2">
            <w:pPr>
              <w:snapToGrid w:val="0"/>
              <w:jc w:val="center"/>
              <w:rPr>
                <w:sz w:val="24"/>
              </w:rPr>
            </w:pPr>
            <w:r>
              <w:rPr>
                <w:sz w:val="24"/>
              </w:rPr>
              <w:t>VARCHAR</w:t>
            </w:r>
          </w:p>
        </w:tc>
        <w:tc>
          <w:tcPr>
            <w:tcW w:w="1042"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28A96E31">
            <w:pPr>
              <w:snapToGrid w:val="0"/>
              <w:jc w:val="center"/>
              <w:rPr>
                <w:sz w:val="24"/>
              </w:rPr>
            </w:pPr>
            <w:r>
              <w:rPr>
                <w:sz w:val="24"/>
              </w:rPr>
              <w:t>10</w:t>
            </w:r>
          </w:p>
        </w:tc>
        <w:tc>
          <w:tcPr>
            <w:tcW w:w="4478"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2EBD11EF">
            <w:pPr>
              <w:snapToGrid w:val="0"/>
              <w:jc w:val="center"/>
              <w:rPr>
                <w:sz w:val="24"/>
              </w:rPr>
            </w:pPr>
            <w:r>
              <w:rPr>
                <w:sz w:val="24"/>
              </w:rPr>
              <w:t>交易货币（如USD, CNY）</w:t>
            </w:r>
          </w:p>
        </w:tc>
      </w:tr>
    </w:tbl>
    <w:p w14:paraId="23247ED8">
      <w:pPr>
        <w:jc w:val="center"/>
      </w:pPr>
    </w:p>
    <w:p w14:paraId="27E1EA67">
      <w:pPr>
        <w:jc w:val="center"/>
      </w:pPr>
      <w:r>
        <w:rPr>
          <w:rFonts w:hint="eastAsia"/>
        </w:rPr>
        <w:t>表4.</w:t>
      </w:r>
      <w:r>
        <w:rPr>
          <w:rFonts w:hint="eastAsia"/>
          <w:lang w:val="en-US" w:eastAsia="zh-CN"/>
        </w:rPr>
        <w:t>10</w:t>
      </w:r>
      <w:r>
        <w:rPr>
          <w:rFonts w:hint="eastAsia"/>
        </w:rPr>
        <w:t xml:space="preserve"> stock_price表</w:t>
      </w:r>
    </w:p>
    <w:tbl>
      <w:tblPr>
        <w:tblStyle w:val="23"/>
        <w:tblW w:w="8692" w:type="dxa"/>
        <w:jc w:val="center"/>
        <w:shd w:val="clear" w:color="auto" w:fill="FFFFFF"/>
        <w:tblLayout w:type="autofit"/>
        <w:tblCellMar>
          <w:top w:w="15" w:type="dxa"/>
          <w:left w:w="15" w:type="dxa"/>
          <w:bottom w:w="15" w:type="dxa"/>
          <w:right w:w="15" w:type="dxa"/>
        </w:tblCellMar>
      </w:tblPr>
      <w:tblGrid>
        <w:gridCol w:w="1511"/>
        <w:gridCol w:w="1874"/>
        <w:gridCol w:w="1095"/>
        <w:gridCol w:w="4212"/>
      </w:tblGrid>
      <w:tr w14:paraId="291E63AE">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2202C806">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2AC7EC09">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5353E62B">
            <w:pPr>
              <w:snapToGrid w:val="0"/>
              <w:jc w:val="center"/>
              <w:rPr>
                <w:b/>
                <w:sz w:val="24"/>
              </w:rPr>
            </w:pPr>
            <w:r>
              <w:rPr>
                <w:b/>
                <w:sz w:val="24"/>
              </w:rPr>
              <w:t>长度</w:t>
            </w:r>
          </w:p>
        </w:tc>
        <w:tc>
          <w:tcPr>
            <w:tcW w:w="4212"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1D3BB668">
            <w:pPr>
              <w:snapToGrid w:val="0"/>
              <w:jc w:val="center"/>
              <w:rPr>
                <w:b/>
                <w:sz w:val="24"/>
              </w:rPr>
            </w:pPr>
            <w:r>
              <w:rPr>
                <w:b/>
                <w:sz w:val="24"/>
              </w:rPr>
              <w:t>含义</w:t>
            </w:r>
          </w:p>
        </w:tc>
      </w:tr>
      <w:tr w14:paraId="2F5B523A">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129F7AEE">
            <w:pPr>
              <w:snapToGrid w:val="0"/>
              <w:jc w:val="center"/>
              <w:rPr>
                <w:sz w:val="24"/>
              </w:rPr>
            </w:pPr>
            <w:r>
              <w:rPr>
                <w:sz w:val="24"/>
              </w:rPr>
              <w:t>price_id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2C2F5EDB">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58E9F463">
            <w:pPr>
              <w:snapToGrid w:val="0"/>
              <w:jc w:val="center"/>
              <w:rPr>
                <w:sz w:val="24"/>
              </w:rPr>
            </w:pPr>
            <w:r>
              <w:rPr>
                <w:sz w:val="24"/>
              </w:rPr>
              <w:t>20</w:t>
            </w:r>
          </w:p>
        </w:tc>
        <w:tc>
          <w:tcPr>
            <w:tcW w:w="4212"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601BB9AD">
            <w:pPr>
              <w:snapToGrid w:val="0"/>
              <w:jc w:val="center"/>
              <w:rPr>
                <w:sz w:val="24"/>
              </w:rPr>
            </w:pPr>
            <w:r>
              <w:rPr>
                <w:sz w:val="24"/>
              </w:rPr>
              <w:t>价格记录唯一ID，主键</w:t>
            </w:r>
          </w:p>
        </w:tc>
      </w:tr>
      <w:tr w14:paraId="17034526">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6CB2D61">
            <w:pPr>
              <w:snapToGrid w:val="0"/>
              <w:jc w:val="center"/>
              <w:rPr>
                <w:sz w:val="24"/>
              </w:rPr>
            </w:pPr>
            <w:r>
              <w:rPr>
                <w:sz w:val="24"/>
              </w:rPr>
              <w:t>stock_id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98BA375">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69E0EA5">
            <w:pPr>
              <w:snapToGrid w:val="0"/>
              <w:jc w:val="center"/>
              <w:rPr>
                <w:sz w:val="24"/>
              </w:rPr>
            </w:pPr>
            <w:r>
              <w:rPr>
                <w:sz w:val="24"/>
              </w:rPr>
              <w:t>11</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50195869">
            <w:pPr>
              <w:snapToGrid w:val="0"/>
              <w:jc w:val="center"/>
              <w:rPr>
                <w:sz w:val="24"/>
              </w:rPr>
            </w:pPr>
            <w:r>
              <w:rPr>
                <w:sz w:val="24"/>
              </w:rPr>
              <w:t>股票ID，外键关联 stock_info</w:t>
            </w:r>
          </w:p>
        </w:tc>
      </w:tr>
      <w:tr w14:paraId="608B8B7F">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F320D19">
            <w:pPr>
              <w:snapToGrid w:val="0"/>
              <w:jc w:val="center"/>
              <w:rPr>
                <w:sz w:val="24"/>
              </w:rPr>
            </w:pPr>
            <w:r>
              <w:rPr>
                <w:sz w:val="24"/>
              </w:rPr>
              <w:t>trade_date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95C21E3">
            <w:pPr>
              <w:snapToGrid w:val="0"/>
              <w:jc w:val="center"/>
              <w:rPr>
                <w:sz w:val="24"/>
              </w:rPr>
            </w:pPr>
            <w:r>
              <w:rPr>
                <w:sz w:val="24"/>
              </w:rPr>
              <w:t>DATE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E44EE78">
            <w:pPr>
              <w:snapToGrid w:val="0"/>
              <w:jc w:val="center"/>
              <w:rPr>
                <w:sz w:val="24"/>
              </w:rPr>
            </w:pPr>
            <w:r>
              <w:rPr>
                <w:sz w:val="24"/>
              </w:rPr>
              <w:t>-</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043AF708">
            <w:pPr>
              <w:snapToGrid w:val="0"/>
              <w:jc w:val="center"/>
              <w:rPr>
                <w:sz w:val="24"/>
              </w:rPr>
            </w:pPr>
            <w:r>
              <w:rPr>
                <w:sz w:val="24"/>
              </w:rPr>
              <w:t>交易日期</w:t>
            </w:r>
          </w:p>
        </w:tc>
      </w:tr>
      <w:tr w14:paraId="6EC3B341">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B996ADD">
            <w:pPr>
              <w:snapToGrid w:val="0"/>
              <w:jc w:val="center"/>
              <w:rPr>
                <w:sz w:val="24"/>
              </w:rPr>
            </w:pPr>
            <w:r>
              <w:rPr>
                <w:sz w:val="24"/>
              </w:rPr>
              <w:t>open</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D5C78E4">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DDBA524">
            <w:pPr>
              <w:snapToGrid w:val="0"/>
              <w:jc w:val="center"/>
              <w:rPr>
                <w:sz w:val="24"/>
              </w:rPr>
            </w:pPr>
            <w:r>
              <w:rPr>
                <w:sz w:val="24"/>
              </w:rPr>
              <w:t>18,4</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65070A78">
            <w:pPr>
              <w:snapToGrid w:val="0"/>
              <w:jc w:val="center"/>
              <w:rPr>
                <w:sz w:val="24"/>
              </w:rPr>
            </w:pPr>
            <w:r>
              <w:rPr>
                <w:sz w:val="24"/>
              </w:rPr>
              <w:t>开盘价</w:t>
            </w:r>
          </w:p>
        </w:tc>
      </w:tr>
      <w:tr w14:paraId="3C4E8153">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2E83AA79">
            <w:pPr>
              <w:snapToGrid w:val="0"/>
              <w:jc w:val="center"/>
              <w:rPr>
                <w:sz w:val="24"/>
              </w:rPr>
            </w:pPr>
            <w:r>
              <w:rPr>
                <w:sz w:val="24"/>
              </w:rPr>
              <w:t>high</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BF2278D">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9D38870">
            <w:pPr>
              <w:snapToGrid w:val="0"/>
              <w:jc w:val="center"/>
              <w:rPr>
                <w:sz w:val="24"/>
              </w:rPr>
            </w:pPr>
            <w:r>
              <w:rPr>
                <w:sz w:val="24"/>
              </w:rPr>
              <w:t>18,4</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05130344">
            <w:pPr>
              <w:snapToGrid w:val="0"/>
              <w:jc w:val="center"/>
              <w:rPr>
                <w:sz w:val="24"/>
              </w:rPr>
            </w:pPr>
            <w:r>
              <w:rPr>
                <w:sz w:val="24"/>
              </w:rPr>
              <w:t>最高价</w:t>
            </w:r>
          </w:p>
        </w:tc>
      </w:tr>
      <w:tr w14:paraId="0BA658B3">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F658DBB">
            <w:pPr>
              <w:snapToGrid w:val="0"/>
              <w:jc w:val="center"/>
              <w:rPr>
                <w:sz w:val="24"/>
              </w:rPr>
            </w:pPr>
            <w:r>
              <w:rPr>
                <w:sz w:val="24"/>
              </w:rPr>
              <w:t>low</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FB0C823">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DAC6D6D">
            <w:pPr>
              <w:snapToGrid w:val="0"/>
              <w:jc w:val="center"/>
              <w:rPr>
                <w:sz w:val="24"/>
              </w:rPr>
            </w:pPr>
            <w:r>
              <w:rPr>
                <w:sz w:val="24"/>
              </w:rPr>
              <w:t>18,4</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5F463EB5">
            <w:pPr>
              <w:snapToGrid w:val="0"/>
              <w:jc w:val="center"/>
              <w:rPr>
                <w:sz w:val="24"/>
              </w:rPr>
            </w:pPr>
            <w:r>
              <w:rPr>
                <w:sz w:val="24"/>
              </w:rPr>
              <w:t>最低价</w:t>
            </w:r>
          </w:p>
        </w:tc>
      </w:tr>
      <w:tr w14:paraId="2B64C8C2">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E02BBA8">
            <w:pPr>
              <w:snapToGrid w:val="0"/>
              <w:jc w:val="center"/>
              <w:rPr>
                <w:sz w:val="24"/>
              </w:rPr>
            </w:pPr>
            <w:r>
              <w:rPr>
                <w:sz w:val="24"/>
              </w:rPr>
              <w:t>close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1ECB003">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A39DC21">
            <w:pPr>
              <w:snapToGrid w:val="0"/>
              <w:jc w:val="center"/>
              <w:rPr>
                <w:sz w:val="24"/>
              </w:rPr>
            </w:pPr>
            <w:r>
              <w:rPr>
                <w:sz w:val="24"/>
              </w:rPr>
              <w:t>18,4</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34F90777">
            <w:pPr>
              <w:snapToGrid w:val="0"/>
              <w:jc w:val="center"/>
              <w:rPr>
                <w:sz w:val="24"/>
              </w:rPr>
            </w:pPr>
            <w:r>
              <w:rPr>
                <w:sz w:val="24"/>
              </w:rPr>
              <w:t>收盘价</w:t>
            </w:r>
          </w:p>
        </w:tc>
      </w:tr>
      <w:tr w14:paraId="53325F94">
        <w:tblPrEx>
          <w:shd w:val="clear" w:color="auto" w:fill="FFFFFF"/>
          <w:tblCellMar>
            <w:top w:w="15" w:type="dxa"/>
            <w:left w:w="15" w:type="dxa"/>
            <w:bottom w:w="15" w:type="dxa"/>
            <w:right w:w="15" w:type="dxa"/>
          </w:tblCellMar>
        </w:tblPrEx>
        <w:trPr>
          <w:jc w:val="center"/>
        </w:trPr>
        <w:tc>
          <w:tcPr>
            <w:tcW w:w="1511"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37E32C68">
            <w:pPr>
              <w:snapToGrid w:val="0"/>
              <w:jc w:val="center"/>
              <w:rPr>
                <w:sz w:val="24"/>
              </w:rPr>
            </w:pPr>
            <w:r>
              <w:rPr>
                <w:sz w:val="24"/>
              </w:rPr>
              <w:t>volume</w:t>
            </w:r>
          </w:p>
        </w:tc>
        <w:tc>
          <w:tcPr>
            <w:tcW w:w="1874"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79CE06B5">
            <w:pPr>
              <w:snapToGrid w:val="0"/>
              <w:jc w:val="center"/>
              <w:rPr>
                <w:sz w:val="24"/>
              </w:rPr>
            </w:pPr>
            <w:r>
              <w:rPr>
                <w:sz w:val="24"/>
              </w:rPr>
              <w:t>BIGINT</w:t>
            </w:r>
          </w:p>
        </w:tc>
        <w:tc>
          <w:tcPr>
            <w:tcW w:w="1095"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03FB66E3">
            <w:pPr>
              <w:snapToGrid w:val="0"/>
              <w:jc w:val="center"/>
              <w:rPr>
                <w:sz w:val="24"/>
              </w:rPr>
            </w:pPr>
            <w:r>
              <w:rPr>
                <w:sz w:val="24"/>
              </w:rPr>
              <w:t>20</w:t>
            </w:r>
          </w:p>
        </w:tc>
        <w:tc>
          <w:tcPr>
            <w:tcW w:w="4212"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346A84EA">
            <w:pPr>
              <w:snapToGrid w:val="0"/>
              <w:jc w:val="center"/>
              <w:rPr>
                <w:sz w:val="24"/>
              </w:rPr>
            </w:pPr>
            <w:r>
              <w:rPr>
                <w:sz w:val="24"/>
              </w:rPr>
              <w:t>成交量</w:t>
            </w:r>
          </w:p>
        </w:tc>
      </w:tr>
    </w:tbl>
    <w:p w14:paraId="605A3449">
      <w:pPr>
        <w:spacing w:line="400" w:lineRule="exact"/>
        <w:ind w:firstLine="480" w:firstLineChars="200"/>
        <w:rPr>
          <w:sz w:val="24"/>
        </w:rPr>
      </w:pPr>
    </w:p>
    <w:p w14:paraId="18BDE35C">
      <w:pPr>
        <w:spacing w:line="400" w:lineRule="exact"/>
        <w:outlineLvl w:val="2"/>
        <w:rPr>
          <w:rFonts w:hint="eastAsia" w:ascii="黑体" w:hAnsi="黑体" w:eastAsia="黑体" w:cs="黑体"/>
          <w:sz w:val="28"/>
          <w:szCs w:val="28"/>
        </w:rPr>
      </w:pPr>
      <w:bookmarkStart w:id="37" w:name="_Toc18852"/>
      <w:r>
        <w:rPr>
          <w:rFonts w:hint="eastAsia" w:ascii="黑体" w:hAnsi="黑体" w:eastAsia="黑体" w:cs="黑体"/>
          <w:sz w:val="28"/>
          <w:szCs w:val="28"/>
        </w:rPr>
        <w:t xml:space="preserve">4.4.2 </w:t>
      </w:r>
      <w:r>
        <w:rPr>
          <w:rFonts w:eastAsia="黑体"/>
          <w:sz w:val="24"/>
        </w:rPr>
        <w:t>AI</w:t>
      </w:r>
      <w:r>
        <w:rPr>
          <w:rFonts w:hint="eastAsia" w:ascii="黑体" w:hAnsi="黑体" w:eastAsia="黑体" w:cs="黑体"/>
          <w:sz w:val="28"/>
          <w:szCs w:val="28"/>
        </w:rPr>
        <w:t>辅助交易相关表</w:t>
      </w:r>
      <w:bookmarkEnd w:id="37"/>
    </w:p>
    <w:p w14:paraId="4A7160EE">
      <w:pPr>
        <w:spacing w:line="400" w:lineRule="exact"/>
        <w:outlineLvl w:val="2"/>
        <w:rPr>
          <w:rFonts w:hint="eastAsia" w:ascii="黑体" w:hAnsi="黑体" w:eastAsia="黑体" w:cs="黑体"/>
          <w:sz w:val="28"/>
          <w:szCs w:val="28"/>
        </w:rPr>
      </w:pPr>
    </w:p>
    <w:p w14:paraId="4C5D4A04">
      <w:pPr>
        <w:jc w:val="center"/>
      </w:pPr>
      <w:r>
        <w:rPr>
          <w:rFonts w:hint="eastAsia"/>
        </w:rPr>
        <w:t>表4.</w:t>
      </w:r>
      <w:r>
        <w:rPr>
          <w:rFonts w:hint="eastAsia"/>
          <w:lang w:val="en-US" w:eastAsia="zh-CN"/>
        </w:rPr>
        <w:t>11</w:t>
      </w:r>
      <w:r>
        <w:rPr>
          <w:rFonts w:hint="eastAsia"/>
        </w:rPr>
        <w:t xml:space="preserve"> ai_trader</w:t>
      </w:r>
    </w:p>
    <w:tbl>
      <w:tblPr>
        <w:tblStyle w:val="23"/>
        <w:tblW w:w="8695" w:type="dxa"/>
        <w:jc w:val="center"/>
        <w:shd w:val="clear" w:color="auto" w:fill="FFFFFF"/>
        <w:tblLayout w:type="autofit"/>
        <w:tblCellMar>
          <w:top w:w="15" w:type="dxa"/>
          <w:left w:w="15" w:type="dxa"/>
          <w:bottom w:w="15" w:type="dxa"/>
          <w:right w:w="15" w:type="dxa"/>
        </w:tblCellMar>
      </w:tblPr>
      <w:tblGrid>
        <w:gridCol w:w="1700"/>
        <w:gridCol w:w="1752"/>
        <w:gridCol w:w="857"/>
        <w:gridCol w:w="4386"/>
      </w:tblGrid>
      <w:tr w14:paraId="641C2598">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7DDCFB44">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5A386D81">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041F131">
            <w:pPr>
              <w:snapToGrid w:val="0"/>
              <w:jc w:val="center"/>
              <w:rPr>
                <w:b/>
                <w:sz w:val="24"/>
              </w:rPr>
            </w:pPr>
            <w:r>
              <w:rPr>
                <w:b/>
                <w:sz w:val="24"/>
              </w:rPr>
              <w:t>长度</w:t>
            </w:r>
          </w:p>
        </w:tc>
        <w:tc>
          <w:tcPr>
            <w:tcW w:w="4401"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03BDBFE5">
            <w:pPr>
              <w:snapToGrid w:val="0"/>
              <w:jc w:val="center"/>
              <w:rPr>
                <w:b/>
                <w:sz w:val="24"/>
              </w:rPr>
            </w:pPr>
            <w:r>
              <w:rPr>
                <w:b/>
                <w:sz w:val="24"/>
              </w:rPr>
              <w:t>含义</w:t>
            </w:r>
          </w:p>
        </w:tc>
      </w:tr>
      <w:tr w14:paraId="52D26EA8">
        <w:tblPrEx>
          <w:shd w:val="clear" w:color="auto" w:fill="FFFFFF"/>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1AB5513D">
            <w:pPr>
              <w:snapToGrid w:val="0"/>
              <w:jc w:val="center"/>
              <w:rPr>
                <w:sz w:val="24"/>
              </w:rPr>
            </w:pPr>
            <w:r>
              <w:rPr>
                <w:sz w:val="24"/>
              </w:rPr>
              <w:t>trader_id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65D61DE3">
            <w:pPr>
              <w:snapToGrid w:val="0"/>
              <w:jc w:val="left"/>
              <w:rPr>
                <w:sz w:val="24"/>
              </w:rPr>
            </w:pPr>
            <w:r>
              <w:rPr>
                <w:sz w:val="24"/>
              </w:rPr>
              <w:t>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AFD5996">
            <w:pPr>
              <w:snapToGrid w:val="0"/>
              <w:jc w:val="left"/>
              <w:rPr>
                <w:sz w:val="24"/>
              </w:rPr>
            </w:pPr>
            <w:r>
              <w:rPr>
                <w:sz w:val="24"/>
              </w:rPr>
              <w:t>11</w:t>
            </w:r>
          </w:p>
        </w:tc>
        <w:tc>
          <w:tcPr>
            <w:tcW w:w="4401"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19A8D35C">
            <w:pPr>
              <w:snapToGrid w:val="0"/>
              <w:jc w:val="center"/>
              <w:rPr>
                <w:sz w:val="24"/>
              </w:rPr>
            </w:pPr>
            <w:r>
              <w:rPr>
                <w:sz w:val="24"/>
              </w:rPr>
              <w:t>交易员唯一ID，主键</w:t>
            </w:r>
          </w:p>
        </w:tc>
      </w:tr>
      <w:tr w14:paraId="0A2096DA">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6DAA2D98">
            <w:pPr>
              <w:snapToGrid w:val="0"/>
              <w:jc w:val="center"/>
              <w:rPr>
                <w:sz w:val="24"/>
              </w:rPr>
            </w:pPr>
            <w:r>
              <w:rPr>
                <w:sz w:val="24"/>
              </w:rPr>
              <w:t>model_code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03C7372">
            <w:pPr>
              <w:snapToGrid w:val="0"/>
              <w:jc w:val="left"/>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683E647">
            <w:pPr>
              <w:snapToGrid w:val="0"/>
              <w:jc w:val="left"/>
              <w:rPr>
                <w:sz w:val="24"/>
              </w:rPr>
            </w:pPr>
            <w:r>
              <w:rPr>
                <w:sz w:val="24"/>
              </w:rPr>
              <w:t>50</w:t>
            </w:r>
          </w:p>
        </w:tc>
        <w:tc>
          <w:tcPr>
            <w:tcW w:w="4401" w:type="dxa"/>
            <w:tcBorders>
              <w:top w:val="nil"/>
              <w:left w:val="nil"/>
              <w:bottom w:val="nil"/>
              <w:right w:val="nil"/>
            </w:tcBorders>
            <w:shd w:val="clear" w:color="auto" w:fill="FFFFFF"/>
            <w:tcMar>
              <w:top w:w="120" w:type="dxa"/>
              <w:left w:w="192" w:type="dxa"/>
              <w:bottom w:w="120" w:type="dxa"/>
              <w:right w:w="-1" w:type="dxa"/>
            </w:tcMar>
            <w:vAlign w:val="center"/>
          </w:tcPr>
          <w:p w14:paraId="6EAC0427">
            <w:pPr>
              <w:snapToGrid w:val="0"/>
              <w:jc w:val="center"/>
              <w:rPr>
                <w:sz w:val="24"/>
              </w:rPr>
            </w:pPr>
            <w:r>
              <w:rPr>
                <w:sz w:val="24"/>
              </w:rPr>
              <w:t>大模型代码（如ERNIE 5.0, GPT-4o-mini）</w:t>
            </w:r>
          </w:p>
        </w:tc>
      </w:tr>
      <w:tr w14:paraId="4F333F20">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559B6BB">
            <w:pPr>
              <w:snapToGrid w:val="0"/>
              <w:jc w:val="center"/>
              <w:rPr>
                <w:sz w:val="24"/>
              </w:rPr>
            </w:pPr>
            <w:r>
              <w:rPr>
                <w:sz w:val="24"/>
              </w:rPr>
              <w:t>risk_preference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9EC3765">
            <w:pPr>
              <w:snapToGrid w:val="0"/>
              <w:jc w:val="left"/>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4653DE6">
            <w:pPr>
              <w:snapToGrid w:val="0"/>
              <w:jc w:val="left"/>
              <w:rPr>
                <w:sz w:val="24"/>
              </w:rPr>
            </w:pPr>
            <w:r>
              <w:rPr>
                <w:sz w:val="24"/>
              </w:rPr>
              <w:t>20</w:t>
            </w:r>
          </w:p>
        </w:tc>
        <w:tc>
          <w:tcPr>
            <w:tcW w:w="4401" w:type="dxa"/>
            <w:tcBorders>
              <w:top w:val="nil"/>
              <w:left w:val="nil"/>
              <w:bottom w:val="nil"/>
              <w:right w:val="nil"/>
            </w:tcBorders>
            <w:shd w:val="clear" w:color="auto" w:fill="FFFFFF"/>
            <w:tcMar>
              <w:top w:w="120" w:type="dxa"/>
              <w:left w:w="192" w:type="dxa"/>
              <w:bottom w:w="120" w:type="dxa"/>
              <w:right w:w="-1" w:type="dxa"/>
            </w:tcMar>
            <w:vAlign w:val="center"/>
          </w:tcPr>
          <w:p w14:paraId="2D8E13A1">
            <w:pPr>
              <w:snapToGrid w:val="0"/>
              <w:jc w:val="center"/>
              <w:rPr>
                <w:sz w:val="24"/>
              </w:rPr>
            </w:pPr>
            <w:r>
              <w:rPr>
                <w:sz w:val="24"/>
              </w:rPr>
              <w:t>风险偏好（如保守、激进、稳健）</w:t>
            </w:r>
          </w:p>
        </w:tc>
      </w:tr>
      <w:tr w14:paraId="05F94152">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7B5AE293">
            <w:pPr>
              <w:snapToGrid w:val="0"/>
              <w:jc w:val="center"/>
              <w:rPr>
                <w:sz w:val="24"/>
              </w:rPr>
            </w:pPr>
            <w:r>
              <w:rPr>
                <w:sz w:val="24"/>
              </w:rPr>
              <w:t>cash_balance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7FD1DC1">
            <w:pPr>
              <w:snapToGrid w:val="0"/>
              <w:jc w:val="left"/>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A64C3CC">
            <w:pPr>
              <w:snapToGrid w:val="0"/>
              <w:jc w:val="left"/>
              <w:rPr>
                <w:sz w:val="24"/>
              </w:rPr>
            </w:pPr>
            <w:r>
              <w:rPr>
                <w:sz w:val="24"/>
              </w:rPr>
              <w:t>18,4</w:t>
            </w:r>
          </w:p>
        </w:tc>
        <w:tc>
          <w:tcPr>
            <w:tcW w:w="4401" w:type="dxa"/>
            <w:tcBorders>
              <w:top w:val="nil"/>
              <w:left w:val="nil"/>
              <w:bottom w:val="nil"/>
              <w:right w:val="nil"/>
            </w:tcBorders>
            <w:shd w:val="clear" w:color="auto" w:fill="FFFFFF"/>
            <w:tcMar>
              <w:top w:w="120" w:type="dxa"/>
              <w:left w:w="192" w:type="dxa"/>
              <w:bottom w:w="120" w:type="dxa"/>
              <w:right w:w="-1" w:type="dxa"/>
            </w:tcMar>
            <w:vAlign w:val="center"/>
          </w:tcPr>
          <w:p w14:paraId="2E2F8EFC">
            <w:pPr>
              <w:snapToGrid w:val="0"/>
              <w:jc w:val="center"/>
              <w:rPr>
                <w:sz w:val="24"/>
              </w:rPr>
            </w:pPr>
            <w:r>
              <w:rPr>
                <w:sz w:val="24"/>
              </w:rPr>
              <w:t>当前可用现金余额</w:t>
            </w:r>
          </w:p>
        </w:tc>
      </w:tr>
      <w:tr w14:paraId="2EA45EF1">
        <w:tblPrEx>
          <w:shd w:val="clear" w:color="auto" w:fill="FFFFFF"/>
          <w:tblCellMar>
            <w:top w:w="15" w:type="dxa"/>
            <w:left w:w="15" w:type="dxa"/>
            <w:bottom w:w="15" w:type="dxa"/>
            <w:right w:w="15" w:type="dxa"/>
          </w:tblCellMar>
        </w:tblPrEx>
        <w:trPr>
          <w:jc w:val="center"/>
        </w:trPr>
        <w:tc>
          <w:tcPr>
            <w:tcW w:w="1685"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0A32D5BC">
            <w:pPr>
              <w:snapToGrid w:val="0"/>
              <w:jc w:val="center"/>
              <w:rPr>
                <w:sz w:val="24"/>
              </w:rPr>
            </w:pPr>
            <w:r>
              <w:rPr>
                <w:sz w:val="24"/>
              </w:rPr>
              <w:t>created_at</w:t>
            </w:r>
          </w:p>
        </w:tc>
        <w:tc>
          <w:tcPr>
            <w:tcW w:w="1752"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6EA60DE">
            <w:pPr>
              <w:snapToGrid w:val="0"/>
              <w:jc w:val="left"/>
              <w:rPr>
                <w:sz w:val="24"/>
              </w:rPr>
            </w:pPr>
            <w:r>
              <w:rPr>
                <w:sz w:val="24"/>
              </w:rPr>
              <w:t>TIMESTAMP</w:t>
            </w:r>
          </w:p>
        </w:tc>
        <w:tc>
          <w:tcPr>
            <w:tcW w:w="857"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468E027B">
            <w:pPr>
              <w:snapToGrid w:val="0"/>
              <w:jc w:val="left"/>
              <w:rPr>
                <w:sz w:val="24"/>
              </w:rPr>
            </w:pPr>
            <w:r>
              <w:rPr>
                <w:sz w:val="24"/>
              </w:rPr>
              <w:t>-</w:t>
            </w:r>
          </w:p>
        </w:tc>
        <w:tc>
          <w:tcPr>
            <w:tcW w:w="4401"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7D5842F2">
            <w:pPr>
              <w:snapToGrid w:val="0"/>
              <w:jc w:val="center"/>
              <w:rPr>
                <w:sz w:val="24"/>
              </w:rPr>
            </w:pPr>
            <w:r>
              <w:rPr>
                <w:sz w:val="24"/>
              </w:rPr>
              <w:t>创建时间</w:t>
            </w:r>
          </w:p>
        </w:tc>
      </w:tr>
    </w:tbl>
    <w:p w14:paraId="617E9D12">
      <w:pPr>
        <w:spacing w:line="400" w:lineRule="exact"/>
        <w:ind w:firstLine="480" w:firstLineChars="200"/>
        <w:rPr>
          <w:sz w:val="24"/>
        </w:rPr>
      </w:pPr>
    </w:p>
    <w:p w14:paraId="69F6EE0A">
      <w:pPr>
        <w:jc w:val="center"/>
      </w:pPr>
      <w:r>
        <w:rPr>
          <w:rFonts w:hint="eastAsia"/>
        </w:rPr>
        <w:t>表4.</w:t>
      </w:r>
      <w:r>
        <w:rPr>
          <w:rFonts w:hint="eastAsia"/>
          <w:lang w:val="en-US" w:eastAsia="zh-CN"/>
        </w:rPr>
        <w:t>12</w:t>
      </w:r>
      <w:r>
        <w:rPr>
          <w:rFonts w:hint="eastAsia"/>
        </w:rPr>
        <w:t xml:space="preserve"> ai_position</w:t>
      </w:r>
    </w:p>
    <w:tbl>
      <w:tblPr>
        <w:tblStyle w:val="23"/>
        <w:tblW w:w="8692" w:type="dxa"/>
        <w:jc w:val="center"/>
        <w:shd w:val="clear" w:color="auto" w:fill="FFFFFF"/>
        <w:tblLayout w:type="autofit"/>
        <w:tblCellMar>
          <w:top w:w="15" w:type="dxa"/>
          <w:left w:w="15" w:type="dxa"/>
          <w:bottom w:w="15" w:type="dxa"/>
          <w:right w:w="15" w:type="dxa"/>
        </w:tblCellMar>
      </w:tblPr>
      <w:tblGrid>
        <w:gridCol w:w="1577"/>
        <w:gridCol w:w="1831"/>
        <w:gridCol w:w="1069"/>
        <w:gridCol w:w="4215"/>
      </w:tblGrid>
      <w:tr w14:paraId="1E3B8252">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6CB98EC0">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1B9216E">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38DAF210">
            <w:pPr>
              <w:snapToGrid w:val="0"/>
              <w:jc w:val="center"/>
              <w:rPr>
                <w:b/>
                <w:sz w:val="24"/>
              </w:rPr>
            </w:pPr>
            <w:r>
              <w:rPr>
                <w:b/>
                <w:sz w:val="24"/>
              </w:rPr>
              <w:t>长度</w:t>
            </w:r>
          </w:p>
        </w:tc>
        <w:tc>
          <w:tcPr>
            <w:tcW w:w="4215"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140FF303">
            <w:pPr>
              <w:snapToGrid w:val="0"/>
              <w:jc w:val="center"/>
              <w:rPr>
                <w:b/>
                <w:sz w:val="24"/>
              </w:rPr>
            </w:pPr>
            <w:r>
              <w:rPr>
                <w:b/>
                <w:sz w:val="24"/>
              </w:rPr>
              <w:t>含义</w:t>
            </w:r>
          </w:p>
        </w:tc>
      </w:tr>
      <w:tr w14:paraId="4D1EBBDC">
        <w:tblPrEx>
          <w:shd w:val="clear" w:color="auto" w:fill="FFFFFF"/>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007F363C">
            <w:pPr>
              <w:snapToGrid w:val="0"/>
              <w:jc w:val="center"/>
              <w:rPr>
                <w:sz w:val="24"/>
              </w:rPr>
            </w:pPr>
            <w:r>
              <w:rPr>
                <w:sz w:val="24"/>
              </w:rPr>
              <w:t>position_id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4BBC068C">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242021D">
            <w:pPr>
              <w:snapToGrid w:val="0"/>
              <w:jc w:val="center"/>
              <w:rPr>
                <w:sz w:val="24"/>
              </w:rPr>
            </w:pPr>
            <w:r>
              <w:rPr>
                <w:sz w:val="24"/>
              </w:rPr>
              <w:t>20</w:t>
            </w:r>
          </w:p>
        </w:tc>
        <w:tc>
          <w:tcPr>
            <w:tcW w:w="4215"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67B0AD72">
            <w:pPr>
              <w:snapToGrid w:val="0"/>
              <w:jc w:val="center"/>
              <w:rPr>
                <w:sz w:val="24"/>
              </w:rPr>
            </w:pPr>
            <w:r>
              <w:rPr>
                <w:sz w:val="24"/>
              </w:rPr>
              <w:t>持仓唯一ID，主键</w:t>
            </w:r>
          </w:p>
        </w:tc>
      </w:tr>
      <w:tr w14:paraId="41E04F17">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4306D05">
            <w:pPr>
              <w:snapToGrid w:val="0"/>
              <w:jc w:val="center"/>
              <w:rPr>
                <w:sz w:val="24"/>
              </w:rPr>
            </w:pPr>
            <w:r>
              <w:rPr>
                <w:sz w:val="24"/>
              </w:rPr>
              <w:t>trader_id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B177139">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C3B47C4">
            <w:pPr>
              <w:snapToGrid w:val="0"/>
              <w:jc w:val="center"/>
              <w:rPr>
                <w:sz w:val="24"/>
              </w:rPr>
            </w:pPr>
            <w:r>
              <w:rPr>
                <w:sz w:val="24"/>
              </w:rPr>
              <w:t>11</w:t>
            </w:r>
          </w:p>
        </w:tc>
        <w:tc>
          <w:tcPr>
            <w:tcW w:w="4215" w:type="dxa"/>
            <w:tcBorders>
              <w:top w:val="nil"/>
              <w:left w:val="nil"/>
              <w:bottom w:val="nil"/>
              <w:right w:val="nil"/>
            </w:tcBorders>
            <w:shd w:val="clear" w:color="auto" w:fill="FFFFFF"/>
            <w:tcMar>
              <w:top w:w="120" w:type="dxa"/>
              <w:left w:w="192" w:type="dxa"/>
              <w:bottom w:w="120" w:type="dxa"/>
              <w:right w:w="-1" w:type="dxa"/>
            </w:tcMar>
            <w:vAlign w:val="center"/>
          </w:tcPr>
          <w:p w14:paraId="3045F9C2">
            <w:pPr>
              <w:snapToGrid w:val="0"/>
              <w:jc w:val="center"/>
              <w:rPr>
                <w:sz w:val="24"/>
              </w:rPr>
            </w:pPr>
            <w:r>
              <w:rPr>
                <w:sz w:val="24"/>
              </w:rPr>
              <w:t>交易员ID，外键关联 ai_trader</w:t>
            </w:r>
          </w:p>
        </w:tc>
      </w:tr>
      <w:tr w14:paraId="0A7B0E91">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1954966">
            <w:pPr>
              <w:snapToGrid w:val="0"/>
              <w:jc w:val="center"/>
              <w:rPr>
                <w:sz w:val="24"/>
              </w:rPr>
            </w:pPr>
            <w:r>
              <w:rPr>
                <w:sz w:val="24"/>
              </w:rPr>
              <w:t>stock_id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7863CF7">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2B6A89B">
            <w:pPr>
              <w:snapToGrid w:val="0"/>
              <w:jc w:val="center"/>
              <w:rPr>
                <w:sz w:val="24"/>
              </w:rPr>
            </w:pPr>
            <w:r>
              <w:rPr>
                <w:sz w:val="24"/>
              </w:rPr>
              <w:t>11</w:t>
            </w:r>
          </w:p>
        </w:tc>
        <w:tc>
          <w:tcPr>
            <w:tcW w:w="4215" w:type="dxa"/>
            <w:tcBorders>
              <w:top w:val="nil"/>
              <w:left w:val="nil"/>
              <w:bottom w:val="nil"/>
              <w:right w:val="nil"/>
            </w:tcBorders>
            <w:shd w:val="clear" w:color="auto" w:fill="FFFFFF"/>
            <w:tcMar>
              <w:top w:w="120" w:type="dxa"/>
              <w:left w:w="192" w:type="dxa"/>
              <w:bottom w:w="120" w:type="dxa"/>
              <w:right w:w="-1" w:type="dxa"/>
            </w:tcMar>
            <w:vAlign w:val="center"/>
          </w:tcPr>
          <w:p w14:paraId="7935F07E">
            <w:pPr>
              <w:snapToGrid w:val="0"/>
              <w:jc w:val="center"/>
              <w:rPr>
                <w:sz w:val="24"/>
              </w:rPr>
            </w:pPr>
            <w:r>
              <w:rPr>
                <w:sz w:val="24"/>
              </w:rPr>
              <w:t>股票ID，外键关联 stock_info</w:t>
            </w:r>
          </w:p>
        </w:tc>
      </w:tr>
      <w:tr w14:paraId="7048922B">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909EAB9">
            <w:pPr>
              <w:snapToGrid w:val="0"/>
              <w:jc w:val="center"/>
              <w:rPr>
                <w:sz w:val="24"/>
              </w:rPr>
            </w:pPr>
            <w:r>
              <w:rPr>
                <w:sz w:val="24"/>
              </w:rPr>
              <w:t>quantity</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08F0412">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2A6E058">
            <w:pPr>
              <w:snapToGrid w:val="0"/>
              <w:jc w:val="center"/>
              <w:rPr>
                <w:sz w:val="24"/>
              </w:rPr>
            </w:pPr>
            <w:r>
              <w:rPr>
                <w:sz w:val="24"/>
              </w:rPr>
              <w:t>11</w:t>
            </w:r>
          </w:p>
        </w:tc>
        <w:tc>
          <w:tcPr>
            <w:tcW w:w="4215" w:type="dxa"/>
            <w:tcBorders>
              <w:top w:val="nil"/>
              <w:left w:val="nil"/>
              <w:bottom w:val="nil"/>
              <w:right w:val="nil"/>
            </w:tcBorders>
            <w:shd w:val="clear" w:color="auto" w:fill="FFFFFF"/>
            <w:tcMar>
              <w:top w:w="120" w:type="dxa"/>
              <w:left w:w="192" w:type="dxa"/>
              <w:bottom w:w="120" w:type="dxa"/>
              <w:right w:w="-1" w:type="dxa"/>
            </w:tcMar>
            <w:vAlign w:val="center"/>
          </w:tcPr>
          <w:p w14:paraId="45576B89">
            <w:pPr>
              <w:snapToGrid w:val="0"/>
              <w:jc w:val="center"/>
              <w:rPr>
                <w:sz w:val="24"/>
              </w:rPr>
            </w:pPr>
            <w:r>
              <w:rPr>
                <w:sz w:val="24"/>
              </w:rPr>
              <w:t>当前持仓数量</w:t>
            </w:r>
          </w:p>
        </w:tc>
      </w:tr>
      <w:tr w14:paraId="033E4002">
        <w:tblPrEx>
          <w:shd w:val="clear" w:color="auto" w:fill="FFFFFF"/>
          <w:tblCellMar>
            <w:top w:w="15" w:type="dxa"/>
            <w:left w:w="15" w:type="dxa"/>
            <w:bottom w:w="15" w:type="dxa"/>
            <w:right w:w="15" w:type="dxa"/>
          </w:tblCellMar>
        </w:tblPrEx>
        <w:trPr>
          <w:jc w:val="center"/>
        </w:trPr>
        <w:tc>
          <w:tcPr>
            <w:tcW w:w="1577"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1F917A4E">
            <w:pPr>
              <w:snapToGrid w:val="0"/>
              <w:jc w:val="center"/>
              <w:rPr>
                <w:sz w:val="24"/>
              </w:rPr>
            </w:pPr>
            <w:r>
              <w:rPr>
                <w:sz w:val="24"/>
              </w:rPr>
              <w:t>avg_cost</w:t>
            </w:r>
          </w:p>
        </w:tc>
        <w:tc>
          <w:tcPr>
            <w:tcW w:w="1831"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276FBEC9">
            <w:pPr>
              <w:snapToGrid w:val="0"/>
              <w:jc w:val="center"/>
              <w:rPr>
                <w:sz w:val="24"/>
              </w:rPr>
            </w:pPr>
            <w:r>
              <w:rPr>
                <w:sz w:val="24"/>
              </w:rPr>
              <w:t>DECIMAL</w:t>
            </w:r>
          </w:p>
        </w:tc>
        <w:tc>
          <w:tcPr>
            <w:tcW w:w="1069"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B373C1B">
            <w:pPr>
              <w:snapToGrid w:val="0"/>
              <w:jc w:val="center"/>
              <w:rPr>
                <w:sz w:val="24"/>
              </w:rPr>
            </w:pPr>
            <w:r>
              <w:rPr>
                <w:sz w:val="24"/>
              </w:rPr>
              <w:t>18,4</w:t>
            </w:r>
          </w:p>
        </w:tc>
        <w:tc>
          <w:tcPr>
            <w:tcW w:w="4215"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64CD39F8">
            <w:pPr>
              <w:snapToGrid w:val="0"/>
              <w:jc w:val="center"/>
              <w:rPr>
                <w:sz w:val="24"/>
              </w:rPr>
            </w:pPr>
            <w:r>
              <w:rPr>
                <w:sz w:val="24"/>
              </w:rPr>
              <w:t>持仓平均成本价</w:t>
            </w:r>
          </w:p>
        </w:tc>
      </w:tr>
    </w:tbl>
    <w:p w14:paraId="75833D2E">
      <w:pPr>
        <w:spacing w:line="400" w:lineRule="exact"/>
        <w:ind w:firstLine="480" w:firstLineChars="200"/>
        <w:rPr>
          <w:sz w:val="24"/>
        </w:rPr>
      </w:pPr>
    </w:p>
    <w:p w14:paraId="04C88958">
      <w:pPr>
        <w:jc w:val="center"/>
      </w:pPr>
      <w:r>
        <w:rPr>
          <w:rFonts w:hint="eastAsia"/>
        </w:rPr>
        <w:t>表4.</w:t>
      </w:r>
      <w:r>
        <w:rPr>
          <w:rFonts w:hint="eastAsia"/>
          <w:lang w:val="en-US" w:eastAsia="zh-CN"/>
        </w:rPr>
        <w:t>13</w:t>
      </w:r>
      <w:r>
        <w:rPr>
          <w:rFonts w:hint="eastAsia"/>
        </w:rPr>
        <w:t xml:space="preserve"> ai_trade_record</w:t>
      </w:r>
    </w:p>
    <w:tbl>
      <w:tblPr>
        <w:tblStyle w:val="23"/>
        <w:tblW w:w="8692" w:type="dxa"/>
        <w:jc w:val="center"/>
        <w:shd w:val="clear" w:color="auto" w:fill="FFFFFF"/>
        <w:tblLayout w:type="autofit"/>
        <w:tblCellMar>
          <w:top w:w="15" w:type="dxa"/>
          <w:left w:w="15" w:type="dxa"/>
          <w:bottom w:w="15" w:type="dxa"/>
          <w:right w:w="15" w:type="dxa"/>
        </w:tblCellMar>
      </w:tblPr>
      <w:tblGrid>
        <w:gridCol w:w="1350"/>
        <w:gridCol w:w="1941"/>
        <w:gridCol w:w="958"/>
        <w:gridCol w:w="4443"/>
      </w:tblGrid>
      <w:tr w14:paraId="2E371DE4">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56FEA619">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2F23342">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05B890FA">
            <w:pPr>
              <w:snapToGrid w:val="0"/>
              <w:jc w:val="center"/>
              <w:rPr>
                <w:b/>
                <w:sz w:val="24"/>
              </w:rPr>
            </w:pPr>
            <w:r>
              <w:rPr>
                <w:b/>
                <w:sz w:val="24"/>
              </w:rPr>
              <w:t>长度</w:t>
            </w:r>
          </w:p>
        </w:tc>
        <w:tc>
          <w:tcPr>
            <w:tcW w:w="4443"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8470025">
            <w:pPr>
              <w:snapToGrid w:val="0"/>
              <w:jc w:val="center"/>
              <w:rPr>
                <w:b/>
                <w:sz w:val="24"/>
              </w:rPr>
            </w:pPr>
            <w:r>
              <w:rPr>
                <w:b/>
                <w:sz w:val="24"/>
              </w:rPr>
              <w:t>含义</w:t>
            </w:r>
          </w:p>
        </w:tc>
      </w:tr>
      <w:tr w14:paraId="7FA6968B">
        <w:tblPrEx>
          <w:shd w:val="clear" w:color="auto" w:fill="FFFFFF"/>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44B95F30">
            <w:pPr>
              <w:snapToGrid w:val="0"/>
              <w:jc w:val="center"/>
              <w:rPr>
                <w:sz w:val="24"/>
              </w:rPr>
            </w:pPr>
            <w:r>
              <w:rPr>
                <w:sz w:val="24"/>
              </w:rPr>
              <w:t>trade_id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8CE7E6A">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436A6CCD">
            <w:pPr>
              <w:snapToGrid w:val="0"/>
              <w:jc w:val="center"/>
              <w:rPr>
                <w:sz w:val="24"/>
              </w:rPr>
            </w:pPr>
            <w:r>
              <w:rPr>
                <w:sz w:val="24"/>
              </w:rPr>
              <w:t>20</w:t>
            </w:r>
          </w:p>
        </w:tc>
        <w:tc>
          <w:tcPr>
            <w:tcW w:w="4443"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6A6073A3">
            <w:pPr>
              <w:snapToGrid w:val="0"/>
              <w:jc w:val="center"/>
              <w:rPr>
                <w:sz w:val="24"/>
              </w:rPr>
            </w:pPr>
            <w:r>
              <w:rPr>
                <w:sz w:val="24"/>
              </w:rPr>
              <w:t>交易流水唯一ID，主键</w:t>
            </w:r>
          </w:p>
        </w:tc>
      </w:tr>
      <w:tr w14:paraId="474EA6D8">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3EBF19F">
            <w:pPr>
              <w:snapToGrid w:val="0"/>
              <w:jc w:val="center"/>
              <w:rPr>
                <w:sz w:val="24"/>
              </w:rPr>
            </w:pPr>
            <w:r>
              <w:rPr>
                <w:sz w:val="24"/>
              </w:rPr>
              <w:t>trader_id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DAD81F8">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E9F74D6">
            <w:pPr>
              <w:snapToGrid w:val="0"/>
              <w:jc w:val="center"/>
              <w:rPr>
                <w:sz w:val="24"/>
              </w:rPr>
            </w:pPr>
            <w:r>
              <w:rPr>
                <w:sz w:val="24"/>
              </w:rPr>
              <w:t>11</w:t>
            </w:r>
          </w:p>
        </w:tc>
        <w:tc>
          <w:tcPr>
            <w:tcW w:w="4443" w:type="dxa"/>
            <w:tcBorders>
              <w:top w:val="nil"/>
              <w:left w:val="nil"/>
              <w:bottom w:val="nil"/>
              <w:right w:val="nil"/>
            </w:tcBorders>
            <w:shd w:val="clear" w:color="auto" w:fill="FFFFFF"/>
            <w:tcMar>
              <w:top w:w="120" w:type="dxa"/>
              <w:left w:w="192" w:type="dxa"/>
              <w:bottom w:w="120" w:type="dxa"/>
              <w:right w:w="-1" w:type="dxa"/>
            </w:tcMar>
            <w:vAlign w:val="center"/>
          </w:tcPr>
          <w:p w14:paraId="148210D9">
            <w:pPr>
              <w:snapToGrid w:val="0"/>
              <w:jc w:val="center"/>
              <w:rPr>
                <w:sz w:val="24"/>
              </w:rPr>
            </w:pPr>
            <w:r>
              <w:rPr>
                <w:sz w:val="24"/>
              </w:rPr>
              <w:t>交易员ID，外键关联 ai_trader</w:t>
            </w:r>
          </w:p>
        </w:tc>
      </w:tr>
      <w:tr w14:paraId="2D915CFB">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8DD6B06">
            <w:pPr>
              <w:snapToGrid w:val="0"/>
              <w:jc w:val="center"/>
              <w:rPr>
                <w:sz w:val="24"/>
              </w:rPr>
            </w:pPr>
            <w:r>
              <w:rPr>
                <w:sz w:val="24"/>
              </w:rPr>
              <w:t>stock_id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CFE24FD">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451AE09">
            <w:pPr>
              <w:snapToGrid w:val="0"/>
              <w:jc w:val="center"/>
              <w:rPr>
                <w:sz w:val="24"/>
              </w:rPr>
            </w:pPr>
            <w:r>
              <w:rPr>
                <w:sz w:val="24"/>
              </w:rPr>
              <w:t>11</w:t>
            </w:r>
          </w:p>
        </w:tc>
        <w:tc>
          <w:tcPr>
            <w:tcW w:w="4443" w:type="dxa"/>
            <w:tcBorders>
              <w:top w:val="nil"/>
              <w:left w:val="nil"/>
              <w:bottom w:val="nil"/>
              <w:right w:val="nil"/>
            </w:tcBorders>
            <w:shd w:val="clear" w:color="auto" w:fill="FFFFFF"/>
            <w:tcMar>
              <w:top w:w="120" w:type="dxa"/>
              <w:left w:w="192" w:type="dxa"/>
              <w:bottom w:w="120" w:type="dxa"/>
              <w:right w:w="-1" w:type="dxa"/>
            </w:tcMar>
            <w:vAlign w:val="center"/>
          </w:tcPr>
          <w:p w14:paraId="081D469B">
            <w:pPr>
              <w:snapToGrid w:val="0"/>
              <w:jc w:val="center"/>
              <w:rPr>
                <w:sz w:val="24"/>
              </w:rPr>
            </w:pPr>
            <w:r>
              <w:rPr>
                <w:sz w:val="24"/>
              </w:rPr>
              <w:t>股票ID，外键关联 stock_info</w:t>
            </w:r>
          </w:p>
        </w:tc>
      </w:tr>
      <w:tr w14:paraId="676ED395">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6877064">
            <w:pPr>
              <w:snapToGrid w:val="0"/>
              <w:jc w:val="center"/>
              <w:rPr>
                <w:sz w:val="24"/>
              </w:rPr>
            </w:pPr>
            <w:r>
              <w:rPr>
                <w:sz w:val="24"/>
              </w:rPr>
              <w:t>trade_type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9BE5553">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0C97A86">
            <w:pPr>
              <w:snapToGrid w:val="0"/>
              <w:jc w:val="center"/>
              <w:rPr>
                <w:sz w:val="24"/>
              </w:rPr>
            </w:pPr>
            <w:r>
              <w:rPr>
                <w:sz w:val="24"/>
              </w:rPr>
              <w:t>10</w:t>
            </w:r>
          </w:p>
        </w:tc>
        <w:tc>
          <w:tcPr>
            <w:tcW w:w="4443" w:type="dxa"/>
            <w:tcBorders>
              <w:top w:val="nil"/>
              <w:left w:val="nil"/>
              <w:bottom w:val="nil"/>
              <w:right w:val="nil"/>
            </w:tcBorders>
            <w:shd w:val="clear" w:color="auto" w:fill="FFFFFF"/>
            <w:tcMar>
              <w:top w:w="120" w:type="dxa"/>
              <w:left w:w="192" w:type="dxa"/>
              <w:bottom w:w="120" w:type="dxa"/>
              <w:right w:w="-1" w:type="dxa"/>
            </w:tcMar>
            <w:vAlign w:val="center"/>
          </w:tcPr>
          <w:p w14:paraId="6729F502">
            <w:pPr>
              <w:snapToGrid w:val="0"/>
              <w:jc w:val="center"/>
              <w:rPr>
                <w:sz w:val="24"/>
              </w:rPr>
            </w:pPr>
            <w:r>
              <w:rPr>
                <w:sz w:val="24"/>
              </w:rPr>
              <w:t>交易类型（buy：买入，sell：卖出）</w:t>
            </w:r>
          </w:p>
        </w:tc>
      </w:tr>
      <w:tr w14:paraId="58CA962C">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73063E2">
            <w:pPr>
              <w:snapToGrid w:val="0"/>
              <w:jc w:val="center"/>
              <w:rPr>
                <w:sz w:val="24"/>
              </w:rPr>
            </w:pPr>
            <w:r>
              <w:rPr>
                <w:sz w:val="24"/>
              </w:rPr>
              <w:t>quantity</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B29D5F7">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6DCEF25">
            <w:pPr>
              <w:snapToGrid w:val="0"/>
              <w:jc w:val="center"/>
              <w:rPr>
                <w:sz w:val="24"/>
              </w:rPr>
            </w:pPr>
            <w:r>
              <w:rPr>
                <w:sz w:val="24"/>
              </w:rPr>
              <w:t>11</w:t>
            </w:r>
          </w:p>
        </w:tc>
        <w:tc>
          <w:tcPr>
            <w:tcW w:w="4443" w:type="dxa"/>
            <w:tcBorders>
              <w:top w:val="nil"/>
              <w:left w:val="nil"/>
              <w:bottom w:val="nil"/>
              <w:right w:val="nil"/>
            </w:tcBorders>
            <w:shd w:val="clear" w:color="auto" w:fill="FFFFFF"/>
            <w:tcMar>
              <w:top w:w="120" w:type="dxa"/>
              <w:left w:w="192" w:type="dxa"/>
              <w:bottom w:w="120" w:type="dxa"/>
              <w:right w:w="-1" w:type="dxa"/>
            </w:tcMar>
            <w:vAlign w:val="center"/>
          </w:tcPr>
          <w:p w14:paraId="3357697F">
            <w:pPr>
              <w:snapToGrid w:val="0"/>
              <w:jc w:val="center"/>
              <w:rPr>
                <w:sz w:val="24"/>
              </w:rPr>
            </w:pPr>
            <w:r>
              <w:rPr>
                <w:sz w:val="24"/>
              </w:rPr>
              <w:t>交易数量</w:t>
            </w:r>
          </w:p>
        </w:tc>
      </w:tr>
      <w:tr w14:paraId="32396E8E">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298D3662">
            <w:pPr>
              <w:snapToGrid w:val="0"/>
              <w:jc w:val="center"/>
              <w:rPr>
                <w:sz w:val="24"/>
              </w:rPr>
            </w:pPr>
            <w:r>
              <w:rPr>
                <w:sz w:val="24"/>
              </w:rPr>
              <w:t>price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BDF7B37">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DA57A9B">
            <w:pPr>
              <w:snapToGrid w:val="0"/>
              <w:jc w:val="center"/>
              <w:rPr>
                <w:sz w:val="24"/>
              </w:rPr>
            </w:pPr>
            <w:r>
              <w:rPr>
                <w:sz w:val="24"/>
              </w:rPr>
              <w:t>18,4</w:t>
            </w:r>
          </w:p>
        </w:tc>
        <w:tc>
          <w:tcPr>
            <w:tcW w:w="4443" w:type="dxa"/>
            <w:tcBorders>
              <w:top w:val="nil"/>
              <w:left w:val="nil"/>
              <w:bottom w:val="nil"/>
              <w:right w:val="nil"/>
            </w:tcBorders>
            <w:shd w:val="clear" w:color="auto" w:fill="FFFFFF"/>
            <w:tcMar>
              <w:top w:w="120" w:type="dxa"/>
              <w:left w:w="192" w:type="dxa"/>
              <w:bottom w:w="120" w:type="dxa"/>
              <w:right w:w="-1" w:type="dxa"/>
            </w:tcMar>
            <w:vAlign w:val="center"/>
          </w:tcPr>
          <w:p w14:paraId="7E3ABD5E">
            <w:pPr>
              <w:snapToGrid w:val="0"/>
              <w:jc w:val="center"/>
              <w:rPr>
                <w:sz w:val="24"/>
              </w:rPr>
            </w:pPr>
            <w:r>
              <w:rPr>
                <w:sz w:val="24"/>
              </w:rPr>
              <w:t>成交价格</w:t>
            </w:r>
          </w:p>
        </w:tc>
      </w:tr>
      <w:tr w14:paraId="161DFA38">
        <w:tblPrEx>
          <w:tblCellMar>
            <w:top w:w="15" w:type="dxa"/>
            <w:left w:w="15" w:type="dxa"/>
            <w:bottom w:w="15" w:type="dxa"/>
            <w:right w:w="15" w:type="dxa"/>
          </w:tblCellMar>
        </w:tblPrEx>
        <w:trPr>
          <w:jc w:val="center"/>
        </w:trPr>
        <w:tc>
          <w:tcPr>
            <w:tcW w:w="1350"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54D456A5">
            <w:pPr>
              <w:snapToGrid w:val="0"/>
              <w:jc w:val="center"/>
              <w:rPr>
                <w:sz w:val="24"/>
              </w:rPr>
            </w:pPr>
            <w:r>
              <w:rPr>
                <w:sz w:val="24"/>
              </w:rPr>
              <w:t>trade_time</w:t>
            </w:r>
          </w:p>
        </w:tc>
        <w:tc>
          <w:tcPr>
            <w:tcW w:w="1941"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6C97E0FE">
            <w:pPr>
              <w:snapToGrid w:val="0"/>
              <w:jc w:val="center"/>
              <w:rPr>
                <w:sz w:val="24"/>
              </w:rPr>
            </w:pPr>
            <w:r>
              <w:rPr>
                <w:sz w:val="24"/>
              </w:rPr>
              <w:t>TIMESTAMP</w:t>
            </w:r>
          </w:p>
        </w:tc>
        <w:tc>
          <w:tcPr>
            <w:tcW w:w="958"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2DA7058A">
            <w:pPr>
              <w:snapToGrid w:val="0"/>
              <w:jc w:val="center"/>
              <w:rPr>
                <w:sz w:val="24"/>
              </w:rPr>
            </w:pPr>
            <w:r>
              <w:rPr>
                <w:sz w:val="24"/>
              </w:rPr>
              <w:t>-</w:t>
            </w:r>
          </w:p>
        </w:tc>
        <w:tc>
          <w:tcPr>
            <w:tcW w:w="4443"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7B9AD2F3">
            <w:pPr>
              <w:snapToGrid w:val="0"/>
              <w:jc w:val="center"/>
              <w:rPr>
                <w:sz w:val="24"/>
              </w:rPr>
            </w:pPr>
            <w:r>
              <w:rPr>
                <w:sz w:val="24"/>
              </w:rPr>
              <w:t>交易成交时间</w:t>
            </w:r>
          </w:p>
        </w:tc>
      </w:tr>
    </w:tbl>
    <w:p w14:paraId="112192E8">
      <w:pPr>
        <w:spacing w:line="400" w:lineRule="exact"/>
        <w:rPr>
          <w:sz w:val="24"/>
        </w:rPr>
      </w:pPr>
    </w:p>
    <w:p w14:paraId="01D80EFF">
      <w:pPr>
        <w:jc w:val="center"/>
      </w:pPr>
      <w:r>
        <w:rPr>
          <w:rFonts w:hint="eastAsia"/>
        </w:rPr>
        <w:t>表4.</w:t>
      </w:r>
      <w:r>
        <w:rPr>
          <w:rFonts w:hint="eastAsia"/>
          <w:lang w:val="en-US" w:eastAsia="zh-CN"/>
        </w:rPr>
        <w:t>14</w:t>
      </w:r>
      <w:r>
        <w:rPr>
          <w:rFonts w:hint="eastAsia"/>
        </w:rPr>
        <w:t xml:space="preserve"> ai_decision_log</w:t>
      </w:r>
    </w:p>
    <w:tbl>
      <w:tblPr>
        <w:tblStyle w:val="23"/>
        <w:tblW w:w="8692" w:type="dxa"/>
        <w:jc w:val="center"/>
        <w:shd w:val="clear" w:color="auto" w:fill="FFFFFF"/>
        <w:tblLayout w:type="autofit"/>
        <w:tblCellMar>
          <w:top w:w="15" w:type="dxa"/>
          <w:left w:w="15" w:type="dxa"/>
          <w:bottom w:w="15" w:type="dxa"/>
          <w:right w:w="15" w:type="dxa"/>
        </w:tblCellMar>
      </w:tblPr>
      <w:tblGrid>
        <w:gridCol w:w="1797"/>
        <w:gridCol w:w="1798"/>
        <w:gridCol w:w="887"/>
        <w:gridCol w:w="4210"/>
      </w:tblGrid>
      <w:tr w14:paraId="66F1497C">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4CF26ED6">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798ADB8">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0908025">
            <w:pPr>
              <w:snapToGrid w:val="0"/>
              <w:jc w:val="center"/>
              <w:rPr>
                <w:b/>
                <w:sz w:val="24"/>
              </w:rPr>
            </w:pPr>
            <w:r>
              <w:rPr>
                <w:b/>
                <w:sz w:val="24"/>
              </w:rPr>
              <w:t>长度</w:t>
            </w:r>
          </w:p>
        </w:tc>
        <w:tc>
          <w:tcPr>
            <w:tcW w:w="4210"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C1ACC31">
            <w:pPr>
              <w:snapToGrid w:val="0"/>
              <w:jc w:val="center"/>
              <w:rPr>
                <w:b/>
                <w:sz w:val="24"/>
              </w:rPr>
            </w:pPr>
            <w:r>
              <w:rPr>
                <w:b/>
                <w:sz w:val="24"/>
              </w:rPr>
              <w:t>含义</w:t>
            </w:r>
          </w:p>
        </w:tc>
      </w:tr>
      <w:tr w14:paraId="3FD4153E">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7EE72A6F">
            <w:pPr>
              <w:snapToGrid w:val="0"/>
              <w:jc w:val="center"/>
              <w:rPr>
                <w:sz w:val="24"/>
              </w:rPr>
            </w:pPr>
            <w:r>
              <w:rPr>
                <w:sz w:val="24"/>
              </w:rPr>
              <w:t>log_id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41085623">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1CBC122D">
            <w:pPr>
              <w:snapToGrid w:val="0"/>
              <w:jc w:val="center"/>
              <w:rPr>
                <w:sz w:val="24"/>
              </w:rPr>
            </w:pPr>
            <w:r>
              <w:rPr>
                <w:sz w:val="24"/>
              </w:rPr>
              <w:t>20</w:t>
            </w:r>
          </w:p>
        </w:tc>
        <w:tc>
          <w:tcPr>
            <w:tcW w:w="4210"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4D7E800F">
            <w:pPr>
              <w:snapToGrid w:val="0"/>
              <w:jc w:val="center"/>
              <w:rPr>
                <w:sz w:val="24"/>
              </w:rPr>
            </w:pPr>
            <w:r>
              <w:rPr>
                <w:sz w:val="24"/>
              </w:rPr>
              <w:t>日志唯一ID，主键</w:t>
            </w:r>
          </w:p>
        </w:tc>
      </w:tr>
      <w:tr w14:paraId="06344C1B">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D475875">
            <w:pPr>
              <w:snapToGrid w:val="0"/>
              <w:jc w:val="center"/>
              <w:rPr>
                <w:sz w:val="24"/>
              </w:rPr>
            </w:pPr>
            <w:r>
              <w:rPr>
                <w:sz w:val="24"/>
              </w:rPr>
              <w:t>trader_id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6790FAC">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83735D6">
            <w:pPr>
              <w:snapToGrid w:val="0"/>
              <w:jc w:val="center"/>
              <w:rPr>
                <w:sz w:val="24"/>
              </w:rPr>
            </w:pPr>
            <w:r>
              <w:rPr>
                <w:sz w:val="24"/>
              </w:rPr>
              <w:t>11</w:t>
            </w:r>
          </w:p>
        </w:tc>
        <w:tc>
          <w:tcPr>
            <w:tcW w:w="4210" w:type="dxa"/>
            <w:tcBorders>
              <w:top w:val="nil"/>
              <w:left w:val="nil"/>
              <w:bottom w:val="nil"/>
              <w:right w:val="nil"/>
            </w:tcBorders>
            <w:shd w:val="clear" w:color="auto" w:fill="FFFFFF"/>
            <w:tcMar>
              <w:top w:w="120" w:type="dxa"/>
              <w:left w:w="192" w:type="dxa"/>
              <w:bottom w:w="120" w:type="dxa"/>
              <w:right w:w="-1" w:type="dxa"/>
            </w:tcMar>
            <w:vAlign w:val="center"/>
          </w:tcPr>
          <w:p w14:paraId="4904633C">
            <w:pPr>
              <w:snapToGrid w:val="0"/>
              <w:jc w:val="center"/>
              <w:rPr>
                <w:sz w:val="24"/>
              </w:rPr>
            </w:pPr>
            <w:r>
              <w:rPr>
                <w:sz w:val="24"/>
              </w:rPr>
              <w:t>交易员ID，外键关联 ai_trader</w:t>
            </w:r>
          </w:p>
        </w:tc>
      </w:tr>
      <w:tr w14:paraId="001FFF40">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6285D8FD">
            <w:pPr>
              <w:snapToGrid w:val="0"/>
              <w:jc w:val="center"/>
              <w:rPr>
                <w:sz w:val="24"/>
              </w:rPr>
            </w:pPr>
            <w:r>
              <w:rPr>
                <w:sz w:val="24"/>
              </w:rPr>
              <w:t>round_type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D6AED3B">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9E0298E">
            <w:pPr>
              <w:snapToGrid w:val="0"/>
              <w:jc w:val="center"/>
              <w:rPr>
                <w:sz w:val="24"/>
              </w:rPr>
            </w:pPr>
            <w:r>
              <w:rPr>
                <w:sz w:val="24"/>
              </w:rPr>
              <w:t>20</w:t>
            </w:r>
          </w:p>
        </w:tc>
        <w:tc>
          <w:tcPr>
            <w:tcW w:w="4210" w:type="dxa"/>
            <w:tcBorders>
              <w:top w:val="nil"/>
              <w:left w:val="nil"/>
              <w:bottom w:val="nil"/>
              <w:right w:val="nil"/>
            </w:tcBorders>
            <w:shd w:val="clear" w:color="auto" w:fill="FFFFFF"/>
            <w:tcMar>
              <w:top w:w="120" w:type="dxa"/>
              <w:left w:w="192" w:type="dxa"/>
              <w:bottom w:w="120" w:type="dxa"/>
              <w:right w:w="-1" w:type="dxa"/>
            </w:tcMar>
            <w:vAlign w:val="center"/>
          </w:tcPr>
          <w:p w14:paraId="53CD8EC2">
            <w:pPr>
              <w:snapToGrid w:val="0"/>
              <w:jc w:val="center"/>
              <w:rPr>
                <w:sz w:val="24"/>
              </w:rPr>
            </w:pPr>
            <w:r>
              <w:rPr>
                <w:sz w:val="24"/>
              </w:rPr>
              <w:t>轮次类型（辅助交易 / 斗兽场轮次）</w:t>
            </w:r>
          </w:p>
        </w:tc>
      </w:tr>
      <w:tr w14:paraId="366FF325">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655F182C">
            <w:pPr>
              <w:snapToGrid w:val="0"/>
              <w:jc w:val="center"/>
              <w:rPr>
                <w:sz w:val="24"/>
              </w:rPr>
            </w:pPr>
            <w:r>
              <w:rPr>
                <w:sz w:val="24"/>
              </w:rPr>
              <w:t>decision_reason</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83A033A">
            <w:pPr>
              <w:snapToGrid w:val="0"/>
              <w:jc w:val="center"/>
              <w:rPr>
                <w:sz w:val="24"/>
              </w:rPr>
            </w:pPr>
            <w:r>
              <w:rPr>
                <w:sz w:val="24"/>
              </w:rPr>
              <w:t>TEXT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992EE84">
            <w:pPr>
              <w:snapToGrid w:val="0"/>
              <w:jc w:val="center"/>
              <w:rPr>
                <w:sz w:val="24"/>
              </w:rPr>
            </w:pPr>
            <w:r>
              <w:rPr>
                <w:sz w:val="24"/>
              </w:rPr>
              <w:t>-</w:t>
            </w:r>
          </w:p>
        </w:tc>
        <w:tc>
          <w:tcPr>
            <w:tcW w:w="4210" w:type="dxa"/>
            <w:tcBorders>
              <w:top w:val="nil"/>
              <w:left w:val="nil"/>
              <w:bottom w:val="nil"/>
              <w:right w:val="nil"/>
            </w:tcBorders>
            <w:shd w:val="clear" w:color="auto" w:fill="FFFFFF"/>
            <w:tcMar>
              <w:top w:w="120" w:type="dxa"/>
              <w:left w:w="192" w:type="dxa"/>
              <w:bottom w:w="120" w:type="dxa"/>
              <w:right w:w="-1" w:type="dxa"/>
            </w:tcMar>
            <w:vAlign w:val="center"/>
          </w:tcPr>
          <w:p w14:paraId="4032B620">
            <w:pPr>
              <w:snapToGrid w:val="0"/>
              <w:jc w:val="center"/>
              <w:rPr>
                <w:sz w:val="24"/>
              </w:rPr>
            </w:pPr>
            <w:r>
              <w:rPr>
                <w:sz w:val="24"/>
              </w:rPr>
              <w:t>AI返回的自然语言决策理由</w:t>
            </w:r>
          </w:p>
        </w:tc>
      </w:tr>
      <w:tr w14:paraId="62E35588">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2CDEE3D0">
            <w:pPr>
              <w:snapToGrid w:val="0"/>
              <w:jc w:val="center"/>
              <w:rPr>
                <w:sz w:val="24"/>
              </w:rPr>
            </w:pPr>
            <w:r>
              <w:rPr>
                <w:sz w:val="24"/>
              </w:rPr>
              <w:t>executed_action</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DA18FC5">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0EBE3BF">
            <w:pPr>
              <w:snapToGrid w:val="0"/>
              <w:jc w:val="center"/>
              <w:rPr>
                <w:sz w:val="24"/>
              </w:rPr>
            </w:pPr>
            <w:r>
              <w:rPr>
                <w:sz w:val="24"/>
              </w:rPr>
              <w:t>255</w:t>
            </w:r>
          </w:p>
        </w:tc>
        <w:tc>
          <w:tcPr>
            <w:tcW w:w="4210" w:type="dxa"/>
            <w:tcBorders>
              <w:top w:val="nil"/>
              <w:left w:val="nil"/>
              <w:bottom w:val="nil"/>
              <w:right w:val="nil"/>
            </w:tcBorders>
            <w:shd w:val="clear" w:color="auto" w:fill="FFFFFF"/>
            <w:tcMar>
              <w:top w:w="120" w:type="dxa"/>
              <w:left w:w="192" w:type="dxa"/>
              <w:bottom w:w="120" w:type="dxa"/>
              <w:right w:w="-1" w:type="dxa"/>
            </w:tcMar>
            <w:vAlign w:val="center"/>
          </w:tcPr>
          <w:p w14:paraId="77BC1437">
            <w:pPr>
              <w:snapToGrid w:val="0"/>
              <w:jc w:val="center"/>
              <w:rPr>
                <w:sz w:val="24"/>
              </w:rPr>
            </w:pPr>
            <w:r>
              <w:rPr>
                <w:sz w:val="24"/>
              </w:rPr>
              <w:t>实际执行的操作指令</w:t>
            </w:r>
          </w:p>
        </w:tc>
      </w:tr>
      <w:tr w14:paraId="4A0C591E">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F4C67CB">
            <w:pPr>
              <w:snapToGrid w:val="0"/>
              <w:jc w:val="center"/>
              <w:rPr>
                <w:sz w:val="24"/>
              </w:rPr>
            </w:pPr>
            <w:r>
              <w:rPr>
                <w:sz w:val="24"/>
              </w:rPr>
              <w:t>asset_value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00980EA">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21E385A">
            <w:pPr>
              <w:snapToGrid w:val="0"/>
              <w:jc w:val="center"/>
              <w:rPr>
                <w:sz w:val="24"/>
              </w:rPr>
            </w:pPr>
            <w:r>
              <w:rPr>
                <w:sz w:val="24"/>
              </w:rPr>
              <w:t>18,4</w:t>
            </w:r>
          </w:p>
        </w:tc>
        <w:tc>
          <w:tcPr>
            <w:tcW w:w="4210" w:type="dxa"/>
            <w:tcBorders>
              <w:top w:val="nil"/>
              <w:left w:val="nil"/>
              <w:bottom w:val="nil"/>
              <w:right w:val="nil"/>
            </w:tcBorders>
            <w:shd w:val="clear" w:color="auto" w:fill="FFFFFF"/>
            <w:tcMar>
              <w:top w:w="120" w:type="dxa"/>
              <w:left w:w="192" w:type="dxa"/>
              <w:bottom w:w="120" w:type="dxa"/>
              <w:right w:w="-1" w:type="dxa"/>
            </w:tcMar>
            <w:vAlign w:val="center"/>
          </w:tcPr>
          <w:p w14:paraId="1924A732">
            <w:pPr>
              <w:snapToGrid w:val="0"/>
              <w:jc w:val="center"/>
              <w:rPr>
                <w:sz w:val="24"/>
              </w:rPr>
            </w:pPr>
            <w:r>
              <w:rPr>
                <w:sz w:val="24"/>
              </w:rPr>
              <w:t>决策时的总资产评估值</w:t>
            </w:r>
          </w:p>
        </w:tc>
      </w:tr>
      <w:tr w14:paraId="337587FA">
        <w:tblPrEx>
          <w:tblCellMar>
            <w:top w:w="15" w:type="dxa"/>
            <w:left w:w="15" w:type="dxa"/>
            <w:bottom w:w="15" w:type="dxa"/>
            <w:right w:w="15" w:type="dxa"/>
          </w:tblCellMar>
        </w:tblPrEx>
        <w:trPr>
          <w:jc w:val="center"/>
        </w:trPr>
        <w:tc>
          <w:tcPr>
            <w:tcW w:w="1797"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4D6AC452">
            <w:pPr>
              <w:snapToGrid w:val="0"/>
              <w:jc w:val="center"/>
              <w:rPr>
                <w:sz w:val="24"/>
              </w:rPr>
            </w:pPr>
            <w:r>
              <w:rPr>
                <w:sz w:val="24"/>
              </w:rPr>
              <w:t>created_at</w:t>
            </w:r>
          </w:p>
        </w:tc>
        <w:tc>
          <w:tcPr>
            <w:tcW w:w="1798"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FD1FEAF">
            <w:pPr>
              <w:snapToGrid w:val="0"/>
              <w:jc w:val="center"/>
              <w:rPr>
                <w:sz w:val="24"/>
              </w:rPr>
            </w:pPr>
            <w:r>
              <w:rPr>
                <w:sz w:val="24"/>
              </w:rPr>
              <w:t>TIMESTAMP</w:t>
            </w:r>
          </w:p>
        </w:tc>
        <w:tc>
          <w:tcPr>
            <w:tcW w:w="887"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7B49F72C">
            <w:pPr>
              <w:snapToGrid w:val="0"/>
              <w:jc w:val="center"/>
              <w:rPr>
                <w:sz w:val="24"/>
              </w:rPr>
            </w:pPr>
            <w:r>
              <w:rPr>
                <w:sz w:val="24"/>
              </w:rPr>
              <w:t>-</w:t>
            </w:r>
          </w:p>
        </w:tc>
        <w:tc>
          <w:tcPr>
            <w:tcW w:w="4210"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56E811DA">
            <w:pPr>
              <w:snapToGrid w:val="0"/>
              <w:jc w:val="center"/>
              <w:rPr>
                <w:sz w:val="24"/>
              </w:rPr>
            </w:pPr>
            <w:r>
              <w:rPr>
                <w:sz w:val="24"/>
              </w:rPr>
              <w:t>日志生成时间</w:t>
            </w:r>
          </w:p>
        </w:tc>
      </w:tr>
    </w:tbl>
    <w:p w14:paraId="3F3A3A22">
      <w:pPr>
        <w:spacing w:line="400" w:lineRule="exact"/>
        <w:rPr>
          <w:sz w:val="24"/>
        </w:rPr>
      </w:pPr>
    </w:p>
    <w:p w14:paraId="55C9487B">
      <w:pPr>
        <w:spacing w:line="400" w:lineRule="exact"/>
        <w:outlineLvl w:val="2"/>
        <w:rPr>
          <w:sz w:val="24"/>
        </w:rPr>
      </w:pPr>
      <w:bookmarkStart w:id="38" w:name="_Toc4847"/>
      <w:r>
        <w:rPr>
          <w:rFonts w:hint="eastAsia" w:ascii="黑体" w:hAnsi="黑体" w:eastAsia="黑体" w:cs="黑体"/>
          <w:sz w:val="28"/>
          <w:szCs w:val="28"/>
        </w:rPr>
        <w:t>4.4.3 斗兽场相关表</w:t>
      </w:r>
      <w:bookmarkEnd w:id="38"/>
    </w:p>
    <w:p w14:paraId="10A8229A">
      <w:pPr>
        <w:jc w:val="left"/>
      </w:pPr>
    </w:p>
    <w:p w14:paraId="43A92706">
      <w:pPr>
        <w:jc w:val="center"/>
      </w:pPr>
      <w:r>
        <w:rPr>
          <w:rFonts w:hint="eastAsia"/>
        </w:rPr>
        <w:t>表4.1</w:t>
      </w:r>
      <w:r>
        <w:rPr>
          <w:rFonts w:hint="eastAsia"/>
          <w:lang w:val="en-US" w:eastAsia="zh-CN"/>
        </w:rPr>
        <w:t>5</w:t>
      </w:r>
      <w:r>
        <w:rPr>
          <w:rFonts w:hint="eastAsia"/>
        </w:rPr>
        <w:t xml:space="preserve"> arena_config</w:t>
      </w:r>
    </w:p>
    <w:tbl>
      <w:tblPr>
        <w:tblStyle w:val="23"/>
        <w:tblW w:w="8692" w:type="dxa"/>
        <w:jc w:val="center"/>
        <w:shd w:val="clear" w:color="auto" w:fill="FFFFFF"/>
        <w:tblLayout w:type="autofit"/>
        <w:tblCellMar>
          <w:top w:w="15" w:type="dxa"/>
          <w:left w:w="15" w:type="dxa"/>
          <w:bottom w:w="15" w:type="dxa"/>
          <w:right w:w="15" w:type="dxa"/>
        </w:tblCellMar>
      </w:tblPr>
      <w:tblGrid>
        <w:gridCol w:w="1631"/>
        <w:gridCol w:w="1796"/>
        <w:gridCol w:w="885"/>
        <w:gridCol w:w="4380"/>
      </w:tblGrid>
      <w:tr w14:paraId="6C38A695">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551D16AE">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0A8AD3C2">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5693A1FE">
            <w:pPr>
              <w:snapToGrid w:val="0"/>
              <w:jc w:val="center"/>
              <w:rPr>
                <w:b/>
                <w:sz w:val="24"/>
              </w:rPr>
            </w:pPr>
            <w:r>
              <w:rPr>
                <w:b/>
                <w:sz w:val="24"/>
              </w:rPr>
              <w:t>长度</w:t>
            </w:r>
          </w:p>
        </w:tc>
        <w:tc>
          <w:tcPr>
            <w:tcW w:w="4380"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A89C90F">
            <w:pPr>
              <w:snapToGrid w:val="0"/>
              <w:jc w:val="center"/>
              <w:rPr>
                <w:b/>
                <w:sz w:val="24"/>
              </w:rPr>
            </w:pPr>
            <w:r>
              <w:rPr>
                <w:b/>
                <w:sz w:val="24"/>
              </w:rPr>
              <w:t>含义</w:t>
            </w:r>
          </w:p>
        </w:tc>
      </w:tr>
      <w:tr w14:paraId="6FD1A80F">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44352C62">
            <w:pPr>
              <w:snapToGrid w:val="0"/>
              <w:jc w:val="center"/>
              <w:rPr>
                <w:sz w:val="24"/>
              </w:rPr>
            </w:pPr>
            <w:r>
              <w:rPr>
                <w:sz w:val="24"/>
              </w:rPr>
              <w:t>config_id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69B54790">
            <w:pPr>
              <w:snapToGrid w:val="0"/>
              <w:jc w:val="center"/>
              <w:rPr>
                <w:sz w:val="24"/>
              </w:rPr>
            </w:pPr>
            <w:r>
              <w:rPr>
                <w:sz w:val="24"/>
              </w:rPr>
              <w:t>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7D2B00C5">
            <w:pPr>
              <w:snapToGrid w:val="0"/>
              <w:jc w:val="center"/>
              <w:rPr>
                <w:sz w:val="24"/>
              </w:rPr>
            </w:pPr>
            <w:r>
              <w:rPr>
                <w:sz w:val="24"/>
              </w:rPr>
              <w:t>11</w:t>
            </w:r>
          </w:p>
        </w:tc>
        <w:tc>
          <w:tcPr>
            <w:tcW w:w="4380"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024686A7">
            <w:pPr>
              <w:snapToGrid w:val="0"/>
              <w:jc w:val="center"/>
              <w:rPr>
                <w:sz w:val="24"/>
              </w:rPr>
            </w:pPr>
            <w:r>
              <w:rPr>
                <w:sz w:val="24"/>
              </w:rPr>
              <w:t>配置唯一ID，主键</w:t>
            </w:r>
          </w:p>
        </w:tc>
      </w:tr>
      <w:tr w14:paraId="66CA55BE">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10D3325">
            <w:pPr>
              <w:snapToGrid w:val="0"/>
              <w:jc w:val="center"/>
              <w:rPr>
                <w:sz w:val="24"/>
              </w:rPr>
            </w:pPr>
            <w:r>
              <w:rPr>
                <w:sz w:val="24"/>
              </w:rPr>
              <w:t>trader1_model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E50A5DF">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1A6D50D">
            <w:pPr>
              <w:snapToGrid w:val="0"/>
              <w:jc w:val="center"/>
              <w:rPr>
                <w:sz w:val="24"/>
              </w:rPr>
            </w:pPr>
            <w:r>
              <w:rPr>
                <w:sz w:val="24"/>
              </w:rPr>
              <w:t>50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6DF26674">
            <w:pPr>
              <w:snapToGrid w:val="0"/>
              <w:jc w:val="center"/>
              <w:rPr>
                <w:sz w:val="24"/>
              </w:rPr>
            </w:pPr>
            <w:r>
              <w:rPr>
                <w:sz w:val="24"/>
              </w:rPr>
              <w:t>交易员1的大模型代码</w:t>
            </w:r>
          </w:p>
        </w:tc>
      </w:tr>
      <w:tr w14:paraId="4463991D">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73DDF6AB">
            <w:pPr>
              <w:snapToGrid w:val="0"/>
              <w:jc w:val="center"/>
              <w:rPr>
                <w:sz w:val="24"/>
              </w:rPr>
            </w:pPr>
            <w:r>
              <w:rPr>
                <w:sz w:val="24"/>
              </w:rPr>
              <w:t>trader1_risk</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80C54B3">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522B807">
            <w:pPr>
              <w:snapToGrid w:val="0"/>
              <w:jc w:val="center"/>
              <w:rPr>
                <w:sz w:val="24"/>
              </w:rPr>
            </w:pPr>
            <w:r>
              <w:rPr>
                <w:sz w:val="24"/>
              </w:rPr>
              <w:t>20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6191136E">
            <w:pPr>
              <w:snapToGrid w:val="0"/>
              <w:jc w:val="center"/>
              <w:rPr>
                <w:sz w:val="24"/>
              </w:rPr>
            </w:pPr>
            <w:r>
              <w:rPr>
                <w:sz w:val="24"/>
              </w:rPr>
              <w:t>交易员1的风险偏好设定</w:t>
            </w:r>
          </w:p>
        </w:tc>
      </w:tr>
      <w:tr w14:paraId="53D0F0E5">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6EF916E">
            <w:pPr>
              <w:snapToGrid w:val="0"/>
              <w:jc w:val="center"/>
              <w:rPr>
                <w:sz w:val="24"/>
              </w:rPr>
            </w:pPr>
            <w:r>
              <w:rPr>
                <w:sz w:val="24"/>
              </w:rPr>
              <w:t>trader2_model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847D429">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6379EA8">
            <w:pPr>
              <w:snapToGrid w:val="0"/>
              <w:jc w:val="center"/>
              <w:rPr>
                <w:sz w:val="24"/>
              </w:rPr>
            </w:pPr>
            <w:r>
              <w:rPr>
                <w:sz w:val="24"/>
              </w:rPr>
              <w:t>50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63182B60">
            <w:pPr>
              <w:snapToGrid w:val="0"/>
              <w:jc w:val="center"/>
              <w:rPr>
                <w:sz w:val="24"/>
              </w:rPr>
            </w:pPr>
            <w:r>
              <w:rPr>
                <w:sz w:val="24"/>
              </w:rPr>
              <w:t>交易员2的大模型代码</w:t>
            </w:r>
          </w:p>
        </w:tc>
      </w:tr>
      <w:tr w14:paraId="79580366">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349829E">
            <w:pPr>
              <w:snapToGrid w:val="0"/>
              <w:jc w:val="center"/>
              <w:rPr>
                <w:sz w:val="24"/>
              </w:rPr>
            </w:pPr>
            <w:r>
              <w:rPr>
                <w:sz w:val="24"/>
              </w:rPr>
              <w:t>trader2_risk</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2BE5149">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F83D2C9">
            <w:pPr>
              <w:snapToGrid w:val="0"/>
              <w:jc w:val="center"/>
              <w:rPr>
                <w:sz w:val="24"/>
              </w:rPr>
            </w:pPr>
            <w:r>
              <w:rPr>
                <w:sz w:val="24"/>
              </w:rPr>
              <w:t>20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3FE48637">
            <w:pPr>
              <w:snapToGrid w:val="0"/>
              <w:jc w:val="center"/>
              <w:rPr>
                <w:sz w:val="24"/>
              </w:rPr>
            </w:pPr>
            <w:r>
              <w:rPr>
                <w:sz w:val="24"/>
              </w:rPr>
              <w:t>交易员2的风险偏好设定</w:t>
            </w:r>
          </w:p>
        </w:tc>
      </w:tr>
      <w:tr w14:paraId="13C896AD">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6FFA456">
            <w:pPr>
              <w:snapToGrid w:val="0"/>
              <w:jc w:val="center"/>
              <w:rPr>
                <w:sz w:val="24"/>
              </w:rPr>
            </w:pPr>
            <w:r>
              <w:rPr>
                <w:sz w:val="24"/>
              </w:rPr>
              <w:t>trader3_model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8AF953A">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CBE67CC">
            <w:pPr>
              <w:snapToGrid w:val="0"/>
              <w:jc w:val="center"/>
              <w:rPr>
                <w:sz w:val="24"/>
              </w:rPr>
            </w:pPr>
            <w:r>
              <w:rPr>
                <w:sz w:val="24"/>
              </w:rPr>
              <w:t>50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771AFC7D">
            <w:pPr>
              <w:snapToGrid w:val="0"/>
              <w:jc w:val="center"/>
              <w:rPr>
                <w:sz w:val="24"/>
              </w:rPr>
            </w:pPr>
            <w:r>
              <w:rPr>
                <w:sz w:val="24"/>
              </w:rPr>
              <w:t>交易员3的大模型代码</w:t>
            </w:r>
          </w:p>
        </w:tc>
      </w:tr>
      <w:tr w14:paraId="36A72209">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1E1F46A">
            <w:pPr>
              <w:snapToGrid w:val="0"/>
              <w:jc w:val="center"/>
              <w:rPr>
                <w:sz w:val="24"/>
              </w:rPr>
            </w:pPr>
            <w:r>
              <w:rPr>
                <w:sz w:val="24"/>
              </w:rPr>
              <w:t>trader3_risk</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8BB51D3">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03A7E47">
            <w:pPr>
              <w:snapToGrid w:val="0"/>
              <w:jc w:val="center"/>
              <w:rPr>
                <w:sz w:val="24"/>
              </w:rPr>
            </w:pPr>
            <w:r>
              <w:rPr>
                <w:sz w:val="24"/>
              </w:rPr>
              <w:t>20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7F822DF6">
            <w:pPr>
              <w:snapToGrid w:val="0"/>
              <w:jc w:val="center"/>
              <w:rPr>
                <w:sz w:val="24"/>
              </w:rPr>
            </w:pPr>
            <w:r>
              <w:rPr>
                <w:sz w:val="24"/>
              </w:rPr>
              <w:t>交易员3的风险偏好设定</w:t>
            </w:r>
          </w:p>
        </w:tc>
      </w:tr>
      <w:tr w14:paraId="04E3676C">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53B1E49">
            <w:pPr>
              <w:snapToGrid w:val="0"/>
              <w:jc w:val="center"/>
              <w:rPr>
                <w:sz w:val="24"/>
              </w:rPr>
            </w:pPr>
            <w:r>
              <w:rPr>
                <w:sz w:val="24"/>
              </w:rPr>
              <w:t>total_rounds</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23CDBBA">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4BFF258">
            <w:pPr>
              <w:snapToGrid w:val="0"/>
              <w:jc w:val="center"/>
              <w:rPr>
                <w:sz w:val="24"/>
              </w:rPr>
            </w:pPr>
            <w:r>
              <w:rPr>
                <w:sz w:val="24"/>
              </w:rPr>
              <w:t>11</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584F033D">
            <w:pPr>
              <w:snapToGrid w:val="0"/>
              <w:jc w:val="center"/>
              <w:rPr>
                <w:sz w:val="24"/>
              </w:rPr>
            </w:pPr>
            <w:r>
              <w:rPr>
                <w:sz w:val="24"/>
              </w:rPr>
              <w:t>斗兽场总运行轮数</w:t>
            </w:r>
          </w:p>
        </w:tc>
      </w:tr>
      <w:tr w14:paraId="54235FF1">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3C71269">
            <w:pPr>
              <w:snapToGrid w:val="0"/>
              <w:jc w:val="center"/>
              <w:rPr>
                <w:sz w:val="24"/>
              </w:rPr>
            </w:pPr>
            <w:r>
              <w:rPr>
                <w:sz w:val="24"/>
              </w:rPr>
              <w:t>init_t1</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7B055EF">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D3E0B4D">
            <w:pPr>
              <w:snapToGrid w:val="0"/>
              <w:jc w:val="center"/>
              <w:rPr>
                <w:sz w:val="24"/>
              </w:rPr>
            </w:pPr>
            <w:r>
              <w:rPr>
                <w:sz w:val="24"/>
              </w:rPr>
              <w:t>11</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22B53E7C">
            <w:pPr>
              <w:snapToGrid w:val="0"/>
              <w:jc w:val="center"/>
              <w:rPr>
                <w:sz w:val="24"/>
              </w:rPr>
            </w:pPr>
            <w:r>
              <w:rPr>
                <w:sz w:val="24"/>
              </w:rPr>
              <w:t>代币1的初始分配数量</w:t>
            </w:r>
          </w:p>
        </w:tc>
      </w:tr>
      <w:tr w14:paraId="6FFFE48A">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B8BF9CF">
            <w:pPr>
              <w:snapToGrid w:val="0"/>
              <w:jc w:val="center"/>
              <w:rPr>
                <w:sz w:val="24"/>
              </w:rPr>
            </w:pPr>
            <w:r>
              <w:rPr>
                <w:sz w:val="24"/>
              </w:rPr>
              <w:t>init_t2</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0CEF50C">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043E585">
            <w:pPr>
              <w:snapToGrid w:val="0"/>
              <w:jc w:val="center"/>
              <w:rPr>
                <w:sz w:val="24"/>
              </w:rPr>
            </w:pPr>
            <w:r>
              <w:rPr>
                <w:sz w:val="24"/>
              </w:rPr>
              <w:t>11</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200EE728">
            <w:pPr>
              <w:snapToGrid w:val="0"/>
              <w:jc w:val="center"/>
              <w:rPr>
                <w:sz w:val="24"/>
              </w:rPr>
            </w:pPr>
            <w:r>
              <w:rPr>
                <w:sz w:val="24"/>
              </w:rPr>
              <w:t>代币2的初始分配数量</w:t>
            </w:r>
          </w:p>
        </w:tc>
      </w:tr>
      <w:tr w14:paraId="72DFAE9C">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07B8674">
            <w:pPr>
              <w:snapToGrid w:val="0"/>
              <w:jc w:val="center"/>
              <w:rPr>
                <w:sz w:val="24"/>
              </w:rPr>
            </w:pPr>
            <w:r>
              <w:rPr>
                <w:sz w:val="24"/>
              </w:rPr>
              <w:t>init_t3</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133F8B0">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171B7FC">
            <w:pPr>
              <w:snapToGrid w:val="0"/>
              <w:jc w:val="center"/>
              <w:rPr>
                <w:sz w:val="24"/>
              </w:rPr>
            </w:pPr>
            <w:r>
              <w:rPr>
                <w:sz w:val="24"/>
              </w:rPr>
              <w:t>11</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62610872">
            <w:pPr>
              <w:snapToGrid w:val="0"/>
              <w:jc w:val="center"/>
              <w:rPr>
                <w:sz w:val="24"/>
              </w:rPr>
            </w:pPr>
            <w:r>
              <w:rPr>
                <w:sz w:val="24"/>
              </w:rPr>
              <w:t>代币3的初始分配数量</w:t>
            </w:r>
          </w:p>
        </w:tc>
      </w:tr>
      <w:tr w14:paraId="188DDE74">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64F84158">
            <w:pPr>
              <w:snapToGrid w:val="0"/>
              <w:jc w:val="center"/>
              <w:rPr>
                <w:sz w:val="24"/>
              </w:rPr>
            </w:pPr>
            <w:r>
              <w:rPr>
                <w:sz w:val="24"/>
              </w:rPr>
              <w:t>status</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5DB2FC5">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D9F8CC5">
            <w:pPr>
              <w:snapToGrid w:val="0"/>
              <w:jc w:val="center"/>
              <w:rPr>
                <w:sz w:val="24"/>
              </w:rPr>
            </w:pPr>
            <w:r>
              <w:rPr>
                <w:sz w:val="24"/>
              </w:rPr>
              <w:t>20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6377E7C9">
            <w:pPr>
              <w:snapToGrid w:val="0"/>
              <w:jc w:val="center"/>
              <w:rPr>
                <w:sz w:val="24"/>
              </w:rPr>
            </w:pPr>
            <w:r>
              <w:rPr>
                <w:sz w:val="24"/>
              </w:rPr>
              <w:t>运行状态（未开始、进行中、已结束）</w:t>
            </w:r>
          </w:p>
        </w:tc>
      </w:tr>
      <w:tr w14:paraId="2D380371">
        <w:tblPrEx>
          <w:shd w:val="clear" w:color="auto" w:fill="FFFFFF"/>
          <w:tblCellMar>
            <w:top w:w="15" w:type="dxa"/>
            <w:left w:w="15" w:type="dxa"/>
            <w:bottom w:w="15" w:type="dxa"/>
            <w:right w:w="15" w:type="dxa"/>
          </w:tblCellMar>
        </w:tblPrEx>
        <w:trPr>
          <w:jc w:val="center"/>
        </w:trPr>
        <w:tc>
          <w:tcPr>
            <w:tcW w:w="1631"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26D8EA72">
            <w:pPr>
              <w:snapToGrid w:val="0"/>
              <w:jc w:val="center"/>
              <w:rPr>
                <w:sz w:val="24"/>
              </w:rPr>
            </w:pPr>
            <w:r>
              <w:rPr>
                <w:sz w:val="24"/>
              </w:rPr>
              <w:t>created_at</w:t>
            </w:r>
          </w:p>
        </w:tc>
        <w:tc>
          <w:tcPr>
            <w:tcW w:w="1796"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330A9A39">
            <w:pPr>
              <w:snapToGrid w:val="0"/>
              <w:jc w:val="center"/>
              <w:rPr>
                <w:sz w:val="24"/>
              </w:rPr>
            </w:pPr>
            <w:r>
              <w:rPr>
                <w:sz w:val="24"/>
              </w:rPr>
              <w:t>TIMESTAMP</w:t>
            </w:r>
          </w:p>
        </w:tc>
        <w:tc>
          <w:tcPr>
            <w:tcW w:w="885"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6B7B59D8">
            <w:pPr>
              <w:snapToGrid w:val="0"/>
              <w:jc w:val="center"/>
              <w:rPr>
                <w:sz w:val="24"/>
              </w:rPr>
            </w:pPr>
            <w:r>
              <w:rPr>
                <w:sz w:val="24"/>
              </w:rPr>
              <w:t>-</w:t>
            </w:r>
          </w:p>
        </w:tc>
        <w:tc>
          <w:tcPr>
            <w:tcW w:w="4380"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63E077B7">
            <w:pPr>
              <w:snapToGrid w:val="0"/>
              <w:jc w:val="center"/>
              <w:rPr>
                <w:sz w:val="24"/>
              </w:rPr>
            </w:pPr>
            <w:r>
              <w:rPr>
                <w:sz w:val="24"/>
              </w:rPr>
              <w:t>配置创建时间</w:t>
            </w:r>
          </w:p>
        </w:tc>
      </w:tr>
    </w:tbl>
    <w:p w14:paraId="4EA4C330">
      <w:pPr>
        <w:rPr>
          <w:rFonts w:hint="eastAsia"/>
        </w:rPr>
      </w:pPr>
    </w:p>
    <w:p w14:paraId="2A9DCBB7">
      <w:pPr>
        <w:jc w:val="center"/>
      </w:pPr>
      <w:r>
        <w:rPr>
          <w:rFonts w:hint="eastAsia"/>
        </w:rPr>
        <w:t>表4.1</w:t>
      </w:r>
      <w:r>
        <w:rPr>
          <w:rFonts w:hint="eastAsia"/>
          <w:lang w:val="en-US" w:eastAsia="zh-CN"/>
        </w:rPr>
        <w:t>6</w:t>
      </w:r>
      <w:r>
        <w:rPr>
          <w:rFonts w:hint="eastAsia"/>
        </w:rPr>
        <w:t xml:space="preserve"> arena_round</w:t>
      </w:r>
    </w:p>
    <w:tbl>
      <w:tblPr>
        <w:tblStyle w:val="23"/>
        <w:tblW w:w="8722" w:type="dxa"/>
        <w:jc w:val="center"/>
        <w:shd w:val="clear" w:color="auto" w:fill="FFFFFF"/>
        <w:tblLayout w:type="autofit"/>
        <w:tblCellMar>
          <w:top w:w="15" w:type="dxa"/>
          <w:left w:w="15" w:type="dxa"/>
          <w:bottom w:w="15" w:type="dxa"/>
          <w:right w:w="15" w:type="dxa"/>
        </w:tblCellMar>
      </w:tblPr>
      <w:tblGrid>
        <w:gridCol w:w="1656"/>
        <w:gridCol w:w="1790"/>
        <w:gridCol w:w="881"/>
        <w:gridCol w:w="4395"/>
      </w:tblGrid>
      <w:tr w14:paraId="5EFBF693">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30CDB785">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E364B2B">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B6F1666">
            <w:pPr>
              <w:snapToGrid w:val="0"/>
              <w:jc w:val="center"/>
              <w:rPr>
                <w:b/>
                <w:sz w:val="24"/>
              </w:rPr>
            </w:pPr>
            <w:r>
              <w:rPr>
                <w:b/>
                <w:sz w:val="24"/>
              </w:rPr>
              <w:t>长度</w:t>
            </w:r>
          </w:p>
        </w:tc>
        <w:tc>
          <w:tcPr>
            <w:tcW w:w="4395"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7AA9B5D2">
            <w:pPr>
              <w:snapToGrid w:val="0"/>
              <w:jc w:val="center"/>
              <w:rPr>
                <w:b/>
                <w:sz w:val="24"/>
              </w:rPr>
            </w:pPr>
            <w:r>
              <w:rPr>
                <w:b/>
                <w:sz w:val="24"/>
              </w:rPr>
              <w:t>含义</w:t>
            </w:r>
          </w:p>
        </w:tc>
      </w:tr>
      <w:tr w14:paraId="68C079CB">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3E0C2319">
            <w:pPr>
              <w:snapToGrid w:val="0"/>
              <w:jc w:val="center"/>
              <w:rPr>
                <w:sz w:val="24"/>
              </w:rPr>
            </w:pPr>
            <w:r>
              <w:rPr>
                <w:sz w:val="24"/>
              </w:rPr>
              <w:t>round_id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64329772">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28E2D127">
            <w:pPr>
              <w:snapToGrid w:val="0"/>
              <w:jc w:val="center"/>
              <w:rPr>
                <w:sz w:val="24"/>
              </w:rPr>
            </w:pPr>
            <w:r>
              <w:rPr>
                <w:sz w:val="24"/>
              </w:rPr>
              <w:t>20</w:t>
            </w:r>
          </w:p>
        </w:tc>
        <w:tc>
          <w:tcPr>
            <w:tcW w:w="4395"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21848C9C">
            <w:pPr>
              <w:snapToGrid w:val="0"/>
              <w:jc w:val="center"/>
              <w:rPr>
                <w:sz w:val="24"/>
              </w:rPr>
            </w:pPr>
            <w:r>
              <w:rPr>
                <w:sz w:val="24"/>
              </w:rPr>
              <w:t>轮次唯一ID，主键</w:t>
            </w:r>
          </w:p>
        </w:tc>
      </w:tr>
      <w:tr w14:paraId="441BA426">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E1A182A">
            <w:pPr>
              <w:snapToGrid w:val="0"/>
              <w:jc w:val="center"/>
              <w:rPr>
                <w:sz w:val="24"/>
              </w:rPr>
            </w:pPr>
            <w:r>
              <w:rPr>
                <w:sz w:val="24"/>
              </w:rPr>
              <w:t>config_id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0EC72CD">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305DB9B">
            <w:pPr>
              <w:snapToGrid w:val="0"/>
              <w:jc w:val="center"/>
              <w:rPr>
                <w:sz w:val="24"/>
              </w:rPr>
            </w:pPr>
            <w:r>
              <w:rPr>
                <w:sz w:val="24"/>
              </w:rPr>
              <w:t>11</w:t>
            </w:r>
          </w:p>
        </w:tc>
        <w:tc>
          <w:tcPr>
            <w:tcW w:w="4395" w:type="dxa"/>
            <w:tcBorders>
              <w:top w:val="nil"/>
              <w:left w:val="nil"/>
              <w:bottom w:val="nil"/>
              <w:right w:val="nil"/>
            </w:tcBorders>
            <w:shd w:val="clear" w:color="auto" w:fill="FFFFFF"/>
            <w:tcMar>
              <w:top w:w="120" w:type="dxa"/>
              <w:left w:w="192" w:type="dxa"/>
              <w:bottom w:w="120" w:type="dxa"/>
              <w:right w:w="-1" w:type="dxa"/>
            </w:tcMar>
            <w:vAlign w:val="center"/>
          </w:tcPr>
          <w:p w14:paraId="2CA4EB0B">
            <w:pPr>
              <w:snapToGrid w:val="0"/>
              <w:jc w:val="center"/>
              <w:rPr>
                <w:sz w:val="24"/>
              </w:rPr>
            </w:pPr>
            <w:r>
              <w:rPr>
                <w:sz w:val="24"/>
              </w:rPr>
              <w:t>配置ID，外键关联 arena_config</w:t>
            </w:r>
          </w:p>
        </w:tc>
      </w:tr>
      <w:tr w14:paraId="640BDC3C">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4D8D447">
            <w:pPr>
              <w:snapToGrid w:val="0"/>
              <w:jc w:val="center"/>
              <w:rPr>
                <w:sz w:val="24"/>
              </w:rPr>
            </w:pPr>
            <w:r>
              <w:rPr>
                <w:sz w:val="24"/>
              </w:rPr>
              <w:t>round_number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588F496">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C090B42">
            <w:pPr>
              <w:snapToGrid w:val="0"/>
              <w:jc w:val="center"/>
              <w:rPr>
                <w:sz w:val="24"/>
              </w:rPr>
            </w:pPr>
            <w:r>
              <w:rPr>
                <w:sz w:val="24"/>
              </w:rPr>
              <w:t>11</w:t>
            </w:r>
          </w:p>
        </w:tc>
        <w:tc>
          <w:tcPr>
            <w:tcW w:w="4395" w:type="dxa"/>
            <w:tcBorders>
              <w:top w:val="nil"/>
              <w:left w:val="nil"/>
              <w:bottom w:val="nil"/>
              <w:right w:val="nil"/>
            </w:tcBorders>
            <w:shd w:val="clear" w:color="auto" w:fill="FFFFFF"/>
            <w:tcMar>
              <w:top w:w="120" w:type="dxa"/>
              <w:left w:w="192" w:type="dxa"/>
              <w:bottom w:w="120" w:type="dxa"/>
              <w:right w:w="-1" w:type="dxa"/>
            </w:tcMar>
            <w:vAlign w:val="center"/>
          </w:tcPr>
          <w:p w14:paraId="6A1557C7">
            <w:pPr>
              <w:snapToGrid w:val="0"/>
              <w:jc w:val="center"/>
              <w:rPr>
                <w:sz w:val="24"/>
              </w:rPr>
            </w:pPr>
            <w:r>
              <w:rPr>
                <w:sz w:val="24"/>
              </w:rPr>
              <w:t>当前轮次序号</w:t>
            </w:r>
          </w:p>
        </w:tc>
      </w:tr>
      <w:tr w14:paraId="326E87F9">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9F98FC7">
            <w:pPr>
              <w:snapToGrid w:val="0"/>
              <w:jc w:val="center"/>
              <w:rPr>
                <w:sz w:val="24"/>
              </w:rPr>
            </w:pPr>
            <w:r>
              <w:rPr>
                <w:sz w:val="24"/>
              </w:rPr>
              <w:t>trading_order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E7AA48F">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E4930A6">
            <w:pPr>
              <w:snapToGrid w:val="0"/>
              <w:jc w:val="center"/>
              <w:rPr>
                <w:sz w:val="24"/>
              </w:rPr>
            </w:pPr>
            <w:r>
              <w:rPr>
                <w:sz w:val="24"/>
              </w:rPr>
              <w:t>50</w:t>
            </w:r>
          </w:p>
        </w:tc>
        <w:tc>
          <w:tcPr>
            <w:tcW w:w="4395" w:type="dxa"/>
            <w:tcBorders>
              <w:top w:val="nil"/>
              <w:left w:val="nil"/>
              <w:bottom w:val="nil"/>
              <w:right w:val="nil"/>
            </w:tcBorders>
            <w:shd w:val="clear" w:color="auto" w:fill="FFFFFF"/>
            <w:tcMar>
              <w:top w:w="120" w:type="dxa"/>
              <w:left w:w="192" w:type="dxa"/>
              <w:bottom w:w="120" w:type="dxa"/>
              <w:right w:w="-1" w:type="dxa"/>
            </w:tcMar>
            <w:vAlign w:val="center"/>
          </w:tcPr>
          <w:p w14:paraId="2F9E11C6">
            <w:pPr>
              <w:snapToGrid w:val="0"/>
              <w:jc w:val="center"/>
              <w:rPr>
                <w:sz w:val="24"/>
              </w:rPr>
            </w:pPr>
            <w:r>
              <w:rPr>
                <w:sz w:val="24"/>
              </w:rPr>
              <w:t>三位AI在本轮的交易顺序（如 1,3,2）</w:t>
            </w:r>
          </w:p>
        </w:tc>
      </w:tr>
      <w:tr w14:paraId="7B41B302">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74F508EE">
            <w:pPr>
              <w:snapToGrid w:val="0"/>
              <w:jc w:val="center"/>
              <w:rPr>
                <w:sz w:val="24"/>
              </w:rPr>
            </w:pPr>
            <w:r>
              <w:rPr>
                <w:sz w:val="24"/>
              </w:rPr>
              <w:t>start_time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8F78DCE">
            <w:pPr>
              <w:snapToGrid w:val="0"/>
              <w:jc w:val="center"/>
              <w:rPr>
                <w:sz w:val="24"/>
              </w:rPr>
            </w:pPr>
            <w:r>
              <w:rPr>
                <w:sz w:val="24"/>
              </w:rPr>
              <w:t>TIMESTAMP</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C704523">
            <w:pPr>
              <w:snapToGrid w:val="0"/>
              <w:jc w:val="center"/>
              <w:rPr>
                <w:sz w:val="24"/>
              </w:rPr>
            </w:pPr>
            <w:r>
              <w:rPr>
                <w:sz w:val="24"/>
              </w:rPr>
              <w:t>-</w:t>
            </w:r>
          </w:p>
        </w:tc>
        <w:tc>
          <w:tcPr>
            <w:tcW w:w="4395" w:type="dxa"/>
            <w:tcBorders>
              <w:top w:val="nil"/>
              <w:left w:val="nil"/>
              <w:bottom w:val="nil"/>
              <w:right w:val="nil"/>
            </w:tcBorders>
            <w:shd w:val="clear" w:color="auto" w:fill="FFFFFF"/>
            <w:tcMar>
              <w:top w:w="120" w:type="dxa"/>
              <w:left w:w="192" w:type="dxa"/>
              <w:bottom w:w="120" w:type="dxa"/>
              <w:right w:w="-1" w:type="dxa"/>
            </w:tcMar>
            <w:vAlign w:val="center"/>
          </w:tcPr>
          <w:p w14:paraId="749BCD13">
            <w:pPr>
              <w:snapToGrid w:val="0"/>
              <w:jc w:val="center"/>
              <w:rPr>
                <w:sz w:val="24"/>
              </w:rPr>
            </w:pPr>
            <w:r>
              <w:rPr>
                <w:sz w:val="24"/>
              </w:rPr>
              <w:t>本轮开始时间</w:t>
            </w:r>
          </w:p>
        </w:tc>
      </w:tr>
      <w:tr w14:paraId="64DBD2D0">
        <w:tblPrEx>
          <w:shd w:val="clear" w:color="auto" w:fill="FFFFFF"/>
          <w:tblCellMar>
            <w:top w:w="15" w:type="dxa"/>
            <w:left w:w="15" w:type="dxa"/>
            <w:bottom w:w="15" w:type="dxa"/>
            <w:right w:w="15" w:type="dxa"/>
          </w:tblCellMar>
        </w:tblPrEx>
        <w:trPr>
          <w:jc w:val="center"/>
        </w:trPr>
        <w:tc>
          <w:tcPr>
            <w:tcW w:w="1656"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343F67D7">
            <w:pPr>
              <w:snapToGrid w:val="0"/>
              <w:jc w:val="center"/>
              <w:rPr>
                <w:sz w:val="24"/>
              </w:rPr>
            </w:pPr>
            <w:r>
              <w:rPr>
                <w:sz w:val="24"/>
              </w:rPr>
              <w:t>end_time</w:t>
            </w:r>
          </w:p>
        </w:tc>
        <w:tc>
          <w:tcPr>
            <w:tcW w:w="1790"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75F013BA">
            <w:pPr>
              <w:snapToGrid w:val="0"/>
              <w:jc w:val="center"/>
              <w:rPr>
                <w:sz w:val="24"/>
              </w:rPr>
            </w:pPr>
            <w:r>
              <w:rPr>
                <w:sz w:val="24"/>
              </w:rPr>
              <w:t>TIMESTAMP</w:t>
            </w:r>
          </w:p>
        </w:tc>
        <w:tc>
          <w:tcPr>
            <w:tcW w:w="881"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55D06488">
            <w:pPr>
              <w:snapToGrid w:val="0"/>
              <w:jc w:val="center"/>
              <w:rPr>
                <w:sz w:val="24"/>
              </w:rPr>
            </w:pPr>
            <w:r>
              <w:rPr>
                <w:sz w:val="24"/>
              </w:rPr>
              <w:t>-</w:t>
            </w:r>
          </w:p>
        </w:tc>
        <w:tc>
          <w:tcPr>
            <w:tcW w:w="4395"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1B2B7AF5">
            <w:pPr>
              <w:snapToGrid w:val="0"/>
              <w:jc w:val="center"/>
              <w:rPr>
                <w:sz w:val="24"/>
              </w:rPr>
            </w:pPr>
            <w:r>
              <w:rPr>
                <w:sz w:val="24"/>
              </w:rPr>
              <w:t>本轮结束时间</w:t>
            </w:r>
          </w:p>
        </w:tc>
      </w:tr>
    </w:tbl>
    <w:p w14:paraId="5AC05C75">
      <w:pPr>
        <w:spacing w:line="400" w:lineRule="exact"/>
        <w:rPr>
          <w:sz w:val="24"/>
        </w:rPr>
      </w:pPr>
    </w:p>
    <w:p w14:paraId="5A372ED9">
      <w:pPr>
        <w:jc w:val="center"/>
      </w:pPr>
      <w:r>
        <w:rPr>
          <w:rFonts w:hint="eastAsia"/>
        </w:rPr>
        <w:t>表4.1</w:t>
      </w:r>
      <w:r>
        <w:rPr>
          <w:rFonts w:hint="eastAsia"/>
          <w:lang w:val="en-US" w:eastAsia="zh-CN"/>
        </w:rPr>
        <w:t>7</w:t>
      </w:r>
      <w:r>
        <w:rPr>
          <w:rFonts w:hint="eastAsia"/>
        </w:rPr>
        <w:t xml:space="preserve"> arena_ai_state</w:t>
      </w:r>
    </w:p>
    <w:tbl>
      <w:tblPr>
        <w:tblStyle w:val="23"/>
        <w:tblW w:w="8722" w:type="dxa"/>
        <w:jc w:val="center"/>
        <w:shd w:val="clear" w:color="auto" w:fill="FFFFFF"/>
        <w:tblLayout w:type="autofit"/>
        <w:tblCellMar>
          <w:top w:w="15" w:type="dxa"/>
          <w:left w:w="15" w:type="dxa"/>
          <w:bottom w:w="15" w:type="dxa"/>
          <w:right w:w="15" w:type="dxa"/>
        </w:tblCellMar>
      </w:tblPr>
      <w:tblGrid>
        <w:gridCol w:w="1874"/>
        <w:gridCol w:w="1710"/>
        <w:gridCol w:w="1002"/>
        <w:gridCol w:w="4136"/>
      </w:tblGrid>
      <w:tr w14:paraId="44597686">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5C31B241">
            <w:pPr>
              <w:snapToGrid w:val="0"/>
              <w:jc w:val="center"/>
              <w:rPr>
                <w:b/>
                <w:bCs/>
                <w:sz w:val="24"/>
              </w:rPr>
            </w:pPr>
            <w:r>
              <w:rPr>
                <w:b/>
                <w:bCs/>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313B316A">
            <w:pPr>
              <w:snapToGrid w:val="0"/>
              <w:jc w:val="center"/>
              <w:rPr>
                <w:b/>
                <w:bCs/>
                <w:sz w:val="24"/>
              </w:rPr>
            </w:pPr>
            <w:r>
              <w:rPr>
                <w:b/>
                <w:bCs/>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1F54330">
            <w:pPr>
              <w:snapToGrid w:val="0"/>
              <w:jc w:val="center"/>
              <w:rPr>
                <w:b/>
                <w:bCs/>
                <w:sz w:val="24"/>
              </w:rPr>
            </w:pPr>
            <w:r>
              <w:rPr>
                <w:b/>
                <w:bCs/>
                <w:sz w:val="24"/>
              </w:rPr>
              <w:t>长度</w:t>
            </w:r>
          </w:p>
        </w:tc>
        <w:tc>
          <w:tcPr>
            <w:tcW w:w="4136"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5CCFF359">
            <w:pPr>
              <w:snapToGrid w:val="0"/>
              <w:jc w:val="center"/>
              <w:rPr>
                <w:b/>
                <w:bCs/>
                <w:sz w:val="24"/>
              </w:rPr>
            </w:pPr>
            <w:r>
              <w:rPr>
                <w:b/>
                <w:bCs/>
                <w:sz w:val="24"/>
              </w:rPr>
              <w:t>含义</w:t>
            </w:r>
          </w:p>
        </w:tc>
      </w:tr>
      <w:tr w14:paraId="1C04F5B4">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120A829F">
            <w:pPr>
              <w:snapToGrid w:val="0"/>
              <w:jc w:val="center"/>
              <w:rPr>
                <w:sz w:val="24"/>
              </w:rPr>
            </w:pPr>
            <w:r>
              <w:rPr>
                <w:sz w:val="24"/>
              </w:rPr>
              <w:t>state_id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612AF564">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2990C6BE">
            <w:pPr>
              <w:snapToGrid w:val="0"/>
              <w:jc w:val="center"/>
              <w:rPr>
                <w:sz w:val="24"/>
              </w:rPr>
            </w:pPr>
            <w:r>
              <w:rPr>
                <w:sz w:val="24"/>
              </w:rPr>
              <w:t>20</w:t>
            </w:r>
          </w:p>
        </w:tc>
        <w:tc>
          <w:tcPr>
            <w:tcW w:w="4136"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357435BF">
            <w:pPr>
              <w:snapToGrid w:val="0"/>
              <w:jc w:val="center"/>
              <w:rPr>
                <w:sz w:val="24"/>
              </w:rPr>
            </w:pPr>
            <w:r>
              <w:rPr>
                <w:sz w:val="24"/>
              </w:rPr>
              <w:t>快照唯一ID，主键</w:t>
            </w:r>
          </w:p>
        </w:tc>
      </w:tr>
      <w:tr w14:paraId="76001A86">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3DF2D93">
            <w:pPr>
              <w:snapToGrid w:val="0"/>
              <w:jc w:val="center"/>
              <w:rPr>
                <w:sz w:val="24"/>
              </w:rPr>
            </w:pPr>
            <w:r>
              <w:rPr>
                <w:sz w:val="24"/>
              </w:rPr>
              <w:t>config_id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2BB2128">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D185124">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53FC9C70">
            <w:pPr>
              <w:snapToGrid w:val="0"/>
              <w:jc w:val="center"/>
              <w:rPr>
                <w:sz w:val="24"/>
              </w:rPr>
            </w:pPr>
            <w:r>
              <w:rPr>
                <w:sz w:val="24"/>
              </w:rPr>
              <w:t>配置ID，外键关联 arena_config</w:t>
            </w:r>
          </w:p>
        </w:tc>
      </w:tr>
      <w:tr w14:paraId="519DE90F">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3571375">
            <w:pPr>
              <w:snapToGrid w:val="0"/>
              <w:jc w:val="center"/>
              <w:rPr>
                <w:sz w:val="24"/>
              </w:rPr>
            </w:pPr>
            <w:r>
              <w:rPr>
                <w:sz w:val="24"/>
              </w:rPr>
              <w:t>trader_id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998D4AA">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BB10920">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413F0F36">
            <w:pPr>
              <w:snapToGrid w:val="0"/>
              <w:jc w:val="center"/>
              <w:rPr>
                <w:sz w:val="24"/>
              </w:rPr>
            </w:pPr>
            <w:r>
              <w:rPr>
                <w:sz w:val="24"/>
              </w:rPr>
              <w:t>交易员ID，外键关联 ai_trader</w:t>
            </w:r>
          </w:p>
        </w:tc>
      </w:tr>
      <w:tr w14:paraId="1AC73354">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449969F">
            <w:pPr>
              <w:snapToGrid w:val="0"/>
              <w:jc w:val="center"/>
              <w:rPr>
                <w:sz w:val="24"/>
              </w:rPr>
            </w:pPr>
            <w:r>
              <w:rPr>
                <w:sz w:val="24"/>
              </w:rPr>
              <w:t>round_number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F86AA44">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0BD9EFC">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1DA8045C">
            <w:pPr>
              <w:snapToGrid w:val="0"/>
              <w:jc w:val="center"/>
              <w:rPr>
                <w:sz w:val="24"/>
              </w:rPr>
            </w:pPr>
            <w:r>
              <w:rPr>
                <w:sz w:val="24"/>
              </w:rPr>
              <w:t>当前结算轮次序号</w:t>
            </w:r>
          </w:p>
        </w:tc>
      </w:tr>
      <w:tr w14:paraId="637000C0">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4E1D094">
            <w:pPr>
              <w:snapToGrid w:val="0"/>
              <w:jc w:val="center"/>
              <w:rPr>
                <w:sz w:val="24"/>
              </w:rPr>
            </w:pPr>
            <w:r>
              <w:rPr>
                <w:sz w:val="24"/>
              </w:rPr>
              <w:t>t1_balance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0E488C9">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3182BF8">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3248963E">
            <w:pPr>
              <w:snapToGrid w:val="0"/>
              <w:jc w:val="center"/>
              <w:rPr>
                <w:sz w:val="24"/>
              </w:rPr>
            </w:pPr>
            <w:r>
              <w:rPr>
                <w:sz w:val="24"/>
              </w:rPr>
              <w:t>本轮结束后代币1的持仓量</w:t>
            </w:r>
          </w:p>
        </w:tc>
      </w:tr>
      <w:tr w14:paraId="36560E72">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5A553A6">
            <w:pPr>
              <w:snapToGrid w:val="0"/>
              <w:jc w:val="center"/>
              <w:rPr>
                <w:sz w:val="24"/>
              </w:rPr>
            </w:pPr>
            <w:r>
              <w:rPr>
                <w:sz w:val="24"/>
              </w:rPr>
              <w:t>t2_balance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4D9B7FE">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57EFE78">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4D906F2D">
            <w:pPr>
              <w:snapToGrid w:val="0"/>
              <w:jc w:val="center"/>
              <w:rPr>
                <w:sz w:val="24"/>
              </w:rPr>
            </w:pPr>
            <w:r>
              <w:rPr>
                <w:sz w:val="24"/>
              </w:rPr>
              <w:t>本轮结束后代币2的持仓量</w:t>
            </w:r>
          </w:p>
        </w:tc>
      </w:tr>
      <w:tr w14:paraId="70CB8EB7">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3292B25">
            <w:pPr>
              <w:snapToGrid w:val="0"/>
              <w:jc w:val="center"/>
              <w:rPr>
                <w:sz w:val="24"/>
              </w:rPr>
            </w:pPr>
            <w:r>
              <w:rPr>
                <w:sz w:val="24"/>
              </w:rPr>
              <w:t>t3_balance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B0D40E6">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B7CFE8A">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6D612AA5">
            <w:pPr>
              <w:snapToGrid w:val="0"/>
              <w:jc w:val="center"/>
              <w:rPr>
                <w:sz w:val="24"/>
              </w:rPr>
            </w:pPr>
            <w:r>
              <w:rPr>
                <w:sz w:val="24"/>
              </w:rPr>
              <w:t>本轮结束后代币3的持仓量</w:t>
            </w:r>
          </w:p>
        </w:tc>
      </w:tr>
      <w:tr w14:paraId="54516B64">
        <w:tblPrEx>
          <w:shd w:val="clear" w:color="auto" w:fill="FFFFFF"/>
          <w:tblCellMar>
            <w:top w:w="15" w:type="dxa"/>
            <w:left w:w="15" w:type="dxa"/>
            <w:bottom w:w="15" w:type="dxa"/>
            <w:right w:w="15" w:type="dxa"/>
          </w:tblCellMar>
        </w:tblPrEx>
        <w:trPr>
          <w:jc w:val="center"/>
        </w:trPr>
        <w:tc>
          <w:tcPr>
            <w:tcW w:w="1874"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17953D37">
            <w:pPr>
              <w:snapToGrid w:val="0"/>
              <w:jc w:val="center"/>
              <w:rPr>
                <w:sz w:val="24"/>
              </w:rPr>
            </w:pPr>
            <w:r>
              <w:rPr>
                <w:sz w:val="24"/>
              </w:rPr>
              <w:t>set_value</w:t>
            </w:r>
          </w:p>
        </w:tc>
        <w:tc>
          <w:tcPr>
            <w:tcW w:w="1710"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24ECC930">
            <w:pPr>
              <w:snapToGrid w:val="0"/>
              <w:jc w:val="center"/>
              <w:rPr>
                <w:sz w:val="24"/>
              </w:rPr>
            </w:pPr>
            <w:r>
              <w:rPr>
                <w:sz w:val="24"/>
              </w:rPr>
              <w:t>DECIMAL</w:t>
            </w:r>
          </w:p>
        </w:tc>
        <w:tc>
          <w:tcPr>
            <w:tcW w:w="1002"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0ECB785">
            <w:pPr>
              <w:snapToGrid w:val="0"/>
              <w:jc w:val="center"/>
              <w:rPr>
                <w:sz w:val="24"/>
              </w:rPr>
            </w:pPr>
            <w:r>
              <w:rPr>
                <w:sz w:val="24"/>
              </w:rPr>
              <w:t>18,4</w:t>
            </w:r>
          </w:p>
        </w:tc>
        <w:tc>
          <w:tcPr>
            <w:tcW w:w="4136"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27D13B70">
            <w:pPr>
              <w:snapToGrid w:val="0"/>
              <w:jc w:val="center"/>
              <w:rPr>
                <w:sz w:val="24"/>
              </w:rPr>
            </w:pPr>
            <w:r>
              <w:rPr>
                <w:sz w:val="24"/>
              </w:rPr>
              <w:t>折算后的SET代币总资产值</w:t>
            </w:r>
          </w:p>
        </w:tc>
      </w:tr>
    </w:tbl>
    <w:p w14:paraId="7B748C01">
      <w:pPr>
        <w:rPr>
          <w:sz w:val="24"/>
        </w:rPr>
      </w:pPr>
    </w:p>
    <w:p w14:paraId="2E93325F">
      <w:pPr>
        <w:jc w:val="center"/>
      </w:pPr>
      <w:r>
        <w:rPr>
          <w:rFonts w:hint="eastAsia"/>
        </w:rPr>
        <w:t>表4.1</w:t>
      </w:r>
      <w:r>
        <w:rPr>
          <w:rFonts w:hint="eastAsia"/>
          <w:lang w:val="en-US" w:eastAsia="zh-CN"/>
        </w:rPr>
        <w:t>8</w:t>
      </w:r>
      <w:r>
        <w:rPr>
          <w:rFonts w:hint="eastAsia"/>
        </w:rPr>
        <w:t xml:space="preserve"> token_price</w:t>
      </w:r>
    </w:p>
    <w:tbl>
      <w:tblPr>
        <w:tblStyle w:val="23"/>
        <w:tblW w:w="8722" w:type="dxa"/>
        <w:jc w:val="center"/>
        <w:shd w:val="clear" w:color="auto" w:fill="FFFFFF"/>
        <w:tblLayout w:type="autofit"/>
        <w:tblCellMar>
          <w:top w:w="15" w:type="dxa"/>
          <w:left w:w="15" w:type="dxa"/>
          <w:bottom w:w="15" w:type="dxa"/>
          <w:right w:w="15" w:type="dxa"/>
        </w:tblCellMar>
      </w:tblPr>
      <w:tblGrid>
        <w:gridCol w:w="1874"/>
        <w:gridCol w:w="1710"/>
        <w:gridCol w:w="1002"/>
        <w:gridCol w:w="4136"/>
      </w:tblGrid>
      <w:tr w14:paraId="7368423B">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4EE9DB28">
            <w:pPr>
              <w:snapToGrid w:val="0"/>
              <w:jc w:val="center"/>
              <w:rPr>
                <w:b/>
                <w:bCs/>
                <w:sz w:val="24"/>
              </w:rPr>
            </w:pPr>
            <w:r>
              <w:rPr>
                <w:b/>
                <w:bCs/>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E82B594">
            <w:pPr>
              <w:snapToGrid w:val="0"/>
              <w:jc w:val="center"/>
              <w:rPr>
                <w:b/>
                <w:bCs/>
                <w:sz w:val="24"/>
              </w:rPr>
            </w:pPr>
            <w:r>
              <w:rPr>
                <w:b/>
                <w:bCs/>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2377822C">
            <w:pPr>
              <w:snapToGrid w:val="0"/>
              <w:jc w:val="center"/>
              <w:rPr>
                <w:b/>
                <w:bCs/>
                <w:sz w:val="24"/>
              </w:rPr>
            </w:pPr>
            <w:r>
              <w:rPr>
                <w:b/>
                <w:bCs/>
                <w:sz w:val="24"/>
              </w:rPr>
              <w:t>长度</w:t>
            </w:r>
          </w:p>
        </w:tc>
        <w:tc>
          <w:tcPr>
            <w:tcW w:w="4136"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1299EC60">
            <w:pPr>
              <w:snapToGrid w:val="0"/>
              <w:jc w:val="center"/>
              <w:rPr>
                <w:b/>
                <w:bCs/>
                <w:sz w:val="24"/>
              </w:rPr>
            </w:pPr>
            <w:r>
              <w:rPr>
                <w:b/>
                <w:bCs/>
                <w:sz w:val="24"/>
              </w:rPr>
              <w:t>含义</w:t>
            </w:r>
          </w:p>
        </w:tc>
      </w:tr>
      <w:tr w14:paraId="02989738">
        <w:tblPrEx>
          <w:shd w:val="clear" w:color="auto" w:fill="FFFFFF"/>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32F314BF">
            <w:pPr>
              <w:snapToGrid w:val="0"/>
              <w:jc w:val="center"/>
              <w:rPr>
                <w:sz w:val="24"/>
              </w:rPr>
            </w:pPr>
            <w:r>
              <w:rPr>
                <w:sz w:val="24"/>
              </w:rPr>
              <w:t>price_id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440B87DA">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27899E6">
            <w:pPr>
              <w:snapToGrid w:val="0"/>
              <w:jc w:val="center"/>
              <w:rPr>
                <w:sz w:val="24"/>
              </w:rPr>
            </w:pPr>
            <w:r>
              <w:rPr>
                <w:sz w:val="24"/>
              </w:rPr>
              <w:t>20</w:t>
            </w:r>
          </w:p>
        </w:tc>
        <w:tc>
          <w:tcPr>
            <w:tcW w:w="4136"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7134C129">
            <w:pPr>
              <w:snapToGrid w:val="0"/>
              <w:jc w:val="center"/>
              <w:rPr>
                <w:sz w:val="24"/>
              </w:rPr>
            </w:pPr>
            <w:r>
              <w:rPr>
                <w:sz w:val="24"/>
              </w:rPr>
              <w:t>价格记录唯一ID，主键</w:t>
            </w:r>
          </w:p>
        </w:tc>
      </w:tr>
      <w:tr w14:paraId="1143B7C5">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A17A94C">
            <w:pPr>
              <w:snapToGrid w:val="0"/>
              <w:jc w:val="center"/>
              <w:rPr>
                <w:sz w:val="24"/>
              </w:rPr>
            </w:pPr>
            <w:r>
              <w:rPr>
                <w:sz w:val="24"/>
              </w:rPr>
              <w:t>config_id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5D57383">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C9D781C">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7DBDD0E9">
            <w:pPr>
              <w:snapToGrid w:val="0"/>
              <w:jc w:val="center"/>
              <w:rPr>
                <w:sz w:val="24"/>
              </w:rPr>
            </w:pPr>
            <w:r>
              <w:rPr>
                <w:sz w:val="24"/>
              </w:rPr>
              <w:t>配置ID，外键关联 arena_config</w:t>
            </w:r>
          </w:p>
        </w:tc>
      </w:tr>
      <w:tr w14:paraId="0FD41A07">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70C3E9EF">
            <w:pPr>
              <w:snapToGrid w:val="0"/>
              <w:jc w:val="center"/>
              <w:rPr>
                <w:sz w:val="24"/>
              </w:rPr>
            </w:pPr>
            <w:r>
              <w:rPr>
                <w:sz w:val="24"/>
              </w:rPr>
              <w:t>round_number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1E85395">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09CDA3D">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51498B14">
            <w:pPr>
              <w:snapToGrid w:val="0"/>
              <w:jc w:val="center"/>
              <w:rPr>
                <w:sz w:val="24"/>
              </w:rPr>
            </w:pPr>
            <w:r>
              <w:rPr>
                <w:sz w:val="24"/>
              </w:rPr>
              <w:t>当前轮次序号</w:t>
            </w:r>
          </w:p>
        </w:tc>
      </w:tr>
      <w:tr w14:paraId="2B5BBCE0">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24809591">
            <w:pPr>
              <w:snapToGrid w:val="0"/>
              <w:jc w:val="center"/>
              <w:rPr>
                <w:sz w:val="24"/>
              </w:rPr>
            </w:pPr>
            <w:r>
              <w:rPr>
                <w:sz w:val="24"/>
              </w:rPr>
              <w:t>t1_price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B157153">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40BA303">
            <w:pPr>
              <w:snapToGrid w:val="0"/>
              <w:jc w:val="center"/>
              <w:rPr>
                <w:sz w:val="24"/>
              </w:rPr>
            </w:pPr>
            <w:r>
              <w:rPr>
                <w:sz w:val="24"/>
              </w:rPr>
              <w:t>18,4</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2B4C98F6">
            <w:pPr>
              <w:snapToGrid w:val="0"/>
              <w:jc w:val="center"/>
              <w:rPr>
                <w:sz w:val="24"/>
              </w:rPr>
            </w:pPr>
            <w:r>
              <w:rPr>
                <w:sz w:val="24"/>
              </w:rPr>
              <w:t>代币1相对于SET的动态价格</w:t>
            </w:r>
          </w:p>
        </w:tc>
      </w:tr>
      <w:tr w14:paraId="7D401490">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536C022">
            <w:pPr>
              <w:snapToGrid w:val="0"/>
              <w:jc w:val="center"/>
              <w:rPr>
                <w:sz w:val="24"/>
              </w:rPr>
            </w:pPr>
            <w:r>
              <w:rPr>
                <w:sz w:val="24"/>
              </w:rPr>
              <w:t>t2_price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41873CB">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87C278F">
            <w:pPr>
              <w:snapToGrid w:val="0"/>
              <w:jc w:val="center"/>
              <w:rPr>
                <w:sz w:val="24"/>
              </w:rPr>
            </w:pPr>
            <w:r>
              <w:rPr>
                <w:sz w:val="24"/>
              </w:rPr>
              <w:t>18,4</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0B35C272">
            <w:pPr>
              <w:snapToGrid w:val="0"/>
              <w:jc w:val="center"/>
              <w:rPr>
                <w:sz w:val="24"/>
              </w:rPr>
            </w:pPr>
            <w:r>
              <w:rPr>
                <w:sz w:val="24"/>
              </w:rPr>
              <w:t>代币2相对于SET的动态价格</w:t>
            </w:r>
          </w:p>
        </w:tc>
      </w:tr>
      <w:tr w14:paraId="185D06D7">
        <w:tblPrEx>
          <w:shd w:val="clear" w:color="auto" w:fill="FFFFFF"/>
          <w:tblCellMar>
            <w:top w:w="15" w:type="dxa"/>
            <w:left w:w="15" w:type="dxa"/>
            <w:bottom w:w="15" w:type="dxa"/>
            <w:right w:w="15" w:type="dxa"/>
          </w:tblCellMar>
        </w:tblPrEx>
        <w:trPr>
          <w:jc w:val="center"/>
        </w:trPr>
        <w:tc>
          <w:tcPr>
            <w:tcW w:w="1874"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176823A4">
            <w:pPr>
              <w:snapToGrid w:val="0"/>
              <w:jc w:val="center"/>
              <w:rPr>
                <w:sz w:val="24"/>
              </w:rPr>
            </w:pPr>
            <w:r>
              <w:rPr>
                <w:sz w:val="24"/>
              </w:rPr>
              <w:t>t3_price</w:t>
            </w:r>
          </w:p>
        </w:tc>
        <w:tc>
          <w:tcPr>
            <w:tcW w:w="1710"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2FEC8D7A">
            <w:pPr>
              <w:snapToGrid w:val="0"/>
              <w:jc w:val="center"/>
              <w:rPr>
                <w:sz w:val="24"/>
              </w:rPr>
            </w:pPr>
            <w:r>
              <w:rPr>
                <w:sz w:val="24"/>
              </w:rPr>
              <w:t>DECIMAL</w:t>
            </w:r>
          </w:p>
        </w:tc>
        <w:tc>
          <w:tcPr>
            <w:tcW w:w="1002"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01A5C898">
            <w:pPr>
              <w:snapToGrid w:val="0"/>
              <w:jc w:val="center"/>
              <w:rPr>
                <w:sz w:val="24"/>
              </w:rPr>
            </w:pPr>
            <w:r>
              <w:rPr>
                <w:sz w:val="24"/>
              </w:rPr>
              <w:t>18,4</w:t>
            </w:r>
          </w:p>
        </w:tc>
        <w:tc>
          <w:tcPr>
            <w:tcW w:w="4136"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06E31B5E">
            <w:pPr>
              <w:snapToGrid w:val="0"/>
              <w:jc w:val="center"/>
              <w:rPr>
                <w:sz w:val="24"/>
              </w:rPr>
            </w:pPr>
            <w:r>
              <w:rPr>
                <w:sz w:val="24"/>
              </w:rPr>
              <w:t>代币3相对于SET的动态价格</w:t>
            </w:r>
          </w:p>
        </w:tc>
      </w:tr>
    </w:tbl>
    <w:p w14:paraId="550DD7D6">
      <w:pPr>
        <w:spacing w:line="400" w:lineRule="exact"/>
        <w:rPr>
          <w:sz w:val="24"/>
        </w:rPr>
      </w:pPr>
    </w:p>
    <w:p w14:paraId="7861C2C2">
      <w:pPr>
        <w:jc w:val="center"/>
        <w:rPr>
          <w:sz w:val="24"/>
        </w:rPr>
      </w:pPr>
      <w:r>
        <w:rPr>
          <w:rFonts w:hint="eastAsia"/>
        </w:rPr>
        <w:t>表4.1</w:t>
      </w:r>
      <w:r>
        <w:rPr>
          <w:rFonts w:hint="eastAsia"/>
          <w:lang w:val="en-US" w:eastAsia="zh-CN"/>
        </w:rPr>
        <w:t>9</w:t>
      </w:r>
      <w:r>
        <w:rPr>
          <w:rFonts w:hint="eastAsia"/>
        </w:rPr>
        <w:t xml:space="preserve"> blockchain_tx</w:t>
      </w:r>
    </w:p>
    <w:tbl>
      <w:tblPr>
        <w:tblStyle w:val="23"/>
        <w:tblW w:w="8722" w:type="dxa"/>
        <w:jc w:val="center"/>
        <w:shd w:val="clear" w:color="auto" w:fill="FFFFFF"/>
        <w:tblLayout w:type="autofit"/>
        <w:tblCellMar>
          <w:top w:w="15" w:type="dxa"/>
          <w:left w:w="15" w:type="dxa"/>
          <w:bottom w:w="15" w:type="dxa"/>
          <w:right w:w="15" w:type="dxa"/>
        </w:tblCellMar>
      </w:tblPr>
      <w:tblGrid>
        <w:gridCol w:w="1516"/>
        <w:gridCol w:w="1755"/>
        <w:gridCol w:w="1021"/>
        <w:gridCol w:w="4430"/>
      </w:tblGrid>
      <w:tr w14:paraId="390D6142">
        <w:tblPrEx>
          <w:shd w:val="clear" w:color="auto" w:fill="FFFFFF"/>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67412E56">
            <w:pPr>
              <w:snapToGrid w:val="0"/>
              <w:jc w:val="center"/>
              <w:rPr>
                <w:b/>
                <w:bCs/>
                <w:sz w:val="24"/>
              </w:rPr>
            </w:pPr>
            <w:r>
              <w:rPr>
                <w:b/>
                <w:bCs/>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4B71024">
            <w:pPr>
              <w:snapToGrid w:val="0"/>
              <w:jc w:val="center"/>
              <w:rPr>
                <w:b/>
                <w:bCs/>
                <w:sz w:val="24"/>
              </w:rPr>
            </w:pPr>
            <w:r>
              <w:rPr>
                <w:b/>
                <w:bCs/>
                <w:sz w:val="24"/>
              </w:rPr>
              <w:t>类型</w:t>
            </w:r>
          </w:p>
        </w:tc>
        <w:tc>
          <w:tcPr>
            <w:tcW w:w="1021"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8471F80">
            <w:pPr>
              <w:snapToGrid w:val="0"/>
              <w:jc w:val="center"/>
              <w:rPr>
                <w:b/>
                <w:bCs/>
                <w:sz w:val="24"/>
              </w:rPr>
            </w:pPr>
            <w:r>
              <w:rPr>
                <w:b/>
                <w:bCs/>
                <w:sz w:val="24"/>
              </w:rPr>
              <w:t>长度</w:t>
            </w:r>
          </w:p>
        </w:tc>
        <w:tc>
          <w:tcPr>
            <w:tcW w:w="4430"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0313509B">
            <w:pPr>
              <w:snapToGrid w:val="0"/>
              <w:jc w:val="center"/>
              <w:rPr>
                <w:b/>
                <w:bCs/>
                <w:sz w:val="24"/>
              </w:rPr>
            </w:pPr>
            <w:r>
              <w:rPr>
                <w:b/>
                <w:bCs/>
                <w:sz w:val="24"/>
              </w:rPr>
              <w:t>含义</w:t>
            </w:r>
          </w:p>
        </w:tc>
      </w:tr>
      <w:tr w14:paraId="30D22F07">
        <w:tblPrEx>
          <w:shd w:val="clear" w:color="auto" w:fill="FFFFFF"/>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0BF091C3">
            <w:pPr>
              <w:snapToGrid w:val="0"/>
              <w:jc w:val="center"/>
              <w:rPr>
                <w:sz w:val="24"/>
              </w:rPr>
            </w:pPr>
            <w:r>
              <w:rPr>
                <w:sz w:val="24"/>
              </w:rPr>
              <w:t>tx_id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17478BC4">
            <w:pPr>
              <w:snapToGrid w:val="0"/>
              <w:jc w:val="left"/>
              <w:rPr>
                <w:sz w:val="24"/>
              </w:rPr>
            </w:pPr>
            <w:r>
              <w:rPr>
                <w:sz w:val="24"/>
              </w:rPr>
              <w:t>BIGINT</w:t>
            </w:r>
          </w:p>
        </w:tc>
        <w:tc>
          <w:tcPr>
            <w:tcW w:w="1021" w:type="dxa"/>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720BD73">
            <w:pPr>
              <w:snapToGrid w:val="0"/>
              <w:jc w:val="center"/>
              <w:rPr>
                <w:sz w:val="24"/>
              </w:rPr>
            </w:pPr>
            <w:r>
              <w:rPr>
                <w:sz w:val="24"/>
              </w:rPr>
              <w:t>20</w:t>
            </w:r>
          </w:p>
        </w:tc>
        <w:tc>
          <w:tcPr>
            <w:tcW w:w="4430"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0FAF4A28">
            <w:pPr>
              <w:snapToGrid w:val="0"/>
              <w:jc w:val="center"/>
              <w:rPr>
                <w:sz w:val="24"/>
              </w:rPr>
            </w:pPr>
            <w:r>
              <w:rPr>
                <w:sz w:val="24"/>
              </w:rPr>
              <w:t>流水唯一自增ID，主键</w:t>
            </w:r>
          </w:p>
        </w:tc>
      </w:tr>
      <w:tr w14:paraId="34C0ABD1">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FC96170">
            <w:pPr>
              <w:snapToGrid w:val="0"/>
              <w:jc w:val="center"/>
              <w:rPr>
                <w:sz w:val="24"/>
              </w:rPr>
            </w:pPr>
            <w:r>
              <w:rPr>
                <w:sz w:val="24"/>
              </w:rPr>
              <w:t>tx_hash</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93C5ADD">
            <w:pPr>
              <w:snapToGrid w:val="0"/>
              <w:jc w:val="left"/>
              <w:rPr>
                <w:sz w:val="24"/>
              </w:rPr>
            </w:pPr>
            <w:r>
              <w:rPr>
                <w:sz w:val="24"/>
              </w:rPr>
              <w:t>VARCHAR</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2979394F">
            <w:pPr>
              <w:snapToGrid w:val="0"/>
              <w:jc w:val="center"/>
              <w:rPr>
                <w:sz w:val="24"/>
              </w:rPr>
            </w:pPr>
            <w:r>
              <w:rPr>
                <w:sz w:val="24"/>
              </w:rPr>
              <w:t>66</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42E4CF4E">
            <w:pPr>
              <w:snapToGrid w:val="0"/>
              <w:jc w:val="center"/>
              <w:rPr>
                <w:sz w:val="24"/>
              </w:rPr>
            </w:pPr>
            <w:r>
              <w:rPr>
                <w:sz w:val="24"/>
              </w:rPr>
              <w:t xml:space="preserve">测试链上的交易哈希值 </w:t>
            </w:r>
          </w:p>
        </w:tc>
      </w:tr>
      <w:tr w14:paraId="0FDA11F3">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FD92429">
            <w:pPr>
              <w:snapToGrid w:val="0"/>
              <w:jc w:val="center"/>
              <w:rPr>
                <w:sz w:val="24"/>
              </w:rPr>
            </w:pPr>
            <w:r>
              <w:rPr>
                <w:sz w:val="24"/>
              </w:rPr>
              <w:t>from_address</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2DCBE4C">
            <w:pPr>
              <w:snapToGrid w:val="0"/>
              <w:jc w:val="left"/>
              <w:rPr>
                <w:sz w:val="24"/>
              </w:rPr>
            </w:pPr>
            <w:r>
              <w:rPr>
                <w:sz w:val="24"/>
              </w:rPr>
              <w:t>VARCHAR</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5CF02C56">
            <w:pPr>
              <w:snapToGrid w:val="0"/>
              <w:jc w:val="center"/>
              <w:rPr>
                <w:sz w:val="24"/>
              </w:rPr>
            </w:pPr>
            <w:r>
              <w:rPr>
                <w:sz w:val="24"/>
              </w:rPr>
              <w:t>42</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2D7A4D50">
            <w:pPr>
              <w:snapToGrid w:val="0"/>
              <w:jc w:val="center"/>
              <w:rPr>
                <w:sz w:val="24"/>
              </w:rPr>
            </w:pPr>
            <w:r>
              <w:rPr>
                <w:sz w:val="24"/>
              </w:rPr>
              <w:t>转出方钱包地址</w:t>
            </w:r>
          </w:p>
        </w:tc>
      </w:tr>
      <w:tr w14:paraId="09E89CB7">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07F5D09">
            <w:pPr>
              <w:snapToGrid w:val="0"/>
              <w:jc w:val="center"/>
              <w:rPr>
                <w:sz w:val="24"/>
              </w:rPr>
            </w:pPr>
            <w:r>
              <w:rPr>
                <w:sz w:val="24"/>
              </w:rPr>
              <w:t>to_address</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2C4427F">
            <w:pPr>
              <w:snapToGrid w:val="0"/>
              <w:jc w:val="left"/>
              <w:rPr>
                <w:sz w:val="24"/>
              </w:rPr>
            </w:pPr>
            <w:r>
              <w:rPr>
                <w:sz w:val="24"/>
              </w:rPr>
              <w:t>VARCHAR</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060C54D2">
            <w:pPr>
              <w:snapToGrid w:val="0"/>
              <w:jc w:val="center"/>
              <w:rPr>
                <w:sz w:val="24"/>
              </w:rPr>
            </w:pPr>
            <w:r>
              <w:rPr>
                <w:sz w:val="24"/>
              </w:rPr>
              <w:t>42</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0189B740">
            <w:pPr>
              <w:snapToGrid w:val="0"/>
              <w:jc w:val="center"/>
              <w:rPr>
                <w:sz w:val="24"/>
              </w:rPr>
            </w:pPr>
            <w:r>
              <w:rPr>
                <w:sz w:val="24"/>
              </w:rPr>
              <w:t>转入方钱包地址</w:t>
            </w:r>
          </w:p>
        </w:tc>
      </w:tr>
      <w:tr w14:paraId="29A9E57E">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DE01865">
            <w:pPr>
              <w:snapToGrid w:val="0"/>
              <w:jc w:val="center"/>
              <w:rPr>
                <w:sz w:val="24"/>
              </w:rPr>
            </w:pPr>
            <w:r>
              <w:rPr>
                <w:sz w:val="24"/>
              </w:rPr>
              <w:t>token_type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576AE51">
            <w:pPr>
              <w:snapToGrid w:val="0"/>
              <w:jc w:val="left"/>
              <w:rPr>
                <w:sz w:val="24"/>
              </w:rPr>
            </w:pPr>
            <w:r>
              <w:rPr>
                <w:sz w:val="24"/>
              </w:rPr>
              <w:t>VARCHAR</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4F2EE27F">
            <w:pPr>
              <w:snapToGrid w:val="0"/>
              <w:jc w:val="center"/>
              <w:rPr>
                <w:sz w:val="24"/>
              </w:rPr>
            </w:pPr>
            <w:r>
              <w:rPr>
                <w:sz w:val="24"/>
              </w:rPr>
              <w:t>10</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284503C0">
            <w:pPr>
              <w:snapToGrid w:val="0"/>
              <w:jc w:val="center"/>
              <w:rPr>
                <w:sz w:val="24"/>
              </w:rPr>
            </w:pPr>
            <w:r>
              <w:rPr>
                <w:sz w:val="24"/>
              </w:rPr>
              <w:t>代币类型（T1, T2, T3, SET）</w:t>
            </w:r>
          </w:p>
        </w:tc>
      </w:tr>
      <w:tr w14:paraId="4B322BFB">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2DF05DD">
            <w:pPr>
              <w:snapToGrid w:val="0"/>
              <w:jc w:val="center"/>
              <w:rPr>
                <w:sz w:val="24"/>
              </w:rPr>
            </w:pPr>
            <w:r>
              <w:rPr>
                <w:sz w:val="24"/>
              </w:rPr>
              <w:t>amount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DCFD33A">
            <w:pPr>
              <w:snapToGrid w:val="0"/>
              <w:jc w:val="left"/>
              <w:rPr>
                <w:sz w:val="24"/>
              </w:rPr>
            </w:pPr>
            <w:r>
              <w:rPr>
                <w:sz w:val="24"/>
              </w:rPr>
              <w:t>DECIMAL</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2B65377B">
            <w:pPr>
              <w:snapToGrid w:val="0"/>
              <w:jc w:val="center"/>
              <w:rPr>
                <w:sz w:val="24"/>
              </w:rPr>
            </w:pPr>
            <w:r>
              <w:rPr>
                <w:sz w:val="24"/>
              </w:rPr>
              <w:t>24,4</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20EACAEA">
            <w:pPr>
              <w:snapToGrid w:val="0"/>
              <w:jc w:val="center"/>
              <w:rPr>
                <w:sz w:val="24"/>
              </w:rPr>
            </w:pPr>
            <w:r>
              <w:rPr>
                <w:sz w:val="24"/>
              </w:rPr>
              <w:t>转账代币数量</w:t>
            </w:r>
          </w:p>
        </w:tc>
      </w:tr>
      <w:tr w14:paraId="164A1BE4">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6E4806A">
            <w:pPr>
              <w:snapToGrid w:val="0"/>
              <w:jc w:val="center"/>
              <w:rPr>
                <w:sz w:val="24"/>
              </w:rPr>
            </w:pPr>
            <w:r>
              <w:rPr>
                <w:sz w:val="24"/>
              </w:rPr>
              <w:t>round_id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4A515E8">
            <w:pPr>
              <w:snapToGrid w:val="0"/>
              <w:jc w:val="left"/>
              <w:rPr>
                <w:sz w:val="24"/>
              </w:rPr>
            </w:pPr>
            <w:r>
              <w:rPr>
                <w:sz w:val="24"/>
              </w:rPr>
              <w:t>BIGINT</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311B9073">
            <w:pPr>
              <w:snapToGrid w:val="0"/>
              <w:jc w:val="center"/>
              <w:rPr>
                <w:sz w:val="24"/>
              </w:rPr>
            </w:pPr>
            <w:r>
              <w:rPr>
                <w:sz w:val="24"/>
              </w:rPr>
              <w:t>20</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456A5DD6">
            <w:pPr>
              <w:snapToGrid w:val="0"/>
              <w:jc w:val="center"/>
              <w:rPr>
                <w:sz w:val="24"/>
              </w:rPr>
            </w:pPr>
            <w:r>
              <w:rPr>
                <w:sz w:val="24"/>
              </w:rPr>
              <w:t xml:space="preserve">关联的斗兽场轮次ID，外键关联 </w:t>
            </w:r>
          </w:p>
        </w:tc>
      </w:tr>
      <w:tr w14:paraId="63C92C7F">
        <w:tblPrEx>
          <w:shd w:val="clear" w:color="auto" w:fill="FFFFFF"/>
          <w:tblCellMar>
            <w:top w:w="15" w:type="dxa"/>
            <w:left w:w="15" w:type="dxa"/>
            <w:bottom w:w="15" w:type="dxa"/>
            <w:right w:w="15" w:type="dxa"/>
          </w:tblCellMar>
        </w:tblPrEx>
        <w:trPr>
          <w:jc w:val="center"/>
        </w:trPr>
        <w:tc>
          <w:tcPr>
            <w:tcW w:w="1516"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4C6C868D">
            <w:pPr>
              <w:snapToGrid w:val="0"/>
              <w:jc w:val="center"/>
              <w:rPr>
                <w:sz w:val="24"/>
              </w:rPr>
            </w:pPr>
            <w:r>
              <w:rPr>
                <w:sz w:val="24"/>
              </w:rPr>
              <w:t>created_at</w:t>
            </w:r>
          </w:p>
        </w:tc>
        <w:tc>
          <w:tcPr>
            <w:tcW w:w="1755"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A2ECE40">
            <w:pPr>
              <w:snapToGrid w:val="0"/>
              <w:jc w:val="left"/>
              <w:rPr>
                <w:sz w:val="24"/>
              </w:rPr>
            </w:pPr>
            <w:r>
              <w:rPr>
                <w:sz w:val="24"/>
              </w:rPr>
              <w:t>TIMESTAMP</w:t>
            </w:r>
          </w:p>
        </w:tc>
        <w:tc>
          <w:tcPr>
            <w:tcW w:w="1021"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69BE6E5">
            <w:pPr>
              <w:snapToGrid w:val="0"/>
              <w:jc w:val="center"/>
              <w:rPr>
                <w:sz w:val="24"/>
              </w:rPr>
            </w:pPr>
            <w:r>
              <w:rPr>
                <w:sz w:val="24"/>
              </w:rPr>
              <w:t>-</w:t>
            </w:r>
          </w:p>
        </w:tc>
        <w:tc>
          <w:tcPr>
            <w:tcW w:w="4430"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704D7A1B">
            <w:pPr>
              <w:snapToGrid w:val="0"/>
              <w:jc w:val="center"/>
              <w:rPr>
                <w:sz w:val="24"/>
              </w:rPr>
            </w:pPr>
            <w:r>
              <w:rPr>
                <w:sz w:val="24"/>
              </w:rPr>
              <w:t>区块链交易打包时间</w:t>
            </w:r>
          </w:p>
        </w:tc>
      </w:tr>
    </w:tbl>
    <w:p w14:paraId="3D6A7D5C">
      <w:pPr>
        <w:spacing w:line="400" w:lineRule="exact"/>
        <w:rPr>
          <w:sz w:val="24"/>
        </w:rPr>
      </w:pPr>
    </w:p>
    <w:p w14:paraId="5851D849">
      <w:pPr>
        <w:pStyle w:val="11"/>
        <w:outlineLvl w:val="1"/>
        <w:rPr>
          <w:rFonts w:ascii="黑体" w:eastAsia="黑体"/>
          <w:sz w:val="30"/>
        </w:rPr>
      </w:pPr>
      <w:bookmarkStart w:id="39" w:name="_Toc6538"/>
      <w:r>
        <w:rPr>
          <w:rFonts w:hint="eastAsia" w:ascii="黑体" w:eastAsia="黑体"/>
          <w:sz w:val="30"/>
        </w:rPr>
        <w:t>4.5 本章小结</w:t>
      </w:r>
      <w:bookmarkEnd w:id="39"/>
    </w:p>
    <w:p w14:paraId="56E34E0C">
      <w:pPr>
        <w:spacing w:line="400" w:lineRule="exact"/>
        <w:ind w:firstLine="480" w:firstLineChars="200"/>
        <w:rPr>
          <w:rFonts w:ascii="黑体" w:eastAsia="黑体"/>
          <w:sz w:val="24"/>
        </w:rPr>
        <w:sectPr>
          <w:headerReference r:id="rId19" w:type="default"/>
          <w:pgSz w:w="11906" w:h="16838"/>
          <w:pgMar w:top="1701" w:right="1418" w:bottom="1418" w:left="1418" w:header="907" w:footer="851" w:gutter="567"/>
          <w:cols w:space="720" w:num="1"/>
          <w:docGrid w:type="lines" w:linePitch="312" w:charSpace="0"/>
        </w:sectPr>
      </w:pPr>
      <w:r>
        <w:rPr>
          <w:rFonts w:hint="eastAsia"/>
          <w:sz w:val="24"/>
        </w:rPr>
        <w:t>本章阐述了本系统的总体设计，笔者在架构上采用前后端分离、离线在线数据分离的四层结构。前端</w:t>
      </w:r>
      <w:r>
        <w:rPr>
          <w:sz w:val="24"/>
        </w:rPr>
        <w:t>Vue</w:t>
      </w:r>
      <w:r>
        <w:rPr>
          <w:rFonts w:hint="eastAsia"/>
          <w:sz w:val="24"/>
        </w:rPr>
        <w:t xml:space="preserve"> 3展示页面，后端</w:t>
      </w:r>
      <w:r>
        <w:rPr>
          <w:sz w:val="24"/>
        </w:rPr>
        <w:t>SpringBoot</w:t>
      </w:r>
      <w:r>
        <w:rPr>
          <w:rFonts w:hint="eastAsia"/>
          <w:sz w:val="24"/>
        </w:rPr>
        <w:t>负责处理业务的逻辑，</w:t>
      </w:r>
      <w:r>
        <w:rPr>
          <w:sz w:val="24"/>
        </w:rPr>
        <w:t>MySQL</w:t>
      </w:r>
      <w:r>
        <w:rPr>
          <w:rFonts w:hint="eastAsia"/>
          <w:sz w:val="24"/>
        </w:rPr>
        <w:t>存储数据，</w:t>
      </w:r>
      <w:r>
        <w:rPr>
          <w:sz w:val="24"/>
        </w:rPr>
        <w:t>Ganache</w:t>
      </w:r>
      <w:r>
        <w:rPr>
          <w:rFonts w:hint="eastAsia"/>
          <w:sz w:val="24"/>
        </w:rPr>
        <w:t>测试链保存代币资产记录。在功能上，本系统划分为行情数据、模拟交易、</w:t>
      </w:r>
      <w:r>
        <w:rPr>
          <w:sz w:val="24"/>
        </w:rPr>
        <w:t>AI</w:t>
      </w:r>
      <w:r>
        <w:rPr>
          <w:rFonts w:hint="eastAsia"/>
          <w:sz w:val="24"/>
        </w:rPr>
        <w:t>决策、斗兽场控制、区块链交互和前端界面六个模块。数据库中，笔者设计了四类表，分别支持了股票行情、</w:t>
      </w:r>
      <w:r>
        <w:rPr>
          <w:sz w:val="24"/>
        </w:rPr>
        <w:t>AI</w:t>
      </w:r>
      <w:r>
        <w:rPr>
          <w:rFonts w:hint="eastAsia"/>
          <w:sz w:val="24"/>
        </w:rPr>
        <w:t>交易、斗兽场博弈和链上交易记录的存储。</w:t>
      </w:r>
    </w:p>
    <w:p w14:paraId="693600EB">
      <w:pPr>
        <w:spacing w:line="400" w:lineRule="exact"/>
        <w:rPr>
          <w:rFonts w:ascii="黑体" w:eastAsia="黑体"/>
          <w:sz w:val="24"/>
        </w:rPr>
      </w:pPr>
    </w:p>
    <w:p w14:paraId="57CE1A0D">
      <w:pPr>
        <w:spacing w:line="400" w:lineRule="exact"/>
        <w:jc w:val="center"/>
        <w:outlineLvl w:val="0"/>
        <w:rPr>
          <w:rFonts w:ascii="黑体" w:eastAsia="黑体"/>
          <w:sz w:val="32"/>
        </w:rPr>
      </w:pPr>
      <w:bookmarkStart w:id="40" w:name="_Toc9625"/>
      <w:r>
        <w:rPr>
          <w:rFonts w:hint="eastAsia" w:ascii="黑体" w:eastAsia="黑体"/>
          <w:sz w:val="32"/>
        </w:rPr>
        <w:t>5 模拟交易所系统</w:t>
      </w:r>
      <w:r>
        <w:rPr>
          <w:rStyle w:val="31"/>
          <w:rFonts w:hint="eastAsia" w:ascii="黑体" w:eastAsia="黑体"/>
          <w:sz w:val="32"/>
          <w:szCs w:val="24"/>
        </w:rPr>
        <w:commentReference w:id="6"/>
      </w:r>
      <w:r>
        <w:rPr>
          <w:rFonts w:hint="eastAsia" w:ascii="黑体" w:eastAsia="黑体"/>
          <w:sz w:val="32"/>
        </w:rPr>
        <w:t>实现</w:t>
      </w:r>
      <w:bookmarkEnd w:id="40"/>
    </w:p>
    <w:p w14:paraId="18CA4708">
      <w:pPr>
        <w:spacing w:line="400" w:lineRule="exact"/>
        <w:jc w:val="center"/>
        <w:rPr>
          <w:rFonts w:ascii="黑体" w:eastAsia="黑体"/>
          <w:sz w:val="32"/>
        </w:rPr>
      </w:pPr>
    </w:p>
    <w:p w14:paraId="2313BD5F">
      <w:pPr>
        <w:spacing w:line="400" w:lineRule="exact"/>
        <w:ind w:firstLine="480" w:firstLineChars="200"/>
        <w:rPr>
          <w:sz w:val="24"/>
        </w:rPr>
      </w:pPr>
      <w:r>
        <w:rPr>
          <w:rFonts w:hint="eastAsia"/>
          <w:sz w:val="24"/>
        </w:rPr>
        <w:t>本章将在总体设计的基础上，对各功能模块实现上的细节进行具体的阐述，包括行情数据的查询与缓存策略、</w:t>
      </w:r>
      <w:r>
        <w:rPr>
          <w:sz w:val="24"/>
        </w:rPr>
        <w:t>AI</w:t>
      </w:r>
      <w:r>
        <w:rPr>
          <w:rFonts w:hint="eastAsia"/>
          <w:sz w:val="24"/>
        </w:rPr>
        <w:t>决策模块的提示词拼接加载与模型调用、模拟交易的工具方法实现、斗兽场的竞争排序与代币兑换流程，以及前端与后端的交互方式。对于关键的逻辑，笔者将给出代码片段或伪代码。</w:t>
      </w:r>
    </w:p>
    <w:p w14:paraId="4754B995">
      <w:pPr>
        <w:pStyle w:val="11"/>
        <w:spacing w:line="400" w:lineRule="exact"/>
        <w:outlineLvl w:val="1"/>
        <w:rPr>
          <w:rFonts w:ascii="黑体" w:eastAsia="黑体"/>
          <w:sz w:val="30"/>
        </w:rPr>
      </w:pPr>
      <w:bookmarkStart w:id="41" w:name="_Toc18120"/>
      <w:r>
        <w:rPr>
          <w:rFonts w:hint="eastAsia" w:ascii="黑体" w:eastAsia="黑体"/>
          <w:sz w:val="30"/>
        </w:rPr>
        <w:t>5.1 行情数据</w:t>
      </w:r>
      <w:bookmarkEnd w:id="41"/>
      <w:r>
        <w:rPr>
          <w:rFonts w:hint="eastAsia" w:ascii="黑体" w:eastAsia="黑体"/>
          <w:sz w:val="30"/>
        </w:rPr>
        <w:t>模块实现</w:t>
      </w:r>
    </w:p>
    <w:p w14:paraId="18605B54">
      <w:pPr>
        <w:spacing w:line="400" w:lineRule="exact"/>
        <w:outlineLvl w:val="2"/>
        <w:rPr>
          <w:rFonts w:hint="eastAsia" w:ascii="黑体" w:hAnsi="黑体" w:eastAsia="黑体" w:cs="黑体"/>
          <w:sz w:val="28"/>
          <w:szCs w:val="28"/>
        </w:rPr>
      </w:pPr>
      <w:bookmarkStart w:id="42" w:name="_Toc148"/>
      <w:r>
        <w:rPr>
          <w:rFonts w:hint="eastAsia" w:ascii="黑体" w:hAnsi="黑体" w:eastAsia="黑体" w:cs="黑体"/>
          <w:sz w:val="28"/>
          <w:szCs w:val="28"/>
        </w:rPr>
        <w:t>5.1.1 股票数据查询与缓存</w:t>
      </w:r>
      <w:bookmarkEnd w:id="42"/>
    </w:p>
    <w:p w14:paraId="439C62F5">
      <w:pPr>
        <w:spacing w:line="400" w:lineRule="exact"/>
        <w:ind w:firstLine="480" w:firstLineChars="200"/>
        <w:rPr>
          <w:rFonts w:hint="eastAsia"/>
          <w:sz w:val="24"/>
        </w:rPr>
      </w:pPr>
      <w:r>
        <w:rPr>
          <w:rFonts w:hint="eastAsia"/>
          <w:sz w:val="24"/>
        </w:rPr>
        <w:t>本系统固定配置了几只美股作为交易对象，包括</w:t>
      </w:r>
      <w:r>
        <w:rPr>
          <w:sz w:val="24"/>
        </w:rPr>
        <w:t>IBM</w:t>
      </w:r>
      <w:r>
        <w:rPr>
          <w:rFonts w:hint="eastAsia"/>
          <w:sz w:val="24"/>
        </w:rPr>
        <w:t>、</w:t>
      </w:r>
      <w:r>
        <w:rPr>
          <w:sz w:val="24"/>
        </w:rPr>
        <w:t>AAPL</w:t>
      </w:r>
      <w:r>
        <w:rPr>
          <w:rFonts w:hint="eastAsia"/>
          <w:sz w:val="24"/>
        </w:rPr>
        <w:t>、</w:t>
      </w:r>
      <w:r>
        <w:rPr>
          <w:sz w:val="24"/>
        </w:rPr>
        <w:t>TSLA</w:t>
      </w:r>
      <w:r>
        <w:rPr>
          <w:rFonts w:hint="eastAsia"/>
          <w:sz w:val="24"/>
        </w:rPr>
        <w:t>、</w:t>
      </w:r>
      <w:r>
        <w:rPr>
          <w:sz w:val="24"/>
        </w:rPr>
        <w:t>MSFT</w:t>
      </w:r>
      <w:r>
        <w:rPr>
          <w:rFonts w:hint="eastAsia"/>
          <w:sz w:val="24"/>
        </w:rPr>
        <w:t>等。股票代码清单硬编码于</w:t>
      </w:r>
      <w:r>
        <w:rPr>
          <w:sz w:val="24"/>
        </w:rPr>
        <w:t>SpringBoot</w:t>
      </w:r>
      <w:r>
        <w:rPr>
          <w:rFonts w:hint="eastAsia"/>
          <w:sz w:val="24"/>
        </w:rPr>
        <w:t>配置文件</w:t>
      </w:r>
      <w:r>
        <w:rPr>
          <w:sz w:val="24"/>
        </w:rPr>
        <w:t>application</w:t>
      </w:r>
      <w:r>
        <w:rPr>
          <w:rFonts w:hint="eastAsia"/>
          <w:sz w:val="24"/>
        </w:rPr>
        <w:t>.</w:t>
      </w:r>
      <w:r>
        <w:rPr>
          <w:sz w:val="24"/>
        </w:rPr>
        <w:t>yml</w:t>
      </w:r>
      <w:r>
        <w:rPr>
          <w:rFonts w:hint="eastAsia"/>
          <w:sz w:val="24"/>
        </w:rPr>
        <w:t>中。</w:t>
      </w:r>
    </w:p>
    <w:p w14:paraId="0D3583E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bdr w:val="none" w:color="auto" w:sz="0" w:space="0"/>
          <w:shd w:val="clear" w:fill="FAFAFA"/>
          <w:lang w:val="en-US" w:eastAsia="zh-CN" w:bidi="ar"/>
        </w:rPr>
        <w:t>trading:</w:t>
      </w:r>
    </w:p>
    <w:p w14:paraId="4156F54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4"/>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allowed-stocks:</w:t>
      </w:r>
      <w:r>
        <w:rPr>
          <w:rFonts w:hint="default" w:ascii="Consolas" w:hAnsi="Consolas" w:eastAsia="Consolas" w:cs="Consolas"/>
          <w:i w:val="0"/>
          <w:iCs w:val="0"/>
          <w:caps w:val="0"/>
          <w:color w:val="50A14F"/>
          <w:spacing w:val="0"/>
          <w:kern w:val="0"/>
          <w:sz w:val="21"/>
          <w:szCs w:val="21"/>
          <w:bdr w:val="none" w:color="auto" w:sz="0" w:space="0"/>
          <w:shd w:val="clear" w:fill="FAFAFA"/>
          <w:lang w:val="en-US" w:eastAsia="zh-CN" w:bidi="ar"/>
        </w:rPr>
        <w:t>IBM,</w:t>
      </w:r>
      <w:r>
        <w:rPr>
          <w:rFonts w:hint="default" w:ascii="Consolas" w:hAnsi="Consolas" w:eastAsia="Consolas" w:cs="Consolas"/>
          <w:i w:val="0"/>
          <w:iCs w:val="0"/>
          <w:caps w:val="0"/>
          <w:color w:val="50A14F"/>
          <w:spacing w:val="0"/>
          <w:kern w:val="0"/>
          <w:sz w:val="21"/>
          <w:szCs w:val="21"/>
          <w:bdr w:val="none" w:color="auto" w:sz="0" w:space="0"/>
          <w:shd w:val="clear" w:fill="F8F8F8"/>
          <w:lang w:val="en-US" w:eastAsia="zh-CN" w:bidi="ar"/>
        </w:rPr>
        <w:t>AAPL,</w:t>
      </w:r>
      <w:r>
        <w:rPr>
          <w:rFonts w:hint="default" w:ascii="Consolas" w:hAnsi="Consolas" w:eastAsia="Consolas" w:cs="Consolas"/>
          <w:i w:val="0"/>
          <w:iCs w:val="0"/>
          <w:caps w:val="0"/>
          <w:color w:val="50A14F"/>
          <w:spacing w:val="0"/>
          <w:kern w:val="0"/>
          <w:sz w:val="21"/>
          <w:szCs w:val="21"/>
          <w:bdr w:val="none" w:color="auto" w:sz="0" w:space="0"/>
          <w:shd w:val="clear" w:fill="FAFAFA"/>
          <w:lang w:val="en-US" w:eastAsia="zh-CN" w:bidi="ar"/>
        </w:rPr>
        <w:t>TSLA,</w:t>
      </w:r>
      <w:r>
        <w:rPr>
          <w:rFonts w:hint="default" w:ascii="Consolas" w:hAnsi="Consolas" w:eastAsia="Consolas" w:cs="Consolas"/>
          <w:i w:val="0"/>
          <w:iCs w:val="0"/>
          <w:caps w:val="0"/>
          <w:color w:val="50A14F"/>
          <w:spacing w:val="0"/>
          <w:kern w:val="0"/>
          <w:sz w:val="21"/>
          <w:szCs w:val="21"/>
          <w:bdr w:val="none" w:color="auto" w:sz="0" w:space="0"/>
          <w:shd w:val="clear" w:fill="F8F8F8"/>
          <w:lang w:val="en-US" w:eastAsia="zh-CN" w:bidi="ar"/>
        </w:rPr>
        <w:t>MSFT</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p>
    <w:p w14:paraId="618D28BE">
      <w:pPr>
        <w:spacing w:line="400" w:lineRule="exact"/>
        <w:ind w:firstLine="480" w:firstLineChars="200"/>
        <w:rPr>
          <w:sz w:val="24"/>
        </w:rPr>
      </w:pPr>
      <w:r>
        <w:rPr>
          <w:rFonts w:hint="eastAsia"/>
          <w:sz w:val="24"/>
        </w:rPr>
        <w:t>后端在启动时读取该配置，然后初始化</w:t>
      </w:r>
      <w:r>
        <w:rPr>
          <w:sz w:val="24"/>
        </w:rPr>
        <w:t>stock</w:t>
      </w:r>
      <w:r>
        <w:rPr>
          <w:rFonts w:hint="eastAsia"/>
          <w:sz w:val="24"/>
        </w:rPr>
        <w:t>_</w:t>
      </w:r>
      <w:r>
        <w:rPr>
          <w:sz w:val="24"/>
        </w:rPr>
        <w:t>info</w:t>
      </w:r>
      <w:r>
        <w:rPr>
          <w:rFonts w:hint="eastAsia"/>
          <w:sz w:val="24"/>
        </w:rPr>
        <w:t>表，若表中无记录则新建。之所以采用配置的方式导入交易对象，是为了后续将本地配置升级到远程配置服务，如：</w:t>
      </w:r>
      <w:r>
        <w:rPr>
          <w:sz w:val="24"/>
        </w:rPr>
        <w:t>Nacos</w:t>
      </w:r>
      <w:r>
        <w:rPr>
          <w:rFonts w:hint="eastAsia"/>
          <w:sz w:val="24"/>
        </w:rPr>
        <w:t>、</w:t>
      </w:r>
      <w:r>
        <w:rPr>
          <w:sz w:val="24"/>
        </w:rPr>
        <w:t>Apollo</w:t>
      </w:r>
      <w:r>
        <w:rPr>
          <w:rFonts w:hint="eastAsia"/>
          <w:sz w:val="24"/>
        </w:rPr>
        <w:t>等，以实现在项目上线后动态调整收录股票的功能，在该阶段则暂时配置在本地。</w:t>
      </w:r>
    </w:p>
    <w:p w14:paraId="3FA746A6">
      <w:pPr>
        <w:spacing w:line="400" w:lineRule="exact"/>
        <w:outlineLvl w:val="2"/>
        <w:rPr>
          <w:rFonts w:hint="eastAsia" w:ascii="黑体" w:hAnsi="黑体" w:eastAsia="黑体" w:cs="黑体"/>
          <w:sz w:val="28"/>
          <w:szCs w:val="28"/>
        </w:rPr>
      </w:pPr>
      <w:bookmarkStart w:id="43" w:name="_Toc29394"/>
      <w:r>
        <w:rPr>
          <w:rFonts w:hint="eastAsia" w:ascii="黑体" w:hAnsi="黑体" w:eastAsia="黑体" w:cs="黑体"/>
          <w:sz w:val="28"/>
          <w:szCs w:val="28"/>
        </w:rPr>
        <w:t>5.1.2 股票技术指标的计算</w:t>
      </w:r>
      <w:bookmarkEnd w:id="43"/>
    </w:p>
    <w:p w14:paraId="0F4E16D7">
      <w:pPr>
        <w:spacing w:line="400" w:lineRule="exact"/>
        <w:ind w:firstLine="480" w:firstLineChars="200"/>
        <w:rPr>
          <w:sz w:val="24"/>
        </w:rPr>
      </w:pPr>
      <w:r>
        <w:rPr>
          <w:rFonts w:hint="eastAsia"/>
          <w:sz w:val="24"/>
        </w:rPr>
        <w:t>笔者并没有调用</w:t>
      </w:r>
      <w:r>
        <w:rPr>
          <w:sz w:val="24"/>
        </w:rPr>
        <w:t>Alpha</w:t>
      </w:r>
      <w:r>
        <w:rPr>
          <w:rFonts w:hint="eastAsia"/>
          <w:sz w:val="24"/>
        </w:rPr>
        <w:t xml:space="preserve"> </w:t>
      </w:r>
      <w:r>
        <w:rPr>
          <w:sz w:val="24"/>
        </w:rPr>
        <w:t>Vantage</w:t>
      </w:r>
      <w:r>
        <w:rPr>
          <w:rFonts w:hint="eastAsia"/>
          <w:sz w:val="24"/>
        </w:rPr>
        <w:t>的指标</w:t>
      </w:r>
      <w:r>
        <w:rPr>
          <w:sz w:val="24"/>
        </w:rPr>
        <w:t>API</w:t>
      </w:r>
      <w:r>
        <w:rPr>
          <w:rFonts w:hint="eastAsia"/>
          <w:sz w:val="24"/>
        </w:rPr>
        <w:t>，而是在后端进行了技术指标的计算，主要用到了</w:t>
      </w:r>
      <w:r>
        <w:rPr>
          <w:sz w:val="24"/>
        </w:rPr>
        <w:t>org</w:t>
      </w:r>
      <w:r>
        <w:rPr>
          <w:rFonts w:hint="eastAsia"/>
          <w:sz w:val="24"/>
        </w:rPr>
        <w:t>.</w:t>
      </w:r>
      <w:r>
        <w:rPr>
          <w:sz w:val="24"/>
        </w:rPr>
        <w:t>apache</w:t>
      </w:r>
      <w:r>
        <w:rPr>
          <w:rFonts w:hint="eastAsia"/>
          <w:sz w:val="24"/>
        </w:rPr>
        <w:t>.</w:t>
      </w:r>
      <w:r>
        <w:rPr>
          <w:sz w:val="24"/>
        </w:rPr>
        <w:t>commons</w:t>
      </w:r>
      <w:r>
        <w:rPr>
          <w:rFonts w:hint="eastAsia"/>
          <w:sz w:val="24"/>
        </w:rPr>
        <w:t>.</w:t>
      </w:r>
      <w:r>
        <w:rPr>
          <w:sz w:val="24"/>
        </w:rPr>
        <w:t>math</w:t>
      </w:r>
      <w:r>
        <w:rPr>
          <w:rFonts w:hint="eastAsia"/>
          <w:sz w:val="24"/>
        </w:rPr>
        <w:t>3库中的统计工具类</w:t>
      </w:r>
      <w:r>
        <w:rPr>
          <w:rFonts w:hint="eastAsia"/>
          <w:sz w:val="24"/>
          <w:vertAlign w:val="superscript"/>
        </w:rPr>
        <w:t>[1</w:t>
      </w:r>
      <w:r>
        <w:rPr>
          <w:sz w:val="24"/>
          <w:vertAlign w:val="superscript"/>
          <w:lang w:val="en-IE"/>
        </w:rPr>
        <w:t>8</w:t>
      </w:r>
      <w:r>
        <w:rPr>
          <w:rFonts w:hint="eastAsia"/>
          <w:sz w:val="24"/>
          <w:vertAlign w:val="superscript"/>
        </w:rPr>
        <w:t>]</w:t>
      </w:r>
      <w:r>
        <w:rPr>
          <w:rFonts w:hint="eastAsia"/>
          <w:sz w:val="24"/>
        </w:rPr>
        <w:t>。</w:t>
      </w:r>
    </w:p>
    <w:p w14:paraId="41CEE2FD">
      <w:pPr>
        <w:spacing w:line="400" w:lineRule="exact"/>
        <w:ind w:firstLine="480" w:firstLineChars="200"/>
        <w:rPr>
          <w:sz w:val="24"/>
        </w:rPr>
      </w:pPr>
      <w:r>
        <w:rPr>
          <w:rFonts w:hint="eastAsia"/>
          <w:sz w:val="24"/>
        </w:rPr>
        <w:t>移动平均线：获取最近</w:t>
      </w:r>
      <w:r>
        <w:rPr>
          <w:sz w:val="24"/>
        </w:rPr>
        <w:t>N</w:t>
      </w:r>
      <w:r>
        <w:rPr>
          <w:rFonts w:hint="eastAsia"/>
          <w:sz w:val="24"/>
        </w:rPr>
        <w:t>个交易日的收盘价序列Ci，调用</w:t>
      </w:r>
      <w:r>
        <w:rPr>
          <w:sz w:val="24"/>
        </w:rPr>
        <w:t>StatUtils</w:t>
      </w:r>
      <w:r>
        <w:rPr>
          <w:rFonts w:hint="eastAsia"/>
          <w:sz w:val="24"/>
        </w:rPr>
        <w:t>.</w:t>
      </w:r>
      <w:r>
        <w:rPr>
          <w:sz w:val="24"/>
        </w:rPr>
        <w:t>mean</w:t>
      </w:r>
      <w:r>
        <w:rPr>
          <w:rFonts w:hint="eastAsia"/>
          <w:sz w:val="24"/>
        </w:rPr>
        <w:t>(</w:t>
      </w:r>
      <w:r>
        <w:rPr>
          <w:sz w:val="24"/>
        </w:rPr>
        <w:t>double</w:t>
      </w:r>
      <w:r>
        <w:rPr>
          <w:rFonts w:hint="eastAsia"/>
          <w:sz w:val="24"/>
        </w:rPr>
        <w:t>[])方法计算算术平均数，公式（5.1）如下</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8"/>
        <w:gridCol w:w="6925"/>
        <w:gridCol w:w="996"/>
      </w:tblGrid>
      <w:tr w14:paraId="4811E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6" w:hRule="atLeast"/>
          <w:jc w:val="center"/>
        </w:trPr>
        <w:tc>
          <w:tcPr>
            <w:tcW w:w="817" w:type="dxa"/>
            <w:tcBorders>
              <w:tl2br w:val="nil"/>
              <w:tr2bl w:val="nil"/>
            </w:tcBorders>
          </w:tcPr>
          <w:p w14:paraId="38E6D62F">
            <w:pPr>
              <w:spacing w:line="400" w:lineRule="exact"/>
              <w:rPr>
                <w:sz w:val="24"/>
              </w:rPr>
            </w:pPr>
          </w:p>
        </w:tc>
        <w:tc>
          <w:tcPr>
            <w:tcW w:w="7086" w:type="dxa"/>
            <w:tcBorders>
              <w:tl2br w:val="nil"/>
              <w:tr2bl w:val="nil"/>
            </w:tcBorders>
          </w:tcPr>
          <w:p w14:paraId="0AB38D7D">
            <w:pPr>
              <w:jc w:val="center"/>
              <w:rPr>
                <w:sz w:val="24"/>
                <w:lang w:val="en-IE"/>
              </w:rPr>
            </w:pPr>
            <w:r>
              <w:rPr>
                <w:sz w:val="24"/>
                <w:lang w:val="en-IE"/>
              </w:rPr>
              <w:drawing>
                <wp:inline distT="0" distB="0" distL="114300" distR="114300">
                  <wp:extent cx="1123950" cy="420370"/>
                  <wp:effectExtent l="0" t="0" r="0" b="17780"/>
                  <wp:docPr id="3" name="图片 3" descr="QianJianTec177807908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ianJianTec1778079088032"/>
                          <pic:cNvPicPr>
                            <a:picLocks noChangeAspect="1"/>
                          </pic:cNvPicPr>
                        </pic:nvPicPr>
                        <pic:blipFill>
                          <a:blip r:embed="rId42"/>
                          <a:stretch>
                            <a:fillRect/>
                          </a:stretch>
                        </pic:blipFill>
                        <pic:spPr>
                          <a:xfrm>
                            <a:off x="0" y="0"/>
                            <a:ext cx="1123950" cy="420370"/>
                          </a:xfrm>
                          <a:prstGeom prst="rect">
                            <a:avLst/>
                          </a:prstGeom>
                        </pic:spPr>
                      </pic:pic>
                    </a:graphicData>
                  </a:graphic>
                </wp:inline>
              </w:drawing>
            </w:r>
          </w:p>
        </w:tc>
        <w:tc>
          <w:tcPr>
            <w:tcW w:w="816" w:type="dxa"/>
            <w:tcBorders>
              <w:tl2br w:val="nil"/>
              <w:tr2bl w:val="nil"/>
            </w:tcBorders>
            <w:vAlign w:val="center"/>
          </w:tcPr>
          <w:p w14:paraId="2547A1AB">
            <w:pPr>
              <w:spacing w:line="400" w:lineRule="exact"/>
              <w:rPr>
                <w:sz w:val="24"/>
              </w:rPr>
            </w:pPr>
            <w:r>
              <w:rPr>
                <w:rFonts w:hint="eastAsia"/>
                <w:sz w:val="24"/>
              </w:rPr>
              <w:t>（5.1）</w:t>
            </w:r>
          </w:p>
        </w:tc>
      </w:tr>
    </w:tbl>
    <w:p w14:paraId="7292A02D">
      <w:pPr>
        <w:spacing w:line="400" w:lineRule="exact"/>
        <w:ind w:firstLine="480" w:firstLineChars="200"/>
        <w:rPr>
          <w:sz w:val="24"/>
        </w:rPr>
      </w:pPr>
      <w:r>
        <w:rPr>
          <w:rFonts w:hint="eastAsia"/>
          <w:sz w:val="24"/>
        </w:rPr>
        <w:t>相对强弱指标：按标准公式计算，其中</w:t>
      </w:r>
      <w:r>
        <w:rPr>
          <w:sz w:val="24"/>
        </w:rPr>
        <w:t>RS</w:t>
      </w:r>
      <w:r>
        <w:rPr>
          <w:rFonts w:hint="eastAsia"/>
          <w:sz w:val="24"/>
        </w:rPr>
        <w:t>为</w:t>
      </w:r>
      <w:r>
        <w:rPr>
          <w:sz w:val="24"/>
        </w:rPr>
        <w:t>N</w:t>
      </w:r>
      <w:r>
        <w:rPr>
          <w:rFonts w:hint="eastAsia"/>
          <w:sz w:val="24"/>
        </w:rPr>
        <w:t>日内上涨幅度均值AvgGain与下跌幅度均值AvgLoss的比值，公式（5.2）如下。</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
        <w:gridCol w:w="6950"/>
        <w:gridCol w:w="996"/>
      </w:tblGrid>
      <w:tr w14:paraId="2BB8D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3" w:hRule="atLeast"/>
          <w:jc w:val="center"/>
        </w:trPr>
        <w:tc>
          <w:tcPr>
            <w:tcW w:w="817" w:type="dxa"/>
            <w:tcBorders>
              <w:tl2br w:val="nil"/>
              <w:tr2bl w:val="nil"/>
            </w:tcBorders>
          </w:tcPr>
          <w:p w14:paraId="7E17DA33">
            <w:pPr>
              <w:spacing w:line="400" w:lineRule="exact"/>
              <w:rPr>
                <w:sz w:val="24"/>
              </w:rPr>
            </w:pPr>
          </w:p>
        </w:tc>
        <w:tc>
          <w:tcPr>
            <w:tcW w:w="7086" w:type="dxa"/>
            <w:tcBorders>
              <w:tl2br w:val="nil"/>
              <w:tr2bl w:val="nil"/>
            </w:tcBorders>
          </w:tcPr>
          <w:p w14:paraId="741AE078">
            <w:pPr>
              <w:jc w:val="center"/>
              <w:rPr>
                <w:sz w:val="24"/>
                <w:lang w:val="en-IE"/>
              </w:rPr>
            </w:pPr>
            <w:r>
              <w:rPr>
                <w:rFonts w:hint="eastAsia"/>
                <w:sz w:val="24"/>
                <w:lang w:val="en-IE"/>
              </w:rPr>
              <w:drawing>
                <wp:inline distT="0" distB="0" distL="114300" distR="114300">
                  <wp:extent cx="3185795" cy="422910"/>
                  <wp:effectExtent l="0" t="0" r="0" b="15875"/>
                  <wp:docPr id="22" name="图片 22" descr="QianJianTec177807984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QianJianTec1778079841209"/>
                          <pic:cNvPicPr>
                            <a:picLocks noChangeAspect="1"/>
                          </pic:cNvPicPr>
                        </pic:nvPicPr>
                        <pic:blipFill>
                          <a:blip r:embed="rId43"/>
                          <a:stretch>
                            <a:fillRect/>
                          </a:stretch>
                        </pic:blipFill>
                        <pic:spPr>
                          <a:xfrm>
                            <a:off x="0" y="0"/>
                            <a:ext cx="3185795" cy="422910"/>
                          </a:xfrm>
                          <a:prstGeom prst="rect">
                            <a:avLst/>
                          </a:prstGeom>
                        </pic:spPr>
                      </pic:pic>
                    </a:graphicData>
                  </a:graphic>
                </wp:inline>
              </w:drawing>
            </w:r>
          </w:p>
        </w:tc>
        <w:tc>
          <w:tcPr>
            <w:tcW w:w="816" w:type="dxa"/>
            <w:tcBorders>
              <w:tl2br w:val="nil"/>
              <w:tr2bl w:val="nil"/>
            </w:tcBorders>
            <w:vAlign w:val="center"/>
          </w:tcPr>
          <w:p w14:paraId="462244DE">
            <w:pPr>
              <w:spacing w:line="400" w:lineRule="exact"/>
              <w:rPr>
                <w:sz w:val="24"/>
              </w:rPr>
            </w:pPr>
            <w:r>
              <w:rPr>
                <w:rFonts w:hint="eastAsia"/>
                <w:sz w:val="24"/>
              </w:rPr>
              <w:t>（5.2）</w:t>
            </w:r>
          </w:p>
        </w:tc>
      </w:tr>
    </w:tbl>
    <w:p w14:paraId="6DA0895F">
      <w:pPr>
        <w:spacing w:line="400" w:lineRule="exact"/>
        <w:ind w:firstLine="480" w:firstLineChars="200"/>
        <w:rPr>
          <w:sz w:val="24"/>
        </w:rPr>
      </w:pPr>
      <w:r>
        <w:rPr>
          <w:rFonts w:hint="eastAsia"/>
          <w:sz w:val="24"/>
        </w:rPr>
        <w:t>布林带：中轨MB为</w:t>
      </w:r>
      <w:r>
        <w:rPr>
          <w:sz w:val="24"/>
        </w:rPr>
        <w:t>N</w:t>
      </w:r>
      <w:r>
        <w:rPr>
          <w:rFonts w:hint="eastAsia"/>
          <w:sz w:val="24"/>
        </w:rPr>
        <w:t>日收盘价的移动平均线MB，带宽是标准差通过</w:t>
      </w:r>
      <w:r>
        <w:rPr>
          <w:sz w:val="24"/>
        </w:rPr>
        <w:t>DescriptiveStatistics</w:t>
      </w:r>
      <w:r>
        <w:rPr>
          <w:rFonts w:hint="eastAsia"/>
          <w:sz w:val="24"/>
        </w:rPr>
        <w:t>类求得，上轨（Upper Band）与下轨（Lower Band）则分别在中轨的基础上加减两倍标准差，公式（5.3）中的K通常取值为2。</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
        <w:gridCol w:w="6930"/>
        <w:gridCol w:w="996"/>
      </w:tblGrid>
      <w:tr w14:paraId="57AC7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tcPr>
          <w:p w14:paraId="42C2F26E">
            <w:pPr>
              <w:spacing w:line="400" w:lineRule="exact"/>
              <w:rPr>
                <w:sz w:val="24"/>
              </w:rPr>
            </w:pPr>
          </w:p>
        </w:tc>
        <w:tc>
          <w:tcPr>
            <w:tcW w:w="7086" w:type="dxa"/>
            <w:tcBorders>
              <w:tl2br w:val="nil"/>
              <w:tr2bl w:val="nil"/>
            </w:tcBorders>
          </w:tcPr>
          <w:p w14:paraId="4BDB359C">
            <w:pPr>
              <w:jc w:val="center"/>
              <w:rPr>
                <w:sz w:val="24"/>
                <w:lang w:val="en-IE"/>
              </w:rPr>
            </w:pPr>
            <w:r>
              <w:rPr>
                <w:sz w:val="24"/>
                <w:lang w:val="en-IE"/>
              </w:rPr>
              <w:drawing>
                <wp:inline distT="0" distB="0" distL="114300" distR="114300">
                  <wp:extent cx="1792605" cy="530860"/>
                  <wp:effectExtent l="0" t="0" r="17145" b="2540"/>
                  <wp:docPr id="4" name="图片 4" descr="QianJianTec177807912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ianJianTec1778079126764"/>
                          <pic:cNvPicPr>
                            <a:picLocks noChangeAspect="1"/>
                          </pic:cNvPicPr>
                        </pic:nvPicPr>
                        <pic:blipFill>
                          <a:blip r:embed="rId44"/>
                          <a:stretch>
                            <a:fillRect/>
                          </a:stretch>
                        </pic:blipFill>
                        <pic:spPr>
                          <a:xfrm>
                            <a:off x="0" y="0"/>
                            <a:ext cx="1792605" cy="530860"/>
                          </a:xfrm>
                          <a:prstGeom prst="rect">
                            <a:avLst/>
                          </a:prstGeom>
                        </pic:spPr>
                      </pic:pic>
                    </a:graphicData>
                  </a:graphic>
                </wp:inline>
              </w:drawing>
            </w:r>
          </w:p>
          <w:p w14:paraId="33A47EBC">
            <w:pPr>
              <w:jc w:val="center"/>
              <w:rPr>
                <w:sz w:val="24"/>
                <w:lang w:val="en-IE"/>
              </w:rPr>
            </w:pPr>
            <w:r>
              <w:rPr>
                <w:sz w:val="24"/>
                <w:lang w:val="en-IE"/>
              </w:rPr>
              <w:drawing>
                <wp:inline distT="0" distB="0" distL="114300" distR="114300">
                  <wp:extent cx="1845945" cy="185420"/>
                  <wp:effectExtent l="0" t="0" r="1905" b="4445"/>
                  <wp:docPr id="5" name="图片 5" descr="QianJianTec177807915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ianJianTec1778079153384"/>
                          <pic:cNvPicPr>
                            <a:picLocks noChangeAspect="1"/>
                          </pic:cNvPicPr>
                        </pic:nvPicPr>
                        <pic:blipFill>
                          <a:blip r:embed="rId45"/>
                          <a:stretch>
                            <a:fillRect/>
                          </a:stretch>
                        </pic:blipFill>
                        <pic:spPr>
                          <a:xfrm>
                            <a:off x="0" y="0"/>
                            <a:ext cx="1845945" cy="185420"/>
                          </a:xfrm>
                          <a:prstGeom prst="rect">
                            <a:avLst/>
                          </a:prstGeom>
                        </pic:spPr>
                      </pic:pic>
                    </a:graphicData>
                  </a:graphic>
                </wp:inline>
              </w:drawing>
            </w:r>
          </w:p>
          <w:p w14:paraId="489EBCB3">
            <w:pPr>
              <w:jc w:val="center"/>
              <w:rPr>
                <w:sz w:val="24"/>
                <w:lang w:val="en-IE"/>
              </w:rPr>
            </w:pPr>
            <w:r>
              <w:rPr>
                <w:sz w:val="24"/>
                <w:lang w:val="en-IE"/>
              </w:rPr>
              <w:drawing>
                <wp:inline distT="0" distB="0" distL="114300" distR="114300">
                  <wp:extent cx="1882775" cy="158115"/>
                  <wp:effectExtent l="0" t="0" r="3175" b="13970"/>
                  <wp:docPr id="6" name="图片 6" descr="QianJianTec177807919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ianJianTec1778079194801"/>
                          <pic:cNvPicPr>
                            <a:picLocks noChangeAspect="1"/>
                          </pic:cNvPicPr>
                        </pic:nvPicPr>
                        <pic:blipFill>
                          <a:blip r:embed="rId46"/>
                          <a:stretch>
                            <a:fillRect/>
                          </a:stretch>
                        </pic:blipFill>
                        <pic:spPr>
                          <a:xfrm>
                            <a:off x="0" y="0"/>
                            <a:ext cx="1882775" cy="158115"/>
                          </a:xfrm>
                          <a:prstGeom prst="rect">
                            <a:avLst/>
                          </a:prstGeom>
                        </pic:spPr>
                      </pic:pic>
                    </a:graphicData>
                  </a:graphic>
                </wp:inline>
              </w:drawing>
            </w:r>
          </w:p>
        </w:tc>
        <w:tc>
          <w:tcPr>
            <w:tcW w:w="816" w:type="dxa"/>
            <w:tcBorders>
              <w:tl2br w:val="nil"/>
              <w:tr2bl w:val="nil"/>
            </w:tcBorders>
            <w:vAlign w:val="center"/>
          </w:tcPr>
          <w:p w14:paraId="0CBA0708">
            <w:pPr>
              <w:spacing w:line="400" w:lineRule="exact"/>
              <w:rPr>
                <w:sz w:val="24"/>
              </w:rPr>
            </w:pPr>
            <w:r>
              <w:rPr>
                <w:rFonts w:hint="eastAsia"/>
                <w:sz w:val="24"/>
              </w:rPr>
              <w:t>（5.3）</w:t>
            </w:r>
          </w:p>
        </w:tc>
      </w:tr>
    </w:tbl>
    <w:p w14:paraId="0E330684">
      <w:pPr>
        <w:spacing w:line="400" w:lineRule="exact"/>
        <w:ind w:firstLine="480" w:firstLineChars="200"/>
        <w:rPr>
          <w:sz w:val="24"/>
        </w:rPr>
      </w:pPr>
      <w:r>
        <w:rPr>
          <w:rFonts w:hint="eastAsia"/>
          <w:sz w:val="24"/>
        </w:rPr>
        <w:t>指标计算类设计为无状态工具类，方法签名示例：</w:t>
      </w:r>
    </w:p>
    <w:p w14:paraId="568DBE42">
      <w:pPr>
        <w:widowControl/>
        <w:shd w:val="clear" w:color="auto" w:fill="FAFAFA"/>
        <w:jc w:val="left"/>
        <w:rPr>
          <w:rFonts w:ascii="Consolas" w:hAnsi="Consolas" w:eastAsia="Consolas" w:cs="Consolas"/>
          <w:color w:val="383A42"/>
          <w:szCs w:val="21"/>
        </w:rPr>
      </w:pPr>
      <w:r>
        <w:rPr>
          <w:rFonts w:eastAsia="Consolas"/>
          <w:color w:val="A626A4"/>
          <w:kern w:val="0"/>
          <w:sz w:val="24"/>
          <w:shd w:val="clear" w:color="auto" w:fill="FAFAFA"/>
          <w:lang w:bidi="ar"/>
        </w:rPr>
        <w:t>public</w:t>
      </w:r>
      <w:r>
        <w:rPr>
          <w:rFonts w:ascii="Consolas" w:hAnsi="Consolas" w:eastAsia="Consolas" w:cs="Consolas"/>
          <w:color w:val="383A42"/>
          <w:kern w:val="0"/>
          <w:szCs w:val="21"/>
          <w:shd w:val="clear" w:color="auto" w:fill="FAFAFA"/>
          <w:lang w:bidi="ar"/>
        </w:rPr>
        <w:t> </w:t>
      </w:r>
      <w:r>
        <w:rPr>
          <w:rFonts w:eastAsia="Consolas"/>
          <w:color w:val="A626A4"/>
          <w:kern w:val="0"/>
          <w:sz w:val="24"/>
          <w:shd w:val="clear" w:color="auto" w:fill="FAFAFA"/>
          <w:lang w:bidi="ar"/>
        </w:rPr>
        <w:t>class</w:t>
      </w:r>
      <w:r>
        <w:rPr>
          <w:rFonts w:ascii="Consolas" w:hAnsi="Consolas" w:eastAsia="Consolas" w:cs="Consolas"/>
          <w:color w:val="383A42"/>
          <w:kern w:val="0"/>
          <w:szCs w:val="21"/>
          <w:shd w:val="clear" w:color="auto" w:fill="FAFAFA"/>
          <w:lang w:bidi="ar"/>
        </w:rPr>
        <w:t> </w:t>
      </w:r>
      <w:r>
        <w:rPr>
          <w:rFonts w:eastAsia="Consolas"/>
          <w:color w:val="383A42"/>
          <w:kern w:val="0"/>
          <w:sz w:val="24"/>
          <w:shd w:val="clear" w:color="auto" w:fill="FAFAFA"/>
          <w:lang w:bidi="ar"/>
        </w:rPr>
        <w:t>IndicatorCalculator</w:t>
      </w:r>
      <w:r>
        <w:rPr>
          <w:rFonts w:ascii="Consolas" w:hAnsi="Consolas" w:eastAsia="Consolas" w:cs="Consolas"/>
          <w:color w:val="383A42"/>
          <w:kern w:val="0"/>
          <w:szCs w:val="21"/>
          <w:shd w:val="clear" w:color="auto" w:fill="FAFAFA"/>
          <w:lang w:bidi="ar"/>
        </w:rPr>
        <w:t> {</w:t>
      </w:r>
    </w:p>
    <w:p w14:paraId="16C8CEAF">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A626A4"/>
          <w:kern w:val="0"/>
          <w:sz w:val="24"/>
          <w:shd w:val="clear" w:color="auto" w:fill="F8F8F8"/>
          <w:lang w:bidi="ar"/>
        </w:rPr>
        <w:t>public</w:t>
      </w:r>
      <w:r>
        <w:rPr>
          <w:rFonts w:ascii="Consolas" w:hAnsi="Consolas" w:eastAsia="Consolas" w:cs="Consolas"/>
          <w:color w:val="383A42"/>
          <w:kern w:val="0"/>
          <w:szCs w:val="21"/>
          <w:shd w:val="clear" w:color="auto" w:fill="F8F8F8"/>
          <w:lang w:bidi="ar"/>
        </w:rPr>
        <w:t> </w:t>
      </w:r>
      <w:r>
        <w:rPr>
          <w:rFonts w:eastAsia="Consolas"/>
          <w:color w:val="A626A4"/>
          <w:kern w:val="0"/>
          <w:sz w:val="24"/>
          <w:shd w:val="clear" w:color="auto" w:fill="F8F8F8"/>
          <w:lang w:bidi="ar"/>
        </w:rPr>
        <w:t>static</w:t>
      </w: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double</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sma</w:t>
      </w:r>
      <w:r>
        <w:rPr>
          <w:rFonts w:ascii="Consolas" w:hAnsi="Consolas" w:eastAsia="Consolas" w:cs="Consolas"/>
          <w:color w:val="383A42"/>
          <w:kern w:val="0"/>
          <w:szCs w:val="21"/>
          <w:shd w:val="clear" w:color="auto" w:fill="F8F8F8"/>
          <w:lang w:bidi="ar"/>
        </w:rPr>
        <w:t>(</w:t>
      </w:r>
      <w:r>
        <w:rPr>
          <w:rFonts w:eastAsia="Consolas"/>
          <w:color w:val="383A42"/>
          <w:kern w:val="0"/>
          <w:sz w:val="24"/>
          <w:shd w:val="clear" w:color="auto" w:fill="F8F8F8"/>
          <w:lang w:bidi="ar"/>
        </w:rPr>
        <w:t>List</w:t>
      </w:r>
      <w:r>
        <w:rPr>
          <w:rFonts w:ascii="Consolas" w:hAnsi="Consolas" w:eastAsia="Consolas" w:cs="Consolas"/>
          <w:color w:val="383A42"/>
          <w:kern w:val="0"/>
          <w:szCs w:val="21"/>
          <w:shd w:val="clear" w:color="auto" w:fill="F8F8F8"/>
          <w:lang w:bidi="ar"/>
        </w:rPr>
        <w:t>&lt;</w:t>
      </w:r>
      <w:r>
        <w:rPr>
          <w:rFonts w:eastAsia="Consolas"/>
          <w:color w:val="383A42"/>
          <w:kern w:val="0"/>
          <w:sz w:val="24"/>
          <w:shd w:val="clear" w:color="auto" w:fill="F8F8F8"/>
          <w:lang w:bidi="ar"/>
        </w:rPr>
        <w:t>Double</w:t>
      </w:r>
      <w:r>
        <w:rPr>
          <w:rFonts w:ascii="Consolas" w:hAnsi="Consolas" w:eastAsia="Consolas" w:cs="Consolas"/>
          <w:color w:val="383A42"/>
          <w:kern w:val="0"/>
          <w:szCs w:val="21"/>
          <w:shd w:val="clear" w:color="auto" w:fill="F8F8F8"/>
          <w:lang w:bidi="ar"/>
        </w:rPr>
        <w:t>&gt; </w:t>
      </w:r>
      <w:r>
        <w:rPr>
          <w:rFonts w:eastAsia="Consolas"/>
          <w:color w:val="383A42"/>
          <w:kern w:val="0"/>
          <w:sz w:val="24"/>
          <w:shd w:val="clear" w:color="auto" w:fill="F8F8F8"/>
          <w:lang w:bidi="ar"/>
        </w:rPr>
        <w:t>prices</w:t>
      </w: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int</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period</w:t>
      </w:r>
      <w:r>
        <w:rPr>
          <w:rFonts w:ascii="Consolas" w:hAnsi="Consolas" w:eastAsia="Consolas" w:cs="Consolas"/>
          <w:color w:val="383A42"/>
          <w:kern w:val="0"/>
          <w:szCs w:val="21"/>
          <w:shd w:val="clear" w:color="auto" w:fill="F8F8F8"/>
          <w:lang w:bidi="ar"/>
        </w:rPr>
        <w:t>) { ... }</w:t>
      </w:r>
    </w:p>
    <w:p w14:paraId="30ADC7D9">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A626A4"/>
          <w:kern w:val="0"/>
          <w:sz w:val="24"/>
          <w:shd w:val="clear" w:color="auto" w:fill="FAFAFA"/>
          <w:lang w:bidi="ar"/>
        </w:rPr>
        <w:t>public</w:t>
      </w:r>
      <w:r>
        <w:rPr>
          <w:rFonts w:ascii="Consolas" w:hAnsi="Consolas" w:eastAsia="Consolas" w:cs="Consolas"/>
          <w:color w:val="383A42"/>
          <w:kern w:val="0"/>
          <w:szCs w:val="21"/>
          <w:shd w:val="clear" w:color="auto" w:fill="FAFAFA"/>
          <w:lang w:bidi="ar"/>
        </w:rPr>
        <w:t> </w:t>
      </w:r>
      <w:r>
        <w:rPr>
          <w:rFonts w:eastAsia="Consolas"/>
          <w:color w:val="A626A4"/>
          <w:kern w:val="0"/>
          <w:sz w:val="24"/>
          <w:shd w:val="clear" w:color="auto" w:fill="FAFAFA"/>
          <w:lang w:bidi="ar"/>
        </w:rPr>
        <w:t>static</w:t>
      </w: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double</w:t>
      </w:r>
      <w:r>
        <w:rPr>
          <w:rFonts w:ascii="Consolas" w:hAnsi="Consolas" w:eastAsia="Consolas" w:cs="Consolas"/>
          <w:color w:val="383A42"/>
          <w:kern w:val="0"/>
          <w:szCs w:val="21"/>
          <w:shd w:val="clear" w:color="auto" w:fill="FAFAFA"/>
          <w:lang w:bidi="ar"/>
        </w:rPr>
        <w:t> </w:t>
      </w:r>
      <w:r>
        <w:rPr>
          <w:rFonts w:eastAsia="Consolas"/>
          <w:color w:val="383A42"/>
          <w:kern w:val="0"/>
          <w:sz w:val="24"/>
          <w:shd w:val="clear" w:color="auto" w:fill="FAFAFA"/>
          <w:lang w:bidi="ar"/>
        </w:rPr>
        <w:t>rsi</w:t>
      </w:r>
      <w:r>
        <w:rPr>
          <w:rFonts w:ascii="Consolas" w:hAnsi="Consolas" w:eastAsia="Consolas" w:cs="Consolas"/>
          <w:color w:val="383A42"/>
          <w:kern w:val="0"/>
          <w:szCs w:val="21"/>
          <w:shd w:val="clear" w:color="auto" w:fill="FAFAFA"/>
          <w:lang w:bidi="ar"/>
        </w:rPr>
        <w:t>(</w:t>
      </w:r>
      <w:r>
        <w:rPr>
          <w:rFonts w:eastAsia="Consolas"/>
          <w:color w:val="383A42"/>
          <w:kern w:val="0"/>
          <w:sz w:val="24"/>
          <w:shd w:val="clear" w:color="auto" w:fill="FAFAFA"/>
          <w:lang w:bidi="ar"/>
        </w:rPr>
        <w:t>List</w:t>
      </w:r>
      <w:r>
        <w:rPr>
          <w:rFonts w:ascii="Consolas" w:hAnsi="Consolas" w:eastAsia="Consolas" w:cs="Consolas"/>
          <w:color w:val="383A42"/>
          <w:kern w:val="0"/>
          <w:szCs w:val="21"/>
          <w:shd w:val="clear" w:color="auto" w:fill="FAFAFA"/>
          <w:lang w:bidi="ar"/>
        </w:rPr>
        <w:t>&lt;</w:t>
      </w:r>
      <w:r>
        <w:rPr>
          <w:rFonts w:eastAsia="Consolas"/>
          <w:color w:val="383A42"/>
          <w:kern w:val="0"/>
          <w:sz w:val="24"/>
          <w:shd w:val="clear" w:color="auto" w:fill="FAFAFA"/>
          <w:lang w:bidi="ar"/>
        </w:rPr>
        <w:t>Double</w:t>
      </w:r>
      <w:r>
        <w:rPr>
          <w:rFonts w:ascii="Consolas" w:hAnsi="Consolas" w:eastAsia="Consolas" w:cs="Consolas"/>
          <w:color w:val="383A42"/>
          <w:kern w:val="0"/>
          <w:szCs w:val="21"/>
          <w:shd w:val="clear" w:color="auto" w:fill="FAFAFA"/>
          <w:lang w:bidi="ar"/>
        </w:rPr>
        <w:t>&gt; </w:t>
      </w:r>
      <w:r>
        <w:rPr>
          <w:rFonts w:eastAsia="Consolas"/>
          <w:color w:val="383A42"/>
          <w:kern w:val="0"/>
          <w:sz w:val="24"/>
          <w:shd w:val="clear" w:color="auto" w:fill="FAFAFA"/>
          <w:lang w:bidi="ar"/>
        </w:rPr>
        <w:t>prices</w:t>
      </w: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int</w:t>
      </w:r>
      <w:r>
        <w:rPr>
          <w:rFonts w:ascii="Consolas" w:hAnsi="Consolas" w:eastAsia="Consolas" w:cs="Consolas"/>
          <w:color w:val="383A42"/>
          <w:kern w:val="0"/>
          <w:szCs w:val="21"/>
          <w:shd w:val="clear" w:color="auto" w:fill="FAFAFA"/>
          <w:lang w:bidi="ar"/>
        </w:rPr>
        <w:t> </w:t>
      </w:r>
      <w:r>
        <w:rPr>
          <w:rFonts w:eastAsia="Consolas"/>
          <w:color w:val="383A42"/>
          <w:kern w:val="0"/>
          <w:sz w:val="24"/>
          <w:shd w:val="clear" w:color="auto" w:fill="FAFAFA"/>
          <w:lang w:bidi="ar"/>
        </w:rPr>
        <w:t>period</w:t>
      </w:r>
      <w:r>
        <w:rPr>
          <w:rFonts w:ascii="Consolas" w:hAnsi="Consolas" w:eastAsia="Consolas" w:cs="Consolas"/>
          <w:color w:val="383A42"/>
          <w:kern w:val="0"/>
          <w:szCs w:val="21"/>
          <w:shd w:val="clear" w:color="auto" w:fill="FAFAFA"/>
          <w:lang w:bidi="ar"/>
        </w:rPr>
        <w:t>) { ... }</w:t>
      </w:r>
    </w:p>
    <w:p w14:paraId="15D8931F">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A626A4"/>
          <w:kern w:val="0"/>
          <w:sz w:val="24"/>
          <w:shd w:val="clear" w:color="auto" w:fill="F8F8F8"/>
          <w:lang w:bidi="ar"/>
        </w:rPr>
        <w:t>public</w:t>
      </w:r>
      <w:r>
        <w:rPr>
          <w:rFonts w:ascii="Consolas" w:hAnsi="Consolas" w:eastAsia="Consolas" w:cs="Consolas"/>
          <w:color w:val="383A42"/>
          <w:kern w:val="0"/>
          <w:szCs w:val="21"/>
          <w:shd w:val="clear" w:color="auto" w:fill="F8F8F8"/>
          <w:lang w:bidi="ar"/>
        </w:rPr>
        <w:t> </w:t>
      </w:r>
      <w:r>
        <w:rPr>
          <w:rFonts w:eastAsia="Consolas"/>
          <w:color w:val="A626A4"/>
          <w:kern w:val="0"/>
          <w:sz w:val="24"/>
          <w:shd w:val="clear" w:color="auto" w:fill="F8F8F8"/>
          <w:lang w:bidi="ar"/>
        </w:rPr>
        <w:t>static</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BollingerBand</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bollinger</w:t>
      </w:r>
      <w:r>
        <w:rPr>
          <w:rFonts w:ascii="Consolas" w:hAnsi="Consolas" w:eastAsia="Consolas" w:cs="Consolas"/>
          <w:color w:val="383A42"/>
          <w:kern w:val="0"/>
          <w:szCs w:val="21"/>
          <w:shd w:val="clear" w:color="auto" w:fill="F8F8F8"/>
          <w:lang w:bidi="ar"/>
        </w:rPr>
        <w:t>(</w:t>
      </w:r>
      <w:r>
        <w:rPr>
          <w:rFonts w:eastAsia="Consolas"/>
          <w:color w:val="383A42"/>
          <w:kern w:val="0"/>
          <w:sz w:val="24"/>
          <w:shd w:val="clear" w:color="auto" w:fill="F8F8F8"/>
          <w:lang w:bidi="ar"/>
        </w:rPr>
        <w:t>List</w:t>
      </w:r>
      <w:r>
        <w:rPr>
          <w:rFonts w:ascii="Consolas" w:hAnsi="Consolas" w:eastAsia="Consolas" w:cs="Consolas"/>
          <w:color w:val="383A42"/>
          <w:kern w:val="0"/>
          <w:szCs w:val="21"/>
          <w:shd w:val="clear" w:color="auto" w:fill="F8F8F8"/>
          <w:lang w:bidi="ar"/>
        </w:rPr>
        <w:t>&lt;</w:t>
      </w:r>
      <w:r>
        <w:rPr>
          <w:rFonts w:eastAsia="Consolas"/>
          <w:color w:val="383A42"/>
          <w:kern w:val="0"/>
          <w:sz w:val="24"/>
          <w:shd w:val="clear" w:color="auto" w:fill="F8F8F8"/>
          <w:lang w:bidi="ar"/>
        </w:rPr>
        <w:t>Double</w:t>
      </w:r>
      <w:r>
        <w:rPr>
          <w:rFonts w:ascii="Consolas" w:hAnsi="Consolas" w:eastAsia="Consolas" w:cs="Consolas"/>
          <w:color w:val="383A42"/>
          <w:kern w:val="0"/>
          <w:szCs w:val="21"/>
          <w:shd w:val="clear" w:color="auto" w:fill="F8F8F8"/>
          <w:lang w:bidi="ar"/>
        </w:rPr>
        <w:t>&gt; </w:t>
      </w:r>
      <w:r>
        <w:rPr>
          <w:rFonts w:eastAsia="Consolas"/>
          <w:color w:val="383A42"/>
          <w:kern w:val="0"/>
          <w:sz w:val="24"/>
          <w:shd w:val="clear" w:color="auto" w:fill="F8F8F8"/>
          <w:lang w:bidi="ar"/>
        </w:rPr>
        <w:t>prices</w:t>
      </w: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int</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period</w:t>
      </w:r>
      <w:r>
        <w:rPr>
          <w:rFonts w:ascii="Consolas" w:hAnsi="Consolas" w:eastAsia="Consolas" w:cs="Consolas"/>
          <w:color w:val="383A42"/>
          <w:kern w:val="0"/>
          <w:szCs w:val="21"/>
          <w:shd w:val="clear" w:color="auto" w:fill="F8F8F8"/>
          <w:lang w:bidi="ar"/>
        </w:rPr>
        <w:t>) { ...}</w:t>
      </w:r>
    </w:p>
    <w:p w14:paraId="3090C41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w:t>
      </w:r>
    </w:p>
    <w:p w14:paraId="3CBF3FD5">
      <w:pPr>
        <w:spacing w:line="400" w:lineRule="exact"/>
        <w:ind w:firstLine="480" w:firstLineChars="200"/>
        <w:rPr>
          <w:sz w:val="24"/>
        </w:rPr>
      </w:pPr>
      <w:r>
        <w:rPr>
          <w:rFonts w:hint="eastAsia"/>
          <w:sz w:val="24"/>
        </w:rPr>
        <w:t>以上各种方法都在</w:t>
      </w:r>
      <w:r>
        <w:rPr>
          <w:sz w:val="24"/>
        </w:rPr>
        <w:t>AI</w:t>
      </w:r>
      <w:r>
        <w:rPr>
          <w:rFonts w:hint="eastAsia"/>
          <w:sz w:val="24"/>
        </w:rPr>
        <w:t>决策时调用，调用结果用于辅助</w:t>
      </w:r>
      <w:r>
        <w:rPr>
          <w:sz w:val="24"/>
        </w:rPr>
        <w:t>AI</w:t>
      </w:r>
      <w:r>
        <w:rPr>
          <w:rFonts w:hint="eastAsia"/>
          <w:sz w:val="24"/>
        </w:rPr>
        <w:t>进行推理；本系统并不将指标结果持久化，以维护数据结构的简洁和实效性</w:t>
      </w:r>
    </w:p>
    <w:p w14:paraId="10009EEE">
      <w:pPr>
        <w:pStyle w:val="11"/>
        <w:spacing w:line="400" w:lineRule="exact"/>
        <w:outlineLvl w:val="1"/>
        <w:rPr>
          <w:rFonts w:ascii="黑体" w:eastAsia="黑体"/>
          <w:sz w:val="30"/>
        </w:rPr>
      </w:pPr>
      <w:bookmarkStart w:id="44" w:name="_Toc5670"/>
      <w:r>
        <w:rPr>
          <w:rFonts w:hint="eastAsia" w:ascii="黑体" w:eastAsia="黑体"/>
          <w:sz w:val="30"/>
        </w:rPr>
        <w:t xml:space="preserve">5.2 </w:t>
      </w:r>
      <w:r>
        <w:rPr>
          <w:rFonts w:ascii="黑体" w:eastAsia="黑体"/>
          <w:sz w:val="30"/>
        </w:rPr>
        <w:t>AI</w:t>
      </w:r>
      <w:r>
        <w:rPr>
          <w:rFonts w:hint="eastAsia" w:ascii="黑体" w:eastAsia="黑体"/>
          <w:sz w:val="30"/>
        </w:rPr>
        <w:t>决策模块</w:t>
      </w:r>
      <w:bookmarkEnd w:id="44"/>
      <w:r>
        <w:rPr>
          <w:rFonts w:hint="eastAsia" w:ascii="黑体" w:eastAsia="黑体"/>
          <w:sz w:val="30"/>
        </w:rPr>
        <w:t>实现</w:t>
      </w:r>
    </w:p>
    <w:p w14:paraId="02DDCE0E">
      <w:pPr>
        <w:spacing w:line="400" w:lineRule="exact"/>
        <w:outlineLvl w:val="2"/>
        <w:rPr>
          <w:rFonts w:hint="eastAsia" w:ascii="黑体" w:hAnsi="黑体" w:eastAsia="黑体" w:cs="黑体"/>
          <w:sz w:val="28"/>
          <w:szCs w:val="28"/>
        </w:rPr>
      </w:pPr>
      <w:bookmarkStart w:id="45" w:name="_Toc29494"/>
      <w:r>
        <w:rPr>
          <w:rFonts w:hint="eastAsia" w:ascii="黑体" w:hAnsi="黑体" w:eastAsia="黑体" w:cs="黑体"/>
          <w:sz w:val="28"/>
          <w:szCs w:val="28"/>
        </w:rPr>
        <w:t>5.2.1 模型配置与加载</w:t>
      </w:r>
      <w:bookmarkEnd w:id="45"/>
    </w:p>
    <w:p w14:paraId="1236AE67">
      <w:pPr>
        <w:spacing w:line="400" w:lineRule="exact"/>
        <w:ind w:firstLine="480" w:firstLineChars="200"/>
        <w:rPr>
          <w:sz w:val="24"/>
        </w:rPr>
      </w:pPr>
      <w:r>
        <w:rPr>
          <w:rFonts w:hint="eastAsia"/>
          <w:sz w:val="24"/>
        </w:rPr>
        <w:t>本系统共集成了三个不同厂商的大语言模型，代号</w:t>
      </w:r>
      <w:r>
        <w:rPr>
          <w:sz w:val="24"/>
        </w:rPr>
        <w:t>A</w:t>
      </w:r>
      <w:r>
        <w:rPr>
          <w:rFonts w:hint="eastAsia"/>
          <w:sz w:val="24"/>
        </w:rPr>
        <w:t>、</w:t>
      </w:r>
      <w:r>
        <w:rPr>
          <w:sz w:val="24"/>
        </w:rPr>
        <w:t>B</w:t>
      </w:r>
      <w:r>
        <w:rPr>
          <w:rFonts w:hint="eastAsia"/>
          <w:sz w:val="24"/>
        </w:rPr>
        <w:t>、</w:t>
      </w:r>
      <w:r>
        <w:rPr>
          <w:sz w:val="24"/>
        </w:rPr>
        <w:t>C</w:t>
      </w:r>
      <w:r>
        <w:rPr>
          <w:rFonts w:hint="eastAsia"/>
          <w:sz w:val="24"/>
        </w:rPr>
        <w:t>分别对应百度</w:t>
      </w:r>
      <w:r>
        <w:rPr>
          <w:sz w:val="24"/>
        </w:rPr>
        <w:t>ERNIE</w:t>
      </w:r>
      <w:r>
        <w:rPr>
          <w:rFonts w:hint="eastAsia"/>
          <w:sz w:val="24"/>
        </w:rPr>
        <w:t xml:space="preserve"> 5.0、阿里通义千问</w:t>
      </w:r>
      <w:r>
        <w:rPr>
          <w:sz w:val="24"/>
        </w:rPr>
        <w:t>Max</w:t>
      </w:r>
      <w:r>
        <w:rPr>
          <w:rFonts w:hint="eastAsia"/>
          <w:sz w:val="24"/>
        </w:rPr>
        <w:t>、</w:t>
      </w:r>
      <w:r>
        <w:rPr>
          <w:sz w:val="24"/>
        </w:rPr>
        <w:t>OpenAI</w:t>
      </w:r>
      <w:r>
        <w:rPr>
          <w:rFonts w:hint="eastAsia"/>
          <w:sz w:val="24"/>
        </w:rPr>
        <w:t xml:space="preserve"> </w:t>
      </w:r>
      <w:r>
        <w:rPr>
          <w:sz w:val="24"/>
        </w:rPr>
        <w:t>GPT</w:t>
      </w:r>
      <w:r>
        <w:rPr>
          <w:rFonts w:hint="eastAsia"/>
          <w:sz w:val="24"/>
        </w:rPr>
        <w:t xml:space="preserve">-4 </w:t>
      </w:r>
      <w:r>
        <w:rPr>
          <w:sz w:val="24"/>
        </w:rPr>
        <w:t>mini</w:t>
      </w:r>
      <w:r>
        <w:rPr>
          <w:rFonts w:hint="eastAsia"/>
          <w:sz w:val="24"/>
          <w:vertAlign w:val="superscript"/>
        </w:rPr>
        <w:t>[1</w:t>
      </w:r>
      <w:r>
        <w:rPr>
          <w:sz w:val="24"/>
          <w:vertAlign w:val="superscript"/>
          <w:lang w:val="en-IE"/>
        </w:rPr>
        <w:t>9</w:t>
      </w:r>
      <w:r>
        <w:rPr>
          <w:rFonts w:hint="eastAsia"/>
          <w:sz w:val="24"/>
          <w:vertAlign w:val="superscript"/>
        </w:rPr>
        <w:t>]</w:t>
      </w:r>
      <w:r>
        <w:rPr>
          <w:rFonts w:hint="eastAsia"/>
          <w:sz w:val="24"/>
        </w:rPr>
        <w:t>。各模型的</w:t>
      </w:r>
      <w:r>
        <w:rPr>
          <w:sz w:val="24"/>
        </w:rPr>
        <w:t>baseUrl</w:t>
      </w:r>
      <w:r>
        <w:rPr>
          <w:rFonts w:hint="eastAsia"/>
          <w:sz w:val="24"/>
        </w:rPr>
        <w:t>、</w:t>
      </w:r>
      <w:r>
        <w:rPr>
          <w:sz w:val="24"/>
        </w:rPr>
        <w:t>apiKey</w:t>
      </w:r>
      <w:r>
        <w:rPr>
          <w:rFonts w:hint="eastAsia"/>
          <w:sz w:val="24"/>
        </w:rPr>
        <w:t>及模型名称参数配置于</w:t>
      </w:r>
      <w:r>
        <w:rPr>
          <w:sz w:val="24"/>
        </w:rPr>
        <w:t>application</w:t>
      </w:r>
      <w:r>
        <w:rPr>
          <w:rFonts w:hint="eastAsia"/>
          <w:sz w:val="24"/>
        </w:rPr>
        <w:t>.</w:t>
      </w:r>
      <w:r>
        <w:rPr>
          <w:sz w:val="24"/>
        </w:rPr>
        <w:t>yml</w:t>
      </w:r>
      <w:r>
        <w:rPr>
          <w:rFonts w:hint="eastAsia"/>
          <w:sz w:val="24"/>
        </w:rPr>
        <w:t>中：</w:t>
      </w:r>
    </w:p>
    <w:p w14:paraId="56CD6B8D">
      <w:pPr>
        <w:widowControl/>
        <w:shd w:val="clear" w:color="auto" w:fill="F8F8F8"/>
        <w:jc w:val="left"/>
        <w:rPr>
          <w:rFonts w:ascii="Consolas" w:hAnsi="Consolas" w:eastAsia="Consolas" w:cs="Consolas"/>
          <w:color w:val="383A42"/>
          <w:szCs w:val="21"/>
        </w:rPr>
      </w:pPr>
      <w:r>
        <w:rPr>
          <w:rFonts w:eastAsia="Consolas"/>
          <w:color w:val="986801"/>
          <w:kern w:val="0"/>
          <w:sz w:val="24"/>
          <w:shd w:val="clear" w:color="auto" w:fill="F8F8F8"/>
          <w:lang w:bidi="ar"/>
        </w:rPr>
        <w:t>langchain</w:t>
      </w:r>
      <w:r>
        <w:rPr>
          <w:rFonts w:ascii="Consolas" w:hAnsi="Consolas" w:eastAsia="Consolas" w:cs="Consolas"/>
          <w:color w:val="986801"/>
          <w:kern w:val="0"/>
          <w:szCs w:val="21"/>
          <w:shd w:val="clear" w:color="auto" w:fill="F8F8F8"/>
          <w:lang w:bidi="ar"/>
        </w:rPr>
        <w:t>4</w:t>
      </w:r>
      <w:r>
        <w:rPr>
          <w:rFonts w:eastAsia="Consolas"/>
          <w:color w:val="986801"/>
          <w:kern w:val="0"/>
          <w:sz w:val="24"/>
          <w:shd w:val="clear" w:color="auto" w:fill="F8F8F8"/>
          <w:lang w:bidi="ar"/>
        </w:rPr>
        <w:t>j</w:t>
      </w:r>
      <w:r>
        <w:rPr>
          <w:rFonts w:ascii="Consolas" w:hAnsi="Consolas" w:eastAsia="Consolas" w:cs="Consolas"/>
          <w:color w:val="986801"/>
          <w:kern w:val="0"/>
          <w:szCs w:val="21"/>
          <w:shd w:val="clear" w:color="auto" w:fill="F8F8F8"/>
          <w:lang w:bidi="ar"/>
        </w:rPr>
        <w:t>:</w:t>
      </w:r>
    </w:p>
    <w:p w14:paraId="21A3F1AB">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models</w:t>
      </w:r>
      <w:r>
        <w:rPr>
          <w:rFonts w:ascii="Consolas" w:hAnsi="Consolas" w:eastAsia="Consolas" w:cs="Consolas"/>
          <w:color w:val="986801"/>
          <w:kern w:val="0"/>
          <w:szCs w:val="21"/>
          <w:shd w:val="clear" w:color="auto" w:fill="FAFAFA"/>
          <w:lang w:bidi="ar"/>
        </w:rPr>
        <w:t>:</w:t>
      </w:r>
    </w:p>
    <w:p w14:paraId="297AE0C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ernie</w:t>
      </w:r>
      <w:r>
        <w:rPr>
          <w:rFonts w:ascii="Consolas" w:hAnsi="Consolas" w:eastAsia="Consolas" w:cs="Consolas"/>
          <w:color w:val="986801"/>
          <w:kern w:val="0"/>
          <w:szCs w:val="21"/>
          <w:shd w:val="clear" w:color="auto" w:fill="F8F8F8"/>
          <w:lang w:bidi="ar"/>
        </w:rPr>
        <w:t>:</w:t>
      </w:r>
    </w:p>
    <w:p w14:paraId="6A0CDEFE">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base</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url</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https</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qianfan</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baidubce</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com</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v</w:t>
      </w:r>
      <w:r>
        <w:rPr>
          <w:rFonts w:ascii="Consolas" w:hAnsi="Consolas" w:eastAsia="Consolas" w:cs="Consolas"/>
          <w:color w:val="50A14F"/>
          <w:kern w:val="0"/>
          <w:szCs w:val="21"/>
          <w:shd w:val="clear" w:color="auto" w:fill="FAFAFA"/>
          <w:lang w:bidi="ar"/>
        </w:rPr>
        <w:t>2</w:t>
      </w:r>
    </w:p>
    <w:p w14:paraId="0AD3ADCA">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api</w:t>
      </w:r>
      <w:r>
        <w:rPr>
          <w:rFonts w:ascii="Consolas" w:hAnsi="Consolas" w:eastAsia="Consolas" w:cs="Consolas"/>
          <w:color w:val="986801"/>
          <w:kern w:val="0"/>
          <w:szCs w:val="21"/>
          <w:shd w:val="clear" w:color="auto" w:fill="F8F8F8"/>
          <w:lang w:bidi="ar"/>
        </w:rPr>
        <w:t>-</w:t>
      </w:r>
      <w:r>
        <w:rPr>
          <w:rFonts w:eastAsia="Consolas"/>
          <w:color w:val="986801"/>
          <w:kern w:val="0"/>
          <w:sz w:val="24"/>
          <w:shd w:val="clear" w:color="auto" w:fill="F8F8F8"/>
          <w:lang w:bidi="ar"/>
        </w:rPr>
        <w:t>key</w:t>
      </w:r>
      <w:r>
        <w:rPr>
          <w:rFonts w:ascii="Consolas" w:hAnsi="Consolas" w:eastAsia="Consolas" w:cs="Consolas"/>
          <w:color w:val="986801"/>
          <w:kern w:val="0"/>
          <w:szCs w:val="21"/>
          <w:shd w:val="clear" w:color="auto" w:fill="F8F8F8"/>
          <w:lang w:bidi="ar"/>
        </w:rPr>
        <w:t>:</w:t>
      </w:r>
      <w:r>
        <w:rPr>
          <w:rFonts w:ascii="Consolas" w:hAnsi="Consolas" w:eastAsia="Consolas" w:cs="Consolas"/>
          <w:color w:val="383A42"/>
          <w:kern w:val="0"/>
          <w:szCs w:val="21"/>
          <w:shd w:val="clear" w:color="auto" w:fill="F8F8F8"/>
          <w:lang w:bidi="ar"/>
        </w:rPr>
        <w:t> </w:t>
      </w:r>
      <w:r>
        <w:rPr>
          <w:rFonts w:ascii="Consolas" w:hAnsi="Consolas" w:eastAsia="Consolas" w:cs="Consolas"/>
          <w:color w:val="50A14F"/>
          <w:kern w:val="0"/>
          <w:szCs w:val="21"/>
          <w:shd w:val="clear" w:color="auto" w:fill="F8F8F8"/>
          <w:lang w:bidi="ar"/>
        </w:rPr>
        <w:t>${</w:t>
      </w:r>
      <w:r>
        <w:rPr>
          <w:rFonts w:eastAsia="Consolas"/>
          <w:color w:val="50A14F"/>
          <w:kern w:val="0"/>
          <w:sz w:val="24"/>
          <w:shd w:val="clear" w:color="auto" w:fill="F8F8F8"/>
          <w:lang w:bidi="ar"/>
        </w:rPr>
        <w:t>ERNIE</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API</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KEY</w:t>
      </w:r>
      <w:r>
        <w:rPr>
          <w:rFonts w:ascii="Consolas" w:hAnsi="Consolas" w:eastAsia="Consolas" w:cs="Consolas"/>
          <w:color w:val="50A14F"/>
          <w:kern w:val="0"/>
          <w:szCs w:val="21"/>
          <w:shd w:val="clear" w:color="auto" w:fill="F8F8F8"/>
          <w:lang w:bidi="ar"/>
        </w:rPr>
        <w:t>}</w:t>
      </w:r>
    </w:p>
    <w:p w14:paraId="75BEC6FE">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model</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name</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ernie</w:t>
      </w:r>
      <w:r>
        <w:rPr>
          <w:rFonts w:ascii="Consolas" w:hAnsi="Consolas" w:eastAsia="Consolas" w:cs="Consolas"/>
          <w:color w:val="50A14F"/>
          <w:kern w:val="0"/>
          <w:szCs w:val="21"/>
          <w:shd w:val="clear" w:color="auto" w:fill="FAFAFA"/>
          <w:lang w:bidi="ar"/>
        </w:rPr>
        <w:t>-5.0</w:t>
      </w:r>
    </w:p>
    <w:p w14:paraId="32E4E959">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qwen</w:t>
      </w:r>
      <w:r>
        <w:rPr>
          <w:rFonts w:ascii="Consolas" w:hAnsi="Consolas" w:eastAsia="Consolas" w:cs="Consolas"/>
          <w:color w:val="986801"/>
          <w:kern w:val="0"/>
          <w:szCs w:val="21"/>
          <w:shd w:val="clear" w:color="auto" w:fill="F8F8F8"/>
          <w:lang w:bidi="ar"/>
        </w:rPr>
        <w:t>:</w:t>
      </w:r>
    </w:p>
    <w:p w14:paraId="12D8C48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base</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url</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https</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dashscope</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aliyuncs</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com</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compatible</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mode</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v</w:t>
      </w:r>
      <w:r>
        <w:rPr>
          <w:rFonts w:ascii="Consolas" w:hAnsi="Consolas" w:eastAsia="Consolas" w:cs="Consolas"/>
          <w:color w:val="50A14F"/>
          <w:kern w:val="0"/>
          <w:szCs w:val="21"/>
          <w:shd w:val="clear" w:color="auto" w:fill="FAFAFA"/>
          <w:lang w:bidi="ar"/>
        </w:rPr>
        <w:t>1</w:t>
      </w:r>
    </w:p>
    <w:p w14:paraId="20F8A75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api</w:t>
      </w:r>
      <w:r>
        <w:rPr>
          <w:rFonts w:ascii="Consolas" w:hAnsi="Consolas" w:eastAsia="Consolas" w:cs="Consolas"/>
          <w:color w:val="986801"/>
          <w:kern w:val="0"/>
          <w:szCs w:val="21"/>
          <w:shd w:val="clear" w:color="auto" w:fill="F8F8F8"/>
          <w:lang w:bidi="ar"/>
        </w:rPr>
        <w:t>-</w:t>
      </w:r>
      <w:r>
        <w:rPr>
          <w:rFonts w:eastAsia="Consolas"/>
          <w:color w:val="986801"/>
          <w:kern w:val="0"/>
          <w:sz w:val="24"/>
          <w:shd w:val="clear" w:color="auto" w:fill="F8F8F8"/>
          <w:lang w:bidi="ar"/>
        </w:rPr>
        <w:t>key</w:t>
      </w:r>
      <w:r>
        <w:rPr>
          <w:rFonts w:ascii="Consolas" w:hAnsi="Consolas" w:eastAsia="Consolas" w:cs="Consolas"/>
          <w:color w:val="986801"/>
          <w:kern w:val="0"/>
          <w:szCs w:val="21"/>
          <w:shd w:val="clear" w:color="auto" w:fill="F8F8F8"/>
          <w:lang w:bidi="ar"/>
        </w:rPr>
        <w:t>:</w:t>
      </w:r>
      <w:r>
        <w:rPr>
          <w:rFonts w:ascii="Consolas" w:hAnsi="Consolas" w:eastAsia="Consolas" w:cs="Consolas"/>
          <w:color w:val="383A42"/>
          <w:kern w:val="0"/>
          <w:szCs w:val="21"/>
          <w:shd w:val="clear" w:color="auto" w:fill="F8F8F8"/>
          <w:lang w:bidi="ar"/>
        </w:rPr>
        <w:t> </w:t>
      </w:r>
      <w:r>
        <w:rPr>
          <w:rFonts w:ascii="Consolas" w:hAnsi="Consolas" w:eastAsia="Consolas" w:cs="Consolas"/>
          <w:color w:val="50A14F"/>
          <w:kern w:val="0"/>
          <w:szCs w:val="21"/>
          <w:shd w:val="clear" w:color="auto" w:fill="F8F8F8"/>
          <w:lang w:bidi="ar"/>
        </w:rPr>
        <w:t>${</w:t>
      </w:r>
      <w:r>
        <w:rPr>
          <w:rFonts w:eastAsia="Consolas"/>
          <w:color w:val="50A14F"/>
          <w:kern w:val="0"/>
          <w:sz w:val="24"/>
          <w:shd w:val="clear" w:color="auto" w:fill="F8F8F8"/>
          <w:lang w:bidi="ar"/>
        </w:rPr>
        <w:t>QWEN</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API</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KEY</w:t>
      </w:r>
      <w:r>
        <w:rPr>
          <w:rFonts w:ascii="Consolas" w:hAnsi="Consolas" w:eastAsia="Consolas" w:cs="Consolas"/>
          <w:color w:val="50A14F"/>
          <w:kern w:val="0"/>
          <w:szCs w:val="21"/>
          <w:shd w:val="clear" w:color="auto" w:fill="F8F8F8"/>
          <w:lang w:bidi="ar"/>
        </w:rPr>
        <w:t>}</w:t>
      </w:r>
    </w:p>
    <w:p w14:paraId="7E3994B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model</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name</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qwen</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max</w:t>
      </w:r>
    </w:p>
    <w:p w14:paraId="020A3873">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gpt</w:t>
      </w:r>
      <w:r>
        <w:rPr>
          <w:rFonts w:ascii="Consolas" w:hAnsi="Consolas" w:eastAsia="Consolas" w:cs="Consolas"/>
          <w:color w:val="986801"/>
          <w:kern w:val="0"/>
          <w:szCs w:val="21"/>
          <w:shd w:val="clear" w:color="auto" w:fill="F8F8F8"/>
          <w:lang w:bidi="ar"/>
        </w:rPr>
        <w:t>4:</w:t>
      </w:r>
    </w:p>
    <w:p w14:paraId="5D2447D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base</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url</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https</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api</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openai</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com</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v</w:t>
      </w:r>
      <w:r>
        <w:rPr>
          <w:rFonts w:ascii="Consolas" w:hAnsi="Consolas" w:eastAsia="Consolas" w:cs="Consolas"/>
          <w:color w:val="50A14F"/>
          <w:kern w:val="0"/>
          <w:szCs w:val="21"/>
          <w:shd w:val="clear" w:color="auto" w:fill="FAFAFA"/>
          <w:lang w:bidi="ar"/>
        </w:rPr>
        <w:t>1</w:t>
      </w:r>
    </w:p>
    <w:p w14:paraId="53E55941">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api</w:t>
      </w:r>
      <w:r>
        <w:rPr>
          <w:rFonts w:ascii="Consolas" w:hAnsi="Consolas" w:eastAsia="Consolas" w:cs="Consolas"/>
          <w:color w:val="986801"/>
          <w:kern w:val="0"/>
          <w:szCs w:val="21"/>
          <w:shd w:val="clear" w:color="auto" w:fill="F8F8F8"/>
          <w:lang w:bidi="ar"/>
        </w:rPr>
        <w:t>-</w:t>
      </w:r>
      <w:r>
        <w:rPr>
          <w:rFonts w:eastAsia="Consolas"/>
          <w:color w:val="986801"/>
          <w:kern w:val="0"/>
          <w:sz w:val="24"/>
          <w:shd w:val="clear" w:color="auto" w:fill="F8F8F8"/>
          <w:lang w:bidi="ar"/>
        </w:rPr>
        <w:t>key</w:t>
      </w:r>
      <w:r>
        <w:rPr>
          <w:rFonts w:ascii="Consolas" w:hAnsi="Consolas" w:eastAsia="Consolas" w:cs="Consolas"/>
          <w:color w:val="986801"/>
          <w:kern w:val="0"/>
          <w:szCs w:val="21"/>
          <w:shd w:val="clear" w:color="auto" w:fill="F8F8F8"/>
          <w:lang w:bidi="ar"/>
        </w:rPr>
        <w:t>:</w:t>
      </w:r>
      <w:r>
        <w:rPr>
          <w:rFonts w:ascii="Consolas" w:hAnsi="Consolas" w:eastAsia="Consolas" w:cs="Consolas"/>
          <w:color w:val="383A42"/>
          <w:kern w:val="0"/>
          <w:szCs w:val="21"/>
          <w:shd w:val="clear" w:color="auto" w:fill="F8F8F8"/>
          <w:lang w:bidi="ar"/>
        </w:rPr>
        <w:t> </w:t>
      </w:r>
      <w:r>
        <w:rPr>
          <w:rFonts w:ascii="Consolas" w:hAnsi="Consolas" w:eastAsia="Consolas" w:cs="Consolas"/>
          <w:color w:val="50A14F"/>
          <w:kern w:val="0"/>
          <w:szCs w:val="21"/>
          <w:shd w:val="clear" w:color="auto" w:fill="F8F8F8"/>
          <w:lang w:bidi="ar"/>
        </w:rPr>
        <w:t>${</w:t>
      </w:r>
      <w:r>
        <w:rPr>
          <w:rFonts w:eastAsia="Consolas"/>
          <w:color w:val="50A14F"/>
          <w:kern w:val="0"/>
          <w:sz w:val="24"/>
          <w:shd w:val="clear" w:color="auto" w:fill="F8F8F8"/>
          <w:lang w:bidi="ar"/>
        </w:rPr>
        <w:t>OPENAI</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API</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KEY</w:t>
      </w:r>
      <w:r>
        <w:rPr>
          <w:rFonts w:ascii="Consolas" w:hAnsi="Consolas" w:eastAsia="Consolas" w:cs="Consolas"/>
          <w:color w:val="50A14F"/>
          <w:kern w:val="0"/>
          <w:szCs w:val="21"/>
          <w:shd w:val="clear" w:color="auto" w:fill="F8F8F8"/>
          <w:lang w:bidi="ar"/>
        </w:rPr>
        <w:t>}</w:t>
      </w:r>
    </w:p>
    <w:p w14:paraId="209DE20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model</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name</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gpt</w:t>
      </w:r>
      <w:r>
        <w:rPr>
          <w:rFonts w:ascii="Consolas" w:hAnsi="Consolas" w:eastAsia="Consolas" w:cs="Consolas"/>
          <w:color w:val="50A14F"/>
          <w:kern w:val="0"/>
          <w:szCs w:val="21"/>
          <w:shd w:val="clear" w:color="auto" w:fill="FAFAFA"/>
          <w:lang w:bidi="ar"/>
        </w:rPr>
        <w:t>-4</w:t>
      </w:r>
      <w:r>
        <w:rPr>
          <w:rFonts w:eastAsia="Consolas"/>
          <w:color w:val="50A14F"/>
          <w:kern w:val="0"/>
          <w:sz w:val="24"/>
          <w:shd w:val="clear" w:color="auto" w:fill="FAFAFA"/>
          <w:lang w:bidi="ar"/>
        </w:rPr>
        <w:t>o</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mini</w:t>
      </w:r>
    </w:p>
    <w:p w14:paraId="63F561C9">
      <w:pPr>
        <w:spacing w:line="400" w:lineRule="exact"/>
        <w:ind w:firstLine="480" w:firstLineChars="200"/>
        <w:rPr>
          <w:sz w:val="24"/>
        </w:rPr>
      </w:pPr>
      <w:r>
        <w:rPr>
          <w:sz w:val="24"/>
        </w:rPr>
        <w:t>api</w:t>
      </w:r>
      <w:r>
        <w:rPr>
          <w:rFonts w:hint="eastAsia"/>
          <w:sz w:val="24"/>
        </w:rPr>
        <w:t>-</w:t>
      </w:r>
      <w:r>
        <w:rPr>
          <w:sz w:val="24"/>
        </w:rPr>
        <w:t>key</w:t>
      </w:r>
      <w:r>
        <w:rPr>
          <w:rFonts w:hint="eastAsia"/>
          <w:sz w:val="24"/>
        </w:rPr>
        <w:t>通过本地的环境变量注入，这样配置文件提交至</w:t>
      </w:r>
      <w:r>
        <w:rPr>
          <w:sz w:val="24"/>
        </w:rPr>
        <w:t>Git</w:t>
      </w:r>
      <w:r>
        <w:rPr>
          <w:rFonts w:hint="eastAsia"/>
          <w:sz w:val="24"/>
        </w:rPr>
        <w:t>仓库后就不会暴露敏感信息造成token盗用。</w:t>
      </w:r>
      <w:r>
        <w:rPr>
          <w:sz w:val="24"/>
        </w:rPr>
        <w:t>SpringBoot</w:t>
      </w:r>
      <w:r>
        <w:rPr>
          <w:rFonts w:hint="eastAsia"/>
          <w:sz w:val="24"/>
        </w:rPr>
        <w:t>在启动时读取上述配置连接模型厂商</w:t>
      </w:r>
      <w:r>
        <w:rPr>
          <w:sz w:val="24"/>
        </w:rPr>
        <w:t>api</w:t>
      </w:r>
      <w:r>
        <w:rPr>
          <w:rFonts w:hint="eastAsia"/>
          <w:sz w:val="24"/>
        </w:rPr>
        <w:t>，为每个模型接口构建</w:t>
      </w:r>
      <w:r>
        <w:rPr>
          <w:sz w:val="24"/>
        </w:rPr>
        <w:t>TradeModel</w:t>
      </w:r>
      <w:r>
        <w:rPr>
          <w:rFonts w:hint="eastAsia"/>
          <w:sz w:val="24"/>
        </w:rPr>
        <w:t>实例，再通过@</w:t>
      </w:r>
      <w:r>
        <w:rPr>
          <w:sz w:val="24"/>
        </w:rPr>
        <w:t>bean</w:t>
      </w:r>
      <w:r>
        <w:rPr>
          <w:rFonts w:hint="eastAsia"/>
          <w:sz w:val="24"/>
        </w:rPr>
        <w:t>注解注入</w:t>
      </w:r>
      <w:r>
        <w:rPr>
          <w:sz w:val="24"/>
        </w:rPr>
        <w:t>Spring</w:t>
      </w:r>
      <w:r>
        <w:rPr>
          <w:rFonts w:hint="eastAsia"/>
          <w:sz w:val="24"/>
        </w:rPr>
        <w:t>容器。</w:t>
      </w:r>
      <w:r>
        <w:rPr>
          <w:sz w:val="24"/>
        </w:rPr>
        <w:t>AgentFactory</w:t>
      </w:r>
      <w:r>
        <w:rPr>
          <w:rFonts w:hint="eastAsia"/>
          <w:sz w:val="24"/>
        </w:rPr>
        <w:t>创建</w:t>
      </w:r>
      <w:r>
        <w:rPr>
          <w:sz w:val="24"/>
        </w:rPr>
        <w:t>AIServices</w:t>
      </w:r>
      <w:r>
        <w:rPr>
          <w:rFonts w:hint="eastAsia"/>
          <w:sz w:val="24"/>
        </w:rPr>
        <w:t>代理，该工厂类根据前端传入的模型代号返回相应的代理对象，代理再通过反射调用</w:t>
      </w:r>
      <w:r>
        <w:rPr>
          <w:sz w:val="24"/>
        </w:rPr>
        <w:t>TradeMode</w:t>
      </w:r>
      <w:r>
        <w:rPr>
          <w:rFonts w:hint="eastAsia"/>
          <w:sz w:val="24"/>
        </w:rPr>
        <w:t>中的交易接口，这样就实现了用一个对象（代理对象）管理多个模型实例的收束逻辑。</w:t>
      </w:r>
    </w:p>
    <w:p w14:paraId="57B55926">
      <w:pPr>
        <w:spacing w:line="400" w:lineRule="exact"/>
        <w:outlineLvl w:val="2"/>
        <w:rPr>
          <w:rFonts w:hint="eastAsia" w:ascii="黑体" w:hAnsi="黑体" w:eastAsia="黑体" w:cs="黑体"/>
          <w:sz w:val="28"/>
          <w:szCs w:val="28"/>
        </w:rPr>
      </w:pPr>
      <w:bookmarkStart w:id="46" w:name="_Toc10061"/>
      <w:r>
        <w:rPr>
          <w:rFonts w:hint="eastAsia" w:ascii="黑体" w:hAnsi="黑体" w:eastAsia="黑体" w:cs="黑体"/>
          <w:sz w:val="28"/>
          <w:szCs w:val="28"/>
        </w:rPr>
        <w:t>5.2.2 提示词模板管理</w:t>
      </w:r>
      <w:bookmarkEnd w:id="46"/>
    </w:p>
    <w:p w14:paraId="6329EDAE">
      <w:pPr>
        <w:spacing w:line="400" w:lineRule="exact"/>
        <w:ind w:firstLine="480" w:firstLineChars="200"/>
        <w:rPr>
          <w:sz w:val="24"/>
        </w:rPr>
      </w:pPr>
      <w:r>
        <w:rPr>
          <w:rFonts w:hint="eastAsia"/>
          <w:sz w:val="24"/>
        </w:rPr>
        <w:t>系统提示词存储于</w:t>
      </w:r>
      <w:r>
        <w:rPr>
          <w:sz w:val="24"/>
        </w:rPr>
        <w:t>main</w:t>
      </w:r>
      <w:r>
        <w:rPr>
          <w:rFonts w:hint="eastAsia"/>
          <w:sz w:val="24"/>
        </w:rPr>
        <w:t>/</w:t>
      </w:r>
      <w:r>
        <w:rPr>
          <w:sz w:val="24"/>
        </w:rPr>
        <w:t>resources</w:t>
      </w:r>
      <w:r>
        <w:rPr>
          <w:rFonts w:hint="eastAsia"/>
          <w:sz w:val="24"/>
        </w:rPr>
        <w:t>/</w:t>
      </w:r>
      <w:r>
        <w:rPr>
          <w:sz w:val="24"/>
        </w:rPr>
        <w:t>prompts</w:t>
      </w:r>
      <w:r>
        <w:rPr>
          <w:rFonts w:hint="eastAsia"/>
          <w:sz w:val="24"/>
        </w:rPr>
        <w:t>/目录下的单个文本文件中。文件内容为纯文本，对模型起到总领性提示的作用，在每次交易中提示模型将结果结构化输出。</w:t>
      </w:r>
      <w:r>
        <w:rPr>
          <w:sz w:val="24"/>
        </w:rPr>
        <w:t>prompt</w:t>
      </w:r>
      <w:r>
        <w:rPr>
          <w:rFonts w:hint="eastAsia"/>
          <w:sz w:val="24"/>
        </w:rPr>
        <w:t>具备通用性，通过Stirng.format插入余额、持仓情况和风险偏好等：</w:t>
      </w:r>
    </w:p>
    <w:p w14:paraId="5A90151C">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你是一个专业的股票投资决策专家。请根据以下信息做出投资决策。</w:t>
      </w:r>
    </w:p>
    <w:p w14:paraId="6486B86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【你的账户信息】</w:t>
      </w:r>
    </w:p>
    <w:p w14:paraId="1F5D0A1B">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模型编号：{modelId}</w:t>
      </w:r>
    </w:p>
    <w:p w14:paraId="4F597A9C">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模型名称: {modelName}</w:t>
      </w:r>
    </w:p>
    <w:p w14:paraId="36C1937B">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当前余额: ${deposit}</w:t>
      </w:r>
    </w:p>
    <w:p w14:paraId="3B43A33C">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投资风格: {riskPreferenceName}</w:t>
      </w:r>
    </w:p>
    <w:p w14:paraId="2CDA0E9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风险偏好描述: {riskPreferenceDesc}</w:t>
      </w:r>
    </w:p>
    <w:p w14:paraId="446D7504">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【当前持仓情况】</w:t>
      </w:r>
    </w:p>
    <w:p w14:paraId="362EF7F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{positionData}</w:t>
      </w:r>
    </w:p>
    <w:p w14:paraId="42EB8C95">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【投资指导】</w:t>
      </w:r>
    </w:p>
    <w:p w14:paraId="617CFF67">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{riskGuidance}</w:t>
      </w:r>
    </w:p>
    <w:p w14:paraId="135EF301">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【可选股票及其特征数据】</w:t>
      </w:r>
    </w:p>
    <w:p w14:paraId="3C9D260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{stockFeatures}</w:t>
      </w:r>
    </w:p>
    <w:p w14:paraId="73C800D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【可用工具】</w:t>
      </w:r>
    </w:p>
    <w:p w14:paraId="5AD59B23">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buyStock(modelId, modelName, stockName, stockCode, amount): 买入股票</w:t>
      </w:r>
    </w:p>
    <w:p w14:paraId="4FAD75F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sellStock(modelId, modelName, stockName, stockCode, amount): 卖出股票</w:t>
      </w:r>
    </w:p>
    <w:p w14:paraId="4C926B6D">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【输出格式要求】</w:t>
      </w:r>
    </w:p>
    <w:p w14:paraId="28301C6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8F8F8"/>
          <w:lang w:bidi="ar"/>
        </w:rPr>
        <w:t>请严格按照以下JS</w:t>
      </w:r>
      <w:r>
        <w:rPr>
          <w:rFonts w:ascii="Consolas" w:hAnsi="Consolas" w:eastAsia="Consolas" w:cs="Consolas"/>
          <w:color w:val="383A42"/>
          <w:kern w:val="0"/>
          <w:szCs w:val="21"/>
          <w:shd w:val="clear" w:color="auto" w:fill="FAFAFA"/>
          <w:lang w:bidi="ar"/>
        </w:rPr>
        <w:t>ON格式输出你的投资决策，不要添加任何其他说明文字：</w:t>
      </w:r>
    </w:p>
    <w:p w14:paraId="58BD584E">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w:t>
      </w:r>
    </w:p>
    <w:p w14:paraId="72F18279">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"summary": "决策总结，简要说明整体策略",</w:t>
      </w:r>
    </w:p>
    <w:p w14:paraId="36274981">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"tradeDecisions": [</w:t>
      </w:r>
    </w:p>
    <w:p w14:paraId="1C3BA2EC">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36E5EF08">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"action": "BUY/SELL/HOLD",</w:t>
      </w:r>
    </w:p>
    <w:p w14:paraId="2E0FE1B2">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"stockCode": "股票代码",</w:t>
      </w:r>
    </w:p>
    <w:p w14:paraId="325230B2">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"stockName": "股票名称",</w:t>
      </w:r>
    </w:p>
    <w:p w14:paraId="1622FE0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"amount": 交易数量,</w:t>
      </w:r>
    </w:p>
    <w:p w14:paraId="5776F79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"reason": "交易原因"</w:t>
      </w:r>
    </w:p>
    <w:p w14:paraId="0A05B23B">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17932866">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038195EB">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"marketAnalysis": {</w:t>
      </w:r>
    </w:p>
    <w:p w14:paraId="1D610914">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"overallTrend": "整体市场趋势判断",</w:t>
      </w:r>
    </w:p>
    <w:p w14:paraId="2EA5FA4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"stockAnalyses": [</w:t>
      </w:r>
    </w:p>
    <w:p w14:paraId="307FC14D">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30276756">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"stockCode": "股票代码",</w:t>
      </w:r>
    </w:p>
    <w:p w14:paraId="72B42934">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"stockName": "股票名称",</w:t>
      </w:r>
    </w:p>
    <w:p w14:paraId="049D9D5D">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"technicalAnalysis": "技术分析",</w:t>
      </w:r>
    </w:p>
    <w:p w14:paraId="2DAABACC">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"trend": "趋势判断",</w:t>
      </w:r>
    </w:p>
    <w:p w14:paraId="09CCFEED">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"supportLevel": "支撑位",</w:t>
      </w:r>
    </w:p>
    <w:p w14:paraId="185C8345">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"resistanceLevel": "阻力位"</w:t>
      </w:r>
    </w:p>
    <w:p w14:paraId="3024B83F">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0BBD1BFC">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70E756E1">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75FCE8C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"riskAssessment": {</w:t>
      </w:r>
    </w:p>
    <w:p w14:paraId="027A071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"riskLevel": "LOW/MEDIUM/HIGH",</w:t>
      </w:r>
    </w:p>
    <w:p w14:paraId="1E6DA74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"riskDescription": "风险说明",</w:t>
      </w:r>
    </w:p>
    <w:p w14:paraId="6FB77762">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"riskControlMeasures": "风控措施",</w:t>
      </w:r>
    </w:p>
    <w:p w14:paraId="6C6BCF9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"expectedReturn": "预期收益",</w:t>
      </w:r>
    </w:p>
    <w:p w14:paraId="7F084173">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"maxAcceptableLoss": "最大可承受损失"</w:t>
      </w:r>
    </w:p>
    <w:p w14:paraId="7AC3D861">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4650E7F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w:t>
      </w:r>
    </w:p>
    <w:p w14:paraId="28DFC9C5">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【决策要求】</w:t>
      </w:r>
    </w:p>
    <w:p w14:paraId="2C4C58A5">
      <w:pPr>
        <w:widowControl/>
        <w:shd w:val="clear" w:color="auto" w:fill="F8F8F8"/>
        <w:jc w:val="left"/>
        <w:rPr>
          <w:rFonts w:ascii="Consolas" w:hAnsi="Consolas" w:eastAsia="Consolas" w:cs="Consolas"/>
          <w:color w:val="383A42"/>
          <w:szCs w:val="21"/>
        </w:rPr>
      </w:pPr>
      <w:r>
        <w:rPr>
          <w:rFonts w:ascii="Consolas" w:hAnsi="Consolas" w:eastAsia="Consolas" w:cs="Consolas"/>
          <w:color w:val="986801"/>
          <w:kern w:val="0"/>
          <w:szCs w:val="21"/>
          <w:shd w:val="clear" w:color="auto" w:fill="F8F8F8"/>
          <w:lang w:bidi="ar"/>
        </w:rPr>
        <w:t>1.</w:t>
      </w:r>
      <w:r>
        <w:rPr>
          <w:rFonts w:ascii="Consolas" w:hAnsi="Consolas" w:eastAsia="Consolas" w:cs="Consolas"/>
          <w:color w:val="383A42"/>
          <w:kern w:val="0"/>
          <w:szCs w:val="21"/>
          <w:shd w:val="clear" w:color="auto" w:fill="F8F8F8"/>
          <w:lang w:bidi="ar"/>
        </w:rPr>
        <w:t> 分析每支股票的技术指标和趋势</w:t>
      </w:r>
    </w:p>
    <w:p w14:paraId="07F16FC3">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2.</w:t>
      </w:r>
      <w:r>
        <w:rPr>
          <w:rFonts w:ascii="Consolas" w:hAnsi="Consolas" w:eastAsia="Consolas" w:cs="Consolas"/>
          <w:color w:val="383A42"/>
          <w:kern w:val="0"/>
          <w:szCs w:val="21"/>
          <w:shd w:val="clear" w:color="auto" w:fill="FAFAFA"/>
          <w:lang w:bidi="ar"/>
        </w:rPr>
        <w:t> 根据你的{riskPreferenceName}风格，决定是否买入、卖出或持有</w:t>
      </w:r>
    </w:p>
    <w:p w14:paraId="545939B2">
      <w:pPr>
        <w:widowControl/>
        <w:shd w:val="clear" w:color="auto" w:fill="F8F8F8"/>
        <w:jc w:val="left"/>
        <w:rPr>
          <w:rFonts w:ascii="Consolas" w:hAnsi="Consolas" w:eastAsia="Consolas" w:cs="Consolas"/>
          <w:color w:val="383A42"/>
          <w:szCs w:val="21"/>
        </w:rPr>
      </w:pPr>
      <w:r>
        <w:rPr>
          <w:rFonts w:ascii="Consolas" w:hAnsi="Consolas" w:eastAsia="Consolas" w:cs="Consolas"/>
          <w:color w:val="986801"/>
          <w:kern w:val="0"/>
          <w:szCs w:val="21"/>
          <w:shd w:val="clear" w:color="auto" w:fill="F8F8F8"/>
          <w:lang w:bidi="ar"/>
        </w:rPr>
        <w:t>3.</w:t>
      </w:r>
      <w:r>
        <w:rPr>
          <w:rFonts w:ascii="Consolas" w:hAnsi="Consolas" w:eastAsia="Consolas" w:cs="Consolas"/>
          <w:color w:val="383A42"/>
          <w:kern w:val="0"/>
          <w:szCs w:val="21"/>
          <w:shd w:val="clear" w:color="auto" w:fill="F8F8F8"/>
          <w:lang w:bidi="ar"/>
        </w:rPr>
        <w:t> 考虑当前持仓情况，避免过度集中或重复持仓</w:t>
      </w:r>
    </w:p>
    <w:p w14:paraId="7E0741CB">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4.</w:t>
      </w:r>
      <w:r>
        <w:rPr>
          <w:rFonts w:ascii="Consolas" w:hAnsi="Consolas" w:eastAsia="Consolas" w:cs="Consolas"/>
          <w:color w:val="383A42"/>
          <w:kern w:val="0"/>
          <w:szCs w:val="21"/>
          <w:shd w:val="clear" w:color="auto" w:fill="FAFAFA"/>
          <w:lang w:bidi="ar"/>
        </w:rPr>
        <w:t> action只能是BUY、SELL或HOLD之一</w:t>
      </w:r>
    </w:p>
    <w:p w14:paraId="77740AAB">
      <w:pPr>
        <w:widowControl/>
        <w:shd w:val="clear" w:color="auto" w:fill="F8F8F8"/>
        <w:jc w:val="left"/>
        <w:rPr>
          <w:rFonts w:ascii="Consolas" w:hAnsi="Consolas" w:eastAsia="Consolas" w:cs="Consolas"/>
          <w:color w:val="383A42"/>
          <w:szCs w:val="21"/>
        </w:rPr>
      </w:pPr>
      <w:r>
        <w:rPr>
          <w:rFonts w:ascii="Consolas" w:hAnsi="Consolas" w:eastAsia="Consolas" w:cs="Consolas"/>
          <w:color w:val="986801"/>
          <w:kern w:val="0"/>
          <w:szCs w:val="21"/>
          <w:shd w:val="clear" w:color="auto" w:fill="F8F8F8"/>
          <w:lang w:bidi="ar"/>
        </w:rPr>
        <w:t>5.</w:t>
      </w:r>
      <w:r>
        <w:rPr>
          <w:rFonts w:ascii="Consolas" w:hAnsi="Consolas" w:eastAsia="Consolas" w:cs="Consolas"/>
          <w:color w:val="383A42"/>
          <w:kern w:val="0"/>
          <w:szCs w:val="21"/>
          <w:shd w:val="clear" w:color="auto" w:fill="F8F8F8"/>
          <w:lang w:bidi="ar"/>
        </w:rPr>
        <w:t> 如果决定交易（BUY/SELL），请同时调用相应的工具执行交易</w:t>
      </w:r>
    </w:p>
    <w:p w14:paraId="39CA4120">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6.</w:t>
      </w:r>
      <w:r>
        <w:rPr>
          <w:rFonts w:ascii="Consolas" w:hAnsi="Consolas" w:eastAsia="Consolas" w:cs="Consolas"/>
          <w:color w:val="383A42"/>
          <w:kern w:val="0"/>
          <w:szCs w:val="21"/>
          <w:shd w:val="clear" w:color="auto" w:fill="FAFAFA"/>
          <w:lang w:bidi="ar"/>
        </w:rPr>
        <w:t> 请详细填写每个字段，确保JSON格式正确</w:t>
      </w:r>
    </w:p>
    <w:p w14:paraId="1F313DF8">
      <w:pPr>
        <w:widowControl/>
        <w:shd w:val="clear" w:color="auto" w:fill="F8F8F8"/>
        <w:jc w:val="left"/>
        <w:rPr>
          <w:sz w:val="24"/>
        </w:rPr>
      </w:pPr>
      <w:r>
        <w:rPr>
          <w:rFonts w:ascii="Consolas" w:hAnsi="Consolas" w:eastAsia="Consolas" w:cs="Consolas"/>
          <w:color w:val="986801"/>
          <w:kern w:val="0"/>
          <w:szCs w:val="21"/>
          <w:shd w:val="clear" w:color="auto" w:fill="F8F8F8"/>
          <w:lang w:bidi="ar"/>
        </w:rPr>
        <w:t>7.</w:t>
      </w:r>
      <w:r>
        <w:rPr>
          <w:rFonts w:ascii="Consolas" w:hAnsi="Consolas" w:eastAsia="Consolas" w:cs="Consolas"/>
          <w:color w:val="383A42"/>
          <w:kern w:val="0"/>
          <w:szCs w:val="21"/>
          <w:shd w:val="clear" w:color="auto" w:fill="F8F8F8"/>
          <w:lang w:bidi="ar"/>
        </w:rPr>
        <w:t> **重要提示**：买入股票时，请确保购买数量所需的总金额不超过当前余额${deposit}，否则交易将会失败。计算方式为：购买数量 × 当前股价 ≤ 余额，如果金额超过了当前余额导致买卖失败，可以调小买入金额再次进行买卖</w:t>
      </w:r>
    </w:p>
    <w:p w14:paraId="3F2328AA">
      <w:pPr>
        <w:spacing w:line="400" w:lineRule="exact"/>
        <w:ind w:firstLine="480" w:firstLineChars="200"/>
        <w:rPr>
          <w:rFonts w:hint="eastAsia" w:ascii="黑体" w:hAnsi="黑体" w:cs="黑体"/>
          <w:sz w:val="28"/>
          <w:szCs w:val="28"/>
        </w:rPr>
      </w:pPr>
      <w:r>
        <w:rPr>
          <w:rFonts w:hint="eastAsia"/>
          <w:sz w:val="24"/>
        </w:rPr>
        <w:t>每次构建</w:t>
      </w:r>
      <w:r>
        <w:rPr>
          <w:sz w:val="24"/>
        </w:rPr>
        <w:t>AiServices</w:t>
      </w:r>
      <w:r>
        <w:rPr>
          <w:rFonts w:hint="eastAsia"/>
          <w:sz w:val="24"/>
        </w:rPr>
        <w:t>代理时，</w:t>
      </w:r>
      <w:r>
        <w:rPr>
          <w:sz w:val="24"/>
        </w:rPr>
        <w:t>AgentFactory</w:t>
      </w:r>
      <w:r>
        <w:rPr>
          <w:rFonts w:hint="eastAsia"/>
          <w:sz w:val="24"/>
        </w:rPr>
        <w:t>会读取对应的文件内容并将其设置为</w:t>
      </w:r>
      <w:r>
        <w:rPr>
          <w:sz w:val="24"/>
        </w:rPr>
        <w:t>SystemMessage</w:t>
      </w:r>
      <w:r>
        <w:rPr>
          <w:rFonts w:hint="eastAsia"/>
          <w:sz w:val="24"/>
        </w:rPr>
        <w:t>。外置的提示词具备可热修改的特性，便于笔者在实验过程中快速调整</w:t>
      </w:r>
      <w:r>
        <w:rPr>
          <w:sz w:val="24"/>
        </w:rPr>
        <w:t>AI</w:t>
      </w:r>
      <w:r>
        <w:rPr>
          <w:rFonts w:hint="eastAsia"/>
          <w:sz w:val="24"/>
        </w:rPr>
        <w:t>的引导方向，而无需重新编译代码。</w:t>
      </w:r>
    </w:p>
    <w:p w14:paraId="42DBC5DE">
      <w:pPr>
        <w:spacing w:line="400" w:lineRule="exact"/>
        <w:outlineLvl w:val="2"/>
        <w:rPr>
          <w:rFonts w:hint="eastAsia" w:ascii="黑体" w:hAnsi="黑体" w:eastAsia="黑体" w:cs="黑体"/>
          <w:sz w:val="28"/>
          <w:szCs w:val="28"/>
        </w:rPr>
      </w:pPr>
      <w:bookmarkStart w:id="47" w:name="_Toc2018"/>
      <w:r>
        <w:rPr>
          <w:rFonts w:hint="eastAsia" w:ascii="黑体" w:hAnsi="黑体" w:eastAsia="黑体" w:cs="黑体"/>
          <w:sz w:val="28"/>
          <w:szCs w:val="28"/>
        </w:rPr>
        <w:t>5.2.3 单次决策的无状态设计</w:t>
      </w:r>
      <w:bookmarkEnd w:id="47"/>
    </w:p>
    <w:p w14:paraId="0442B3C3">
      <w:pPr>
        <w:spacing w:line="400" w:lineRule="exact"/>
        <w:ind w:firstLine="480" w:firstLineChars="200"/>
        <w:rPr>
          <w:sz w:val="24"/>
        </w:rPr>
      </w:pPr>
      <w:r>
        <w:rPr>
          <w:rFonts w:hint="eastAsia"/>
          <w:sz w:val="24"/>
        </w:rPr>
        <w:t>在</w:t>
      </w:r>
      <w:r>
        <w:rPr>
          <w:sz w:val="24"/>
        </w:rPr>
        <w:t>AI</w:t>
      </w:r>
      <w:r>
        <w:rPr>
          <w:rFonts w:hint="eastAsia"/>
          <w:sz w:val="24"/>
        </w:rPr>
        <w:t>辅助交易模块中，每次决策都为独立的无状态的</w:t>
      </w:r>
      <w:r>
        <w:rPr>
          <w:sz w:val="24"/>
        </w:rPr>
        <w:t>Session</w:t>
      </w:r>
      <w:r>
        <w:rPr>
          <w:rFonts w:hint="eastAsia"/>
          <w:sz w:val="24"/>
        </w:rPr>
        <w:t>。前端点击“</w:t>
      </w:r>
      <w:r>
        <w:rPr>
          <w:sz w:val="24"/>
        </w:rPr>
        <w:t>AI</w:t>
      </w:r>
      <w:r>
        <w:rPr>
          <w:rFonts w:hint="eastAsia"/>
          <w:sz w:val="24"/>
        </w:rPr>
        <w:t>决策”按钮后，后端将构造全新的</w:t>
      </w:r>
      <w:r>
        <w:rPr>
          <w:sz w:val="24"/>
        </w:rPr>
        <w:t>TradingContext</w:t>
      </w:r>
      <w:r>
        <w:rPr>
          <w:rFonts w:hint="eastAsia"/>
          <w:sz w:val="24"/>
        </w:rPr>
        <w:t>对象，其中包含当前的市场快照和</w:t>
      </w:r>
      <w:r>
        <w:rPr>
          <w:sz w:val="24"/>
        </w:rPr>
        <w:t>AI</w:t>
      </w:r>
      <w:r>
        <w:rPr>
          <w:rFonts w:hint="eastAsia"/>
          <w:sz w:val="24"/>
        </w:rPr>
        <w:t>持仓数据，拼接到</w:t>
      </w:r>
      <w:r>
        <w:rPr>
          <w:sz w:val="24"/>
        </w:rPr>
        <w:t>prompt</w:t>
      </w:r>
      <w:r>
        <w:rPr>
          <w:rFonts w:hint="eastAsia"/>
          <w:sz w:val="24"/>
        </w:rPr>
        <w:t>中提交给模型进行推理。推理结束，展示到前端后推理过程则被抛弃。此设计避免了复杂的上下文管理，也很大程度降低了对话带来的高昂</w:t>
      </w:r>
      <w:r>
        <w:rPr>
          <w:sz w:val="24"/>
          <w:lang w:val="en-IE"/>
        </w:rPr>
        <w:t>token</w:t>
      </w:r>
      <w:r>
        <w:rPr>
          <w:rFonts w:hint="eastAsia"/>
          <w:sz w:val="24"/>
        </w:rPr>
        <w:t>费用。</w:t>
      </w:r>
    </w:p>
    <w:p w14:paraId="0DF6F8B7">
      <w:pPr>
        <w:spacing w:line="400" w:lineRule="exact"/>
        <w:ind w:firstLine="480" w:firstLineChars="200"/>
        <w:rPr>
          <w:sz w:val="24"/>
        </w:rPr>
      </w:pPr>
      <w:r>
        <w:rPr>
          <w:rFonts w:hint="eastAsia"/>
          <w:sz w:val="24"/>
        </w:rPr>
        <w:t>斗兽场模块的设计则不一样。Langchain4j提供了管理上下文记忆的接口，笔者使用了MessageWindowChatMemory滑动窗口容器存储会话记忆。每个</w:t>
      </w:r>
      <w:r>
        <w:rPr>
          <w:sz w:val="24"/>
        </w:rPr>
        <w:t>AI</w:t>
      </w:r>
      <w:r>
        <w:rPr>
          <w:rFonts w:hint="eastAsia"/>
          <w:sz w:val="24"/>
        </w:rPr>
        <w:t xml:space="preserve">在博弈过程中维护这样的短期记忆容器，执行先进先出的淘汰策略，仅记录离自己最近的五轮操作摘要（如“上轮用100 </w:t>
      </w:r>
      <w:r>
        <w:rPr>
          <w:sz w:val="24"/>
        </w:rPr>
        <w:t>T</w:t>
      </w:r>
      <w:r>
        <w:rPr>
          <w:rFonts w:hint="eastAsia"/>
          <w:sz w:val="24"/>
        </w:rPr>
        <w:t xml:space="preserve">1换得52 </w:t>
      </w:r>
      <w:r>
        <w:rPr>
          <w:sz w:val="24"/>
        </w:rPr>
        <w:t>T</w:t>
      </w:r>
      <w:r>
        <w:rPr>
          <w:rFonts w:hint="eastAsia"/>
          <w:sz w:val="24"/>
        </w:rPr>
        <w:t>2，原因是</w:t>
      </w:r>
      <w:r>
        <w:rPr>
          <w:sz w:val="24"/>
        </w:rPr>
        <w:t>RSI</w:t>
      </w:r>
      <w:r>
        <w:rPr>
          <w:rFonts w:hint="eastAsia"/>
          <w:sz w:val="24"/>
        </w:rPr>
        <w:t>显示超卖”），该操作摘要是由买卖接口的日志直接注入所有Agent的记忆容器中。这样，</w:t>
      </w:r>
      <w:r>
        <w:rPr>
          <w:sz w:val="24"/>
        </w:rPr>
        <w:t>AI</w:t>
      </w:r>
      <w:r>
        <w:rPr>
          <w:rFonts w:hint="eastAsia"/>
          <w:sz w:val="24"/>
        </w:rPr>
        <w:t>就能够在决策时参考自身和其他Agent的历史行为，增加推理的连贯性。短期记忆也不会跨轮次进行无限累计，避免了提示词的膨胀。</w:t>
      </w:r>
    </w:p>
    <w:p w14:paraId="56B032C9">
      <w:pPr>
        <w:spacing w:line="400" w:lineRule="exact"/>
        <w:outlineLvl w:val="2"/>
        <w:rPr>
          <w:rFonts w:hint="eastAsia" w:ascii="黑体" w:hAnsi="黑体" w:eastAsia="黑体" w:cs="黑体"/>
          <w:sz w:val="28"/>
          <w:szCs w:val="28"/>
        </w:rPr>
      </w:pPr>
      <w:bookmarkStart w:id="48" w:name="_Toc5003"/>
      <w:r>
        <w:rPr>
          <w:rFonts w:hint="eastAsia" w:ascii="黑体" w:hAnsi="黑体" w:eastAsia="黑体" w:cs="黑体"/>
          <w:sz w:val="28"/>
          <w:szCs w:val="28"/>
        </w:rPr>
        <w:t>5.2.4 线程池配置</w:t>
      </w:r>
      <w:bookmarkEnd w:id="48"/>
    </w:p>
    <w:p w14:paraId="40992C99">
      <w:pPr>
        <w:spacing w:line="400" w:lineRule="exact"/>
        <w:ind w:firstLine="480" w:firstLineChars="200"/>
        <w:rPr>
          <w:sz w:val="24"/>
        </w:rPr>
      </w:pPr>
      <w:r>
        <w:rPr>
          <w:rFonts w:hint="eastAsia"/>
          <w:sz w:val="24"/>
        </w:rPr>
        <w:t>在本系统的多线程场景中，调用大模型</w:t>
      </w:r>
      <w:r>
        <w:rPr>
          <w:sz w:val="24"/>
        </w:rPr>
        <w:t>API</w:t>
      </w:r>
      <w:r>
        <w:rPr>
          <w:rFonts w:hint="eastAsia"/>
          <w:sz w:val="24"/>
        </w:rPr>
        <w:t>响应时间从数秒到数十秒不等，属于典型的</w:t>
      </w:r>
      <w:r>
        <w:rPr>
          <w:sz w:val="24"/>
        </w:rPr>
        <w:t>I</w:t>
      </w:r>
      <w:r>
        <w:rPr>
          <w:rFonts w:hint="eastAsia"/>
          <w:sz w:val="24"/>
        </w:rPr>
        <w:t>/</w:t>
      </w:r>
      <w:r>
        <w:rPr>
          <w:sz w:val="24"/>
        </w:rPr>
        <w:t>O</w:t>
      </w:r>
      <w:r>
        <w:rPr>
          <w:rFonts w:hint="eastAsia"/>
          <w:sz w:val="24"/>
        </w:rPr>
        <w:t>密集型任务。该类型任务可以通过增加并发度或调用异步非阻塞</w:t>
      </w:r>
      <w:r>
        <w:rPr>
          <w:sz w:val="24"/>
        </w:rPr>
        <w:t>rpc</w:t>
      </w:r>
      <w:r>
        <w:rPr>
          <w:rFonts w:hint="eastAsia"/>
          <w:sz w:val="24"/>
        </w:rPr>
        <w:t>进行优化，而本系统的大模型接口并不支持异步调用，只能同步阻塞，等待其返回数据。所以为了充分利用系统资源，笔者结合了机器性能（12核）和任务特性（极高的调用耗时），为</w:t>
      </w:r>
      <w:r>
        <w:rPr>
          <w:sz w:val="24"/>
        </w:rPr>
        <w:t>AI</w:t>
      </w:r>
      <w:r>
        <w:rPr>
          <w:rFonts w:hint="eastAsia"/>
          <w:sz w:val="24"/>
        </w:rPr>
        <w:t>决策模块配置了独立的线程池，并设计了定制化的参数：</w:t>
      </w:r>
    </w:p>
    <w:p w14:paraId="4F50D2C8">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8F8F8"/>
          <w:lang w:bidi="ar"/>
        </w:rPr>
        <w:t>@Bean</w:t>
      </w:r>
      <w:r>
        <w:rPr>
          <w:rFonts w:ascii="Consolas" w:hAnsi="Consolas" w:eastAsia="Consolas" w:cs="Consolas"/>
          <w:color w:val="383A42"/>
          <w:kern w:val="0"/>
          <w:szCs w:val="21"/>
          <w:shd w:val="clear" w:color="auto" w:fill="FAFAFA"/>
          <w:lang w:bidi="ar"/>
        </w:rPr>
        <w:t>(</w:t>
      </w:r>
      <w:r>
        <w:rPr>
          <w:rFonts w:ascii="Consolas" w:hAnsi="Consolas" w:eastAsia="Consolas" w:cs="Consolas"/>
          <w:color w:val="50A14F"/>
          <w:kern w:val="0"/>
          <w:szCs w:val="21"/>
          <w:shd w:val="clear" w:color="auto" w:fill="FAFAFA"/>
          <w:lang w:bidi="ar"/>
        </w:rPr>
        <w:t>"aiExecutor"</w:t>
      </w:r>
      <w:r>
        <w:rPr>
          <w:rFonts w:ascii="Consolas" w:hAnsi="Consolas" w:eastAsia="Consolas" w:cs="Consolas"/>
          <w:color w:val="383A42"/>
          <w:kern w:val="0"/>
          <w:szCs w:val="21"/>
          <w:shd w:val="clear" w:color="auto" w:fill="FAFAFA"/>
          <w:lang w:bidi="ar"/>
        </w:rPr>
        <w:t>)</w:t>
      </w:r>
    </w:p>
    <w:p w14:paraId="6AB31D64">
      <w:pPr>
        <w:widowControl/>
        <w:shd w:val="clear" w:color="auto" w:fill="F8F8F8"/>
        <w:jc w:val="left"/>
        <w:rPr>
          <w:rFonts w:ascii="Consolas" w:hAnsi="Consolas" w:eastAsia="Consolas" w:cs="Consolas"/>
          <w:color w:val="383A42"/>
          <w:szCs w:val="21"/>
        </w:rPr>
      </w:pPr>
      <w:r>
        <w:rPr>
          <w:rFonts w:ascii="Consolas" w:hAnsi="Consolas" w:eastAsia="Consolas" w:cs="Consolas"/>
          <w:color w:val="A626A4"/>
          <w:kern w:val="0"/>
          <w:szCs w:val="21"/>
          <w:shd w:val="clear" w:color="auto" w:fill="F8F8F8"/>
          <w:lang w:bidi="ar"/>
        </w:rPr>
        <w:t>public</w:t>
      </w:r>
      <w:r>
        <w:rPr>
          <w:rFonts w:ascii="Consolas" w:hAnsi="Consolas" w:eastAsia="Consolas" w:cs="Consolas"/>
          <w:color w:val="383A42"/>
          <w:kern w:val="0"/>
          <w:szCs w:val="21"/>
          <w:shd w:val="clear" w:color="auto" w:fill="F8F8F8"/>
          <w:lang w:bidi="ar"/>
        </w:rPr>
        <w:t> ExecutorService aiExecutor() {</w:t>
      </w:r>
    </w:p>
    <w:p w14:paraId="747B844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return</w:t>
      </w: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ThreadPoolExecutor(</w:t>
      </w:r>
    </w:p>
    <w:p w14:paraId="418DA647">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12</w:t>
      </w:r>
      <w:r>
        <w:rPr>
          <w:rFonts w:ascii="Consolas" w:hAnsi="Consolas" w:eastAsia="Consolas" w:cs="Consolas"/>
          <w:color w:val="383A42"/>
          <w:kern w:val="0"/>
          <w:szCs w:val="21"/>
          <w:shd w:val="clear" w:color="auto" w:fill="F8F8F8"/>
          <w:lang w:bidi="ar"/>
        </w:rPr>
        <w:t>,                                </w:t>
      </w:r>
      <w:r>
        <w:rPr>
          <w:rFonts w:ascii="Consolas" w:hAnsi="Consolas" w:eastAsia="Consolas" w:cs="Consolas"/>
          <w:i/>
          <w:iCs/>
          <w:color w:val="A0A1A7"/>
          <w:kern w:val="0"/>
          <w:szCs w:val="21"/>
          <w:shd w:val="clear" w:color="auto" w:fill="F8F8F8"/>
          <w:lang w:bidi="ar"/>
        </w:rPr>
        <w:t>// 核心线程数，cpu核心数量为12</w:t>
      </w:r>
    </w:p>
    <w:p w14:paraId="7230C49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60</w:t>
      </w:r>
      <w:r>
        <w:rPr>
          <w:rFonts w:ascii="Consolas" w:hAnsi="Consolas" w:eastAsia="Consolas" w:cs="Consolas"/>
          <w:color w:val="383A42"/>
          <w:kern w:val="0"/>
          <w:szCs w:val="21"/>
          <w:shd w:val="clear" w:color="auto" w:fill="FAFAFA"/>
          <w:lang w:bidi="ar"/>
        </w:rPr>
        <w:t>,                                 </w:t>
      </w:r>
      <w:r>
        <w:rPr>
          <w:rFonts w:ascii="Consolas" w:hAnsi="Consolas" w:eastAsia="Consolas" w:cs="Consolas"/>
          <w:i/>
          <w:iCs/>
          <w:color w:val="A0A1A7"/>
          <w:kern w:val="0"/>
          <w:szCs w:val="21"/>
          <w:shd w:val="clear" w:color="auto" w:fill="FAFAFA"/>
          <w:lang w:bidi="ar"/>
        </w:rPr>
        <w:t>// 最大线程数</w:t>
      </w:r>
    </w:p>
    <w:p w14:paraId="53F2A3A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60L, TimeUnit.SECONDS,          </w:t>
      </w:r>
      <w:r>
        <w:rPr>
          <w:rFonts w:ascii="Consolas" w:hAnsi="Consolas" w:eastAsia="Consolas" w:cs="Consolas"/>
          <w:i/>
          <w:iCs/>
          <w:color w:val="A0A1A7"/>
          <w:kern w:val="0"/>
          <w:szCs w:val="21"/>
          <w:shd w:val="clear" w:color="auto" w:fill="F8F8F8"/>
          <w:lang w:bidi="ar"/>
        </w:rPr>
        <w:t>// 空闲线程存活时间</w:t>
      </w:r>
    </w:p>
    <w:p w14:paraId="1E7E2759">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LinkedBlockingQueue&lt;&gt;(),     </w:t>
      </w:r>
      <w:r>
        <w:rPr>
          <w:rFonts w:ascii="Consolas" w:hAnsi="Consolas" w:eastAsia="Consolas" w:cs="Consolas"/>
          <w:i/>
          <w:iCs/>
          <w:color w:val="A0A1A7"/>
          <w:kern w:val="0"/>
          <w:szCs w:val="21"/>
          <w:shd w:val="clear" w:color="auto" w:fill="FAFAFA"/>
          <w:lang w:bidi="ar"/>
        </w:rPr>
        <w:t>// 任务队列容量</w:t>
      </w:r>
    </w:p>
    <w:p w14:paraId="68B852B4">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new</w:t>
      </w:r>
      <w:r>
        <w:rPr>
          <w:rFonts w:ascii="Consolas" w:hAnsi="Consolas" w:eastAsia="Consolas" w:cs="Consolas"/>
          <w:color w:val="383A42"/>
          <w:kern w:val="0"/>
          <w:szCs w:val="21"/>
          <w:shd w:val="clear" w:color="auto" w:fill="F8F8F8"/>
          <w:lang w:bidi="ar"/>
        </w:rPr>
        <w:t> ThreadPoolExecutor.CallerRunsPolicy() </w:t>
      </w:r>
      <w:r>
        <w:rPr>
          <w:rFonts w:ascii="Consolas" w:hAnsi="Consolas" w:eastAsia="Consolas" w:cs="Consolas"/>
          <w:i/>
          <w:iCs/>
          <w:color w:val="A0A1A7"/>
          <w:kern w:val="0"/>
          <w:szCs w:val="21"/>
          <w:shd w:val="clear" w:color="auto" w:fill="F8F8F8"/>
          <w:lang w:bidi="ar"/>
        </w:rPr>
        <w:t>//拒绝策略</w:t>
      </w:r>
    </w:p>
    <w:p w14:paraId="0249A74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5EA2E0C6">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w:t>
      </w:r>
    </w:p>
    <w:p w14:paraId="2995FC8D">
      <w:pPr>
        <w:spacing w:line="400" w:lineRule="exact"/>
        <w:ind w:firstLine="480" w:firstLineChars="200"/>
        <w:rPr>
          <w:sz w:val="24"/>
        </w:rPr>
      </w:pPr>
      <w:r>
        <w:rPr>
          <w:rFonts w:hint="eastAsia"/>
          <w:sz w:val="24"/>
        </w:rPr>
        <w:t>部署本系统的机器</w:t>
      </w:r>
      <w:r>
        <w:rPr>
          <w:sz w:val="24"/>
        </w:rPr>
        <w:t>cpu</w:t>
      </w:r>
      <w:r>
        <w:rPr>
          <w:rFonts w:hint="eastAsia"/>
          <w:sz w:val="24"/>
        </w:rPr>
        <w:t>内核数为12，考虑到大模型</w:t>
      </w:r>
      <w:r>
        <w:rPr>
          <w:sz w:val="24"/>
        </w:rPr>
        <w:t>API</w:t>
      </w:r>
      <w:r>
        <w:rPr>
          <w:rFonts w:hint="eastAsia"/>
          <w:sz w:val="24"/>
        </w:rPr>
        <w:t>的耗时极长，且并发限制较为宽松，笔者配置了核心线程数为12，最大线程数为60和链表型的任务队列。其中核心线程对应</w:t>
      </w:r>
      <w:r>
        <w:rPr>
          <w:sz w:val="24"/>
        </w:rPr>
        <w:t>cpu</w:t>
      </w:r>
      <w:r>
        <w:rPr>
          <w:rFonts w:hint="eastAsia"/>
          <w:sz w:val="24"/>
        </w:rPr>
        <w:t>内核，理想情况下一个内核执行一个任务，60的最大线程数提升系统的并发能力，如果出现60个线程都被占用的情况，多余的任务会暂存到无限长的任务队列中，有效缓冲瞬时的流量高峰；拒绝策略为</w:t>
      </w:r>
      <w:r>
        <w:rPr>
          <w:sz w:val="24"/>
        </w:rPr>
        <w:t>CallerRunsPolicy</w:t>
      </w:r>
      <w:r>
        <w:rPr>
          <w:rFonts w:hint="eastAsia"/>
          <w:sz w:val="24"/>
        </w:rPr>
        <w:t>，防止任务丢失。经压力测试，该配置足以支撑5</w:t>
      </w:r>
      <w:r>
        <w:rPr>
          <w:sz w:val="24"/>
        </w:rPr>
        <w:t>qps</w:t>
      </w:r>
      <w:r>
        <w:rPr>
          <w:rFonts w:hint="eastAsia"/>
          <w:sz w:val="24"/>
        </w:rPr>
        <w:t>的并发量，足以满足系统对</w:t>
      </w:r>
      <w:r>
        <w:rPr>
          <w:sz w:val="24"/>
        </w:rPr>
        <w:t>AI</w:t>
      </w:r>
      <w:r>
        <w:rPr>
          <w:rFonts w:hint="eastAsia"/>
          <w:sz w:val="24"/>
        </w:rPr>
        <w:t>决策的并发需求。</w:t>
      </w:r>
    </w:p>
    <w:p w14:paraId="7A0677EC">
      <w:pPr>
        <w:pStyle w:val="11"/>
        <w:spacing w:line="400" w:lineRule="exact"/>
        <w:outlineLvl w:val="1"/>
        <w:rPr>
          <w:rFonts w:ascii="黑体" w:eastAsia="黑体"/>
          <w:sz w:val="30"/>
        </w:rPr>
      </w:pPr>
      <w:bookmarkStart w:id="49" w:name="_Toc15497"/>
      <w:r>
        <w:rPr>
          <w:rFonts w:hint="eastAsia" w:ascii="黑体" w:eastAsia="黑体"/>
          <w:sz w:val="30"/>
        </w:rPr>
        <w:t>5.3 模拟交易模块</w:t>
      </w:r>
      <w:bookmarkEnd w:id="49"/>
      <w:r>
        <w:rPr>
          <w:rFonts w:hint="eastAsia" w:ascii="黑体" w:eastAsia="黑体"/>
          <w:sz w:val="30"/>
        </w:rPr>
        <w:t>实现</w:t>
      </w:r>
    </w:p>
    <w:p w14:paraId="65339C9B">
      <w:pPr>
        <w:spacing w:line="400" w:lineRule="exact"/>
        <w:outlineLvl w:val="2"/>
        <w:rPr>
          <w:rFonts w:hint="eastAsia" w:ascii="黑体" w:hAnsi="黑体" w:eastAsia="黑体" w:cs="黑体"/>
          <w:sz w:val="28"/>
          <w:szCs w:val="28"/>
        </w:rPr>
      </w:pPr>
      <w:bookmarkStart w:id="50" w:name="_Toc8463"/>
      <w:r>
        <w:rPr>
          <w:rFonts w:hint="eastAsia" w:ascii="黑体" w:hAnsi="黑体" w:eastAsia="黑体" w:cs="黑体"/>
          <w:sz w:val="28"/>
          <w:szCs w:val="28"/>
        </w:rPr>
        <w:t>5.3.1 买卖工具方法</w:t>
      </w:r>
      <w:bookmarkEnd w:id="50"/>
    </w:p>
    <w:p w14:paraId="080BDA87">
      <w:pPr>
        <w:spacing w:line="400" w:lineRule="exact"/>
        <w:ind w:firstLine="480" w:firstLineChars="200"/>
        <w:rPr>
          <w:sz w:val="24"/>
        </w:rPr>
      </w:pPr>
      <w:r>
        <w:rPr>
          <w:rFonts w:hint="eastAsia"/>
          <w:sz w:val="24"/>
        </w:rPr>
        <w:t>工具方法本质上就是由</w:t>
      </w:r>
      <w:r>
        <w:rPr>
          <w:sz w:val="24"/>
        </w:rPr>
        <w:t>Java</w:t>
      </w:r>
      <w:r>
        <w:rPr>
          <w:rFonts w:hint="eastAsia"/>
          <w:sz w:val="24"/>
        </w:rPr>
        <w:t>实现的代码逻辑，本系统的</w:t>
      </w:r>
      <w:r>
        <w:rPr>
          <w:sz w:val="24"/>
        </w:rPr>
        <w:t>buy</w:t>
      </w:r>
      <w:r>
        <w:rPr>
          <w:rFonts w:hint="eastAsia"/>
          <w:sz w:val="24"/>
        </w:rPr>
        <w:t>/</w:t>
      </w:r>
      <w:r>
        <w:rPr>
          <w:sz w:val="24"/>
        </w:rPr>
        <w:t>sell</w:t>
      </w:r>
      <w:r>
        <w:rPr>
          <w:rFonts w:hint="eastAsia"/>
          <w:sz w:val="24"/>
        </w:rPr>
        <w:t>方法都加上了@</w:t>
      </w:r>
      <w:r>
        <w:rPr>
          <w:sz w:val="24"/>
        </w:rPr>
        <w:t>Tool</w:t>
      </w:r>
      <w:r>
        <w:rPr>
          <w:rFonts w:hint="eastAsia"/>
          <w:sz w:val="24"/>
        </w:rPr>
        <w:t>注解，由</w:t>
      </w:r>
      <w:r>
        <w:rPr>
          <w:sz w:val="24"/>
        </w:rPr>
        <w:t>AiService</w:t>
      </w:r>
      <w:r>
        <w:rPr>
          <w:rFonts w:hint="eastAsia"/>
          <w:sz w:val="24"/>
        </w:rPr>
        <w:t>调用反射执行。下面给出买入方法，完整实现如下：</w:t>
      </w:r>
    </w:p>
    <w:p w14:paraId="49CB15F4">
      <w:pPr>
        <w:widowControl/>
        <w:shd w:val="clear" w:color="auto" w:fill="F8F8F8"/>
        <w:jc w:val="left"/>
        <w:rPr>
          <w:rFonts w:ascii="Consolas" w:hAnsi="Consolas" w:eastAsia="Consolas" w:cs="Consolas"/>
          <w:color w:val="986801"/>
          <w:kern w:val="0"/>
          <w:szCs w:val="21"/>
          <w:shd w:val="clear" w:color="auto" w:fill="F8F8F8"/>
          <w:lang w:bidi="ar"/>
        </w:rPr>
      </w:pPr>
      <w:r>
        <w:rPr>
          <w:rFonts w:ascii="Consolas" w:hAnsi="Consolas" w:eastAsia="Consolas" w:cs="Consolas"/>
          <w:color w:val="986801"/>
          <w:kern w:val="0"/>
          <w:szCs w:val="21"/>
          <w:shd w:val="clear" w:color="auto" w:fill="F8F8F8"/>
          <w:lang w:bidi="ar"/>
        </w:rPr>
        <w:t>@Tool(</w:t>
      </w:r>
      <w:r>
        <w:rPr>
          <w:rFonts w:ascii="Consolas" w:hAnsi="Consolas" w:eastAsia="Consolas" w:cs="Consolas"/>
          <w:color w:val="50A14F"/>
          <w:kern w:val="0"/>
          <w:szCs w:val="21"/>
          <w:shd w:val="clear" w:color="auto" w:fill="FAFAFA"/>
          <w:lang w:bidi="ar"/>
        </w:rPr>
        <w:t>"买入指定股票。symbol为股票代码，amount为买入股数。"</w:t>
      </w:r>
      <w:r>
        <w:rPr>
          <w:rFonts w:ascii="Consolas" w:hAnsi="Consolas" w:eastAsia="Consolas" w:cs="Consolas"/>
          <w:color w:val="986801"/>
          <w:kern w:val="0"/>
          <w:szCs w:val="21"/>
          <w:shd w:val="clear" w:color="auto" w:fill="F8F8F8"/>
          <w:lang w:bidi="ar"/>
        </w:rPr>
        <w:t>)</w:t>
      </w:r>
    </w:p>
    <w:p w14:paraId="0F16123A">
      <w:pPr>
        <w:widowControl/>
        <w:shd w:val="clear" w:color="auto" w:fill="F8F8F8"/>
        <w:jc w:val="left"/>
        <w:rPr>
          <w:rFonts w:ascii="Consolas" w:hAnsi="Consolas" w:eastAsia="Consolas" w:cs="Consolas"/>
          <w:color w:val="986801"/>
          <w:kern w:val="0"/>
          <w:szCs w:val="21"/>
          <w:shd w:val="clear" w:color="auto" w:fill="F8F8F8"/>
          <w:lang w:bidi="ar"/>
        </w:rPr>
      </w:pPr>
      <w:r>
        <w:rPr>
          <w:rFonts w:ascii="Consolas" w:hAnsi="Consolas" w:eastAsia="Consolas" w:cs="Consolas"/>
          <w:color w:val="986801"/>
          <w:kern w:val="0"/>
          <w:szCs w:val="21"/>
          <w:shd w:val="clear" w:color="auto" w:fill="F8F8F8"/>
          <w:lang w:bidi="ar"/>
        </w:rPr>
        <w:t>@Transactional(value = </w:t>
      </w:r>
      <w:r>
        <w:rPr>
          <w:rFonts w:ascii="Consolas" w:hAnsi="Consolas" w:eastAsia="Consolas" w:cs="Consolas"/>
          <w:color w:val="50A14F"/>
          <w:kern w:val="0"/>
          <w:szCs w:val="21"/>
          <w:shd w:val="clear" w:color="auto" w:fill="FAFAFA"/>
          <w:lang w:bidi="ar"/>
        </w:rPr>
        <w:t>"Exception"</w:t>
      </w:r>
      <w:r>
        <w:rPr>
          <w:rFonts w:ascii="Consolas" w:hAnsi="Consolas" w:eastAsia="Consolas" w:cs="Consolas"/>
          <w:color w:val="986801"/>
          <w:kern w:val="0"/>
          <w:szCs w:val="21"/>
          <w:shd w:val="clear" w:color="auto" w:fill="F8F8F8"/>
          <w:lang w:bidi="ar"/>
        </w:rPr>
        <w:t>)</w:t>
      </w:r>
    </w:p>
    <w:p w14:paraId="5CC5F3B7">
      <w:pPr>
        <w:widowControl/>
        <w:shd w:val="clear" w:color="auto" w:fill="FAFAFA"/>
        <w:jc w:val="left"/>
        <w:rPr>
          <w:rFonts w:ascii="Consolas" w:hAnsi="Consolas" w:eastAsia="Consolas" w:cs="Consolas"/>
          <w:color w:val="383A42"/>
          <w:szCs w:val="21"/>
        </w:rPr>
      </w:pPr>
      <w:r>
        <w:rPr>
          <w:rFonts w:ascii="Consolas" w:hAnsi="Consolas" w:eastAsia="Consolas" w:cs="Consolas"/>
          <w:color w:val="A626A4"/>
          <w:kern w:val="0"/>
          <w:szCs w:val="21"/>
          <w:shd w:val="clear" w:color="auto" w:fill="FAFAFA"/>
          <w:lang w:bidi="ar"/>
        </w:rPr>
        <w:t>public</w:t>
      </w:r>
      <w:r>
        <w:rPr>
          <w:rFonts w:ascii="Consolas" w:hAnsi="Consolas" w:eastAsia="Consolas" w:cs="Consolas"/>
          <w:color w:val="383A42"/>
          <w:kern w:val="0"/>
          <w:szCs w:val="21"/>
          <w:shd w:val="clear" w:color="auto" w:fill="FAFAFA"/>
          <w:lang w:bidi="ar"/>
        </w:rPr>
        <w:t> String buy(String symbol, </w:t>
      </w:r>
      <w:r>
        <w:rPr>
          <w:rFonts w:ascii="Consolas" w:hAnsi="Consolas" w:eastAsia="Consolas" w:cs="Consolas"/>
          <w:color w:val="986801"/>
          <w:kern w:val="0"/>
          <w:szCs w:val="21"/>
          <w:shd w:val="clear" w:color="auto" w:fill="FAFAFA"/>
          <w:lang w:bidi="ar"/>
        </w:rPr>
        <w:t>double</w:t>
      </w:r>
      <w:r>
        <w:rPr>
          <w:rFonts w:ascii="Consolas" w:hAnsi="Consolas" w:eastAsia="Consolas" w:cs="Consolas"/>
          <w:color w:val="383A42"/>
          <w:kern w:val="0"/>
          <w:szCs w:val="21"/>
          <w:shd w:val="clear" w:color="auto" w:fill="FAFAFA"/>
          <w:lang w:bidi="ar"/>
        </w:rPr>
        <w:t> amount) {</w:t>
      </w:r>
    </w:p>
    <w:p w14:paraId="3123999C">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StockInfo</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stock</w:t>
      </w:r>
      <w:r>
        <w:rPr>
          <w:rFonts w:ascii="Consolas" w:hAnsi="Consolas" w:eastAsia="Consolas" w:cs="Consolas"/>
          <w:color w:val="383A42"/>
          <w:kern w:val="0"/>
          <w:szCs w:val="21"/>
          <w:shd w:val="clear" w:color="auto" w:fill="F8F8F8"/>
          <w:lang w:bidi="ar"/>
        </w:rPr>
        <w:t> = stockInfoRepository.findBySymbol(symbol)</w:t>
      </w:r>
    </w:p>
    <w:p w14:paraId="3DC8BF40">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.orElseThrow(() -&gt;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IllegalArgumentException(</w:t>
      </w:r>
      <w:r>
        <w:rPr>
          <w:rFonts w:ascii="Consolas" w:hAnsi="Consolas" w:eastAsia="Consolas" w:cs="Consolas"/>
          <w:color w:val="50A14F"/>
          <w:kern w:val="0"/>
          <w:szCs w:val="21"/>
          <w:shd w:val="clear" w:color="auto" w:fill="FAFAFA"/>
          <w:lang w:bidi="ar"/>
        </w:rPr>
        <w:t>"无效股票代码"</w:t>
      </w:r>
      <w:r>
        <w:rPr>
          <w:rFonts w:ascii="Consolas" w:hAnsi="Consolas" w:eastAsia="Consolas" w:cs="Consolas"/>
          <w:color w:val="383A42"/>
          <w:kern w:val="0"/>
          <w:szCs w:val="21"/>
          <w:shd w:val="clear" w:color="auto" w:fill="FAFAFA"/>
          <w:lang w:bidi="ar"/>
        </w:rPr>
        <w:t>));</w:t>
      </w:r>
    </w:p>
    <w:p w14:paraId="595DE253">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double</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currentPrice</w:t>
      </w:r>
      <w:r>
        <w:rPr>
          <w:rFonts w:ascii="Consolas" w:hAnsi="Consolas" w:eastAsia="Consolas" w:cs="Consolas"/>
          <w:color w:val="383A42"/>
          <w:kern w:val="0"/>
          <w:szCs w:val="21"/>
          <w:shd w:val="clear" w:color="auto" w:fill="F8F8F8"/>
          <w:lang w:bidi="ar"/>
        </w:rPr>
        <w:t> = stockPriceRepository.findTopByStockIdOrderByTradeDateDesc(stock.getId())</w:t>
      </w:r>
    </w:p>
    <w:p w14:paraId="01C06F7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.orElseThrow(() -&gt;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IllegalStateException(</w:t>
      </w:r>
      <w:r>
        <w:rPr>
          <w:rFonts w:ascii="Consolas" w:hAnsi="Consolas" w:eastAsia="Consolas" w:cs="Consolas"/>
          <w:color w:val="50A14F"/>
          <w:kern w:val="0"/>
          <w:szCs w:val="21"/>
          <w:shd w:val="clear" w:color="auto" w:fill="FAFAFA"/>
          <w:lang w:bidi="ar"/>
        </w:rPr>
        <w:t>"无行情数据"</w:t>
      </w:r>
      <w:r>
        <w:rPr>
          <w:rFonts w:ascii="Consolas" w:hAnsi="Consolas" w:eastAsia="Consolas" w:cs="Consolas"/>
          <w:color w:val="383A42"/>
          <w:kern w:val="0"/>
          <w:szCs w:val="21"/>
          <w:shd w:val="clear" w:color="auto" w:fill="FAFAFA"/>
          <w:lang w:bidi="ar"/>
        </w:rPr>
        <w:t>)).getClose();</w:t>
      </w:r>
    </w:p>
    <w:p w14:paraId="4E80A528">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double</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requiredCash</w:t>
      </w:r>
      <w:r>
        <w:rPr>
          <w:rFonts w:ascii="Consolas" w:hAnsi="Consolas" w:eastAsia="Consolas" w:cs="Consolas"/>
          <w:color w:val="383A42"/>
          <w:kern w:val="0"/>
          <w:szCs w:val="21"/>
          <w:shd w:val="clear" w:color="auto" w:fill="F8F8F8"/>
          <w:lang w:bidi="ar"/>
        </w:rPr>
        <w:t> = currentPrice * amount;</w:t>
      </w:r>
    </w:p>
    <w:p w14:paraId="384CDE94">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AiTrader</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trader</w:t>
      </w:r>
      <w:r>
        <w:rPr>
          <w:rFonts w:ascii="Consolas" w:hAnsi="Consolas" w:eastAsia="Consolas" w:cs="Consolas"/>
          <w:color w:val="383A42"/>
          <w:kern w:val="0"/>
          <w:szCs w:val="21"/>
          <w:shd w:val="clear" w:color="auto" w:fill="FAFAFA"/>
          <w:lang w:bidi="ar"/>
        </w:rPr>
        <w:t> = getCurrentTrader();</w:t>
      </w:r>
    </w:p>
    <w:p w14:paraId="7803A596">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if</w:t>
      </w:r>
      <w:r>
        <w:rPr>
          <w:rFonts w:ascii="Consolas" w:hAnsi="Consolas" w:eastAsia="Consolas" w:cs="Consolas"/>
          <w:color w:val="383A42"/>
          <w:kern w:val="0"/>
          <w:szCs w:val="21"/>
          <w:shd w:val="clear" w:color="auto" w:fill="F8F8F8"/>
          <w:lang w:bidi="ar"/>
        </w:rPr>
        <w:t> (trader.getCashBalance() &lt; requiredCash) {</w:t>
      </w:r>
    </w:p>
    <w:p w14:paraId="3EF452D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return</w:t>
      </w:r>
      <w:r>
        <w:rPr>
          <w:rFonts w:ascii="Consolas" w:hAnsi="Consolas" w:eastAsia="Consolas" w:cs="Consolas"/>
          <w:color w:val="383A42"/>
          <w:kern w:val="0"/>
          <w:szCs w:val="21"/>
          <w:shd w:val="clear" w:color="auto" w:fill="FAFAFA"/>
          <w:lang w:bidi="ar"/>
        </w:rPr>
        <w:t> </w:t>
      </w:r>
      <w:r>
        <w:rPr>
          <w:rFonts w:ascii="Consolas" w:hAnsi="Consolas" w:eastAsia="Consolas" w:cs="Consolas"/>
          <w:color w:val="50A14F"/>
          <w:kern w:val="0"/>
          <w:szCs w:val="21"/>
          <w:shd w:val="clear" w:color="auto" w:fill="FAFAFA"/>
          <w:lang w:bidi="ar"/>
        </w:rPr>
        <w:t>"买入失败：现金余额不足"</w:t>
      </w:r>
      <w:r>
        <w:rPr>
          <w:rFonts w:ascii="Consolas" w:hAnsi="Consolas" w:eastAsia="Consolas" w:cs="Consolas"/>
          <w:color w:val="383A42"/>
          <w:kern w:val="0"/>
          <w:szCs w:val="21"/>
          <w:shd w:val="clear" w:color="auto" w:fill="FAFAFA"/>
          <w:lang w:bidi="ar"/>
        </w:rPr>
        <w:t>;</w:t>
      </w:r>
    </w:p>
    <w:p w14:paraId="3E1A0859">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p>
    <w:p w14:paraId="07BF11CE">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trader.setCashBalance(trader.getCashBalance() - requiredCash);</w:t>
      </w:r>
    </w:p>
    <w:p w14:paraId="481ACCA6">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aiTraderRepository.save(trader);</w:t>
      </w:r>
    </w:p>
    <w:p w14:paraId="4729DAB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AiPosition</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position</w:t>
      </w:r>
      <w:r>
        <w:rPr>
          <w:rFonts w:ascii="Consolas" w:hAnsi="Consolas" w:eastAsia="Consolas" w:cs="Consolas"/>
          <w:color w:val="383A42"/>
          <w:kern w:val="0"/>
          <w:szCs w:val="21"/>
          <w:shd w:val="clear" w:color="auto" w:fill="FAFAFA"/>
          <w:lang w:bidi="ar"/>
        </w:rPr>
        <w:t> = aiPositionRepository.findByTraderIdAndStockId(trader.getId(), stock.getId())</w:t>
      </w:r>
    </w:p>
    <w:p w14:paraId="2BB8733A">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.orElse(</w:t>
      </w:r>
      <w:r>
        <w:rPr>
          <w:rFonts w:ascii="Consolas" w:hAnsi="Consolas" w:eastAsia="Consolas" w:cs="Consolas"/>
          <w:color w:val="A626A4"/>
          <w:kern w:val="0"/>
          <w:szCs w:val="21"/>
          <w:shd w:val="clear" w:color="auto" w:fill="F8F8F8"/>
          <w:lang w:bidi="ar"/>
        </w:rPr>
        <w:t>new</w:t>
      </w:r>
      <w:r>
        <w:rPr>
          <w:rFonts w:ascii="Consolas" w:hAnsi="Consolas" w:eastAsia="Consolas" w:cs="Consolas"/>
          <w:color w:val="383A42"/>
          <w:kern w:val="0"/>
          <w:szCs w:val="21"/>
          <w:shd w:val="clear" w:color="auto" w:fill="F8F8F8"/>
          <w:lang w:bidi="ar"/>
        </w:rPr>
        <w:t> AiPosition(trader, stock, </w:t>
      </w:r>
      <w:r>
        <w:rPr>
          <w:rFonts w:ascii="Consolas" w:hAnsi="Consolas" w:eastAsia="Consolas" w:cs="Consolas"/>
          <w:color w:val="986801"/>
          <w:kern w:val="0"/>
          <w:szCs w:val="21"/>
          <w:shd w:val="clear" w:color="auto" w:fill="F8F8F8"/>
          <w:lang w:bidi="ar"/>
        </w:rPr>
        <w:t>0</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0.0</w:t>
      </w:r>
      <w:r>
        <w:rPr>
          <w:rFonts w:ascii="Consolas" w:hAnsi="Consolas" w:eastAsia="Consolas" w:cs="Consolas"/>
          <w:color w:val="383A42"/>
          <w:kern w:val="0"/>
          <w:szCs w:val="21"/>
          <w:shd w:val="clear" w:color="auto" w:fill="F8F8F8"/>
          <w:lang w:bidi="ar"/>
        </w:rPr>
        <w:t>));</w:t>
      </w:r>
    </w:p>
    <w:p w14:paraId="5E293C4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double</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newQuantity</w:t>
      </w:r>
      <w:r>
        <w:rPr>
          <w:rFonts w:ascii="Consolas" w:hAnsi="Consolas" w:eastAsia="Consolas" w:cs="Consolas"/>
          <w:color w:val="383A42"/>
          <w:kern w:val="0"/>
          <w:szCs w:val="21"/>
          <w:shd w:val="clear" w:color="auto" w:fill="FAFAFA"/>
          <w:lang w:bidi="ar"/>
        </w:rPr>
        <w:t> = position.getQuantity() + amount;</w:t>
      </w:r>
    </w:p>
    <w:p w14:paraId="6EF96EB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double</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newAvgCost</w:t>
      </w:r>
      <w:r>
        <w:rPr>
          <w:rFonts w:ascii="Consolas" w:hAnsi="Consolas" w:eastAsia="Consolas" w:cs="Consolas"/>
          <w:color w:val="383A42"/>
          <w:kern w:val="0"/>
          <w:szCs w:val="21"/>
          <w:shd w:val="clear" w:color="auto" w:fill="F8F8F8"/>
          <w:lang w:bidi="ar"/>
        </w:rPr>
        <w:t> = (position.getAvgCost() * position.getQuantity() + requiredCash) / newQuantity;</w:t>
      </w:r>
    </w:p>
    <w:p w14:paraId="72185769">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position.setQuantity(newQuantity);</w:t>
      </w:r>
    </w:p>
    <w:p w14:paraId="2ADE528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position.setAvgCost(newAvgCost);</w:t>
      </w:r>
    </w:p>
    <w:p w14:paraId="2E11CB5B">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aiPositionRepository.save(position);</w:t>
      </w:r>
    </w:p>
    <w:p w14:paraId="7BB33D9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AiTradeRecord</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record</w:t>
      </w:r>
      <w:r>
        <w:rPr>
          <w:rFonts w:ascii="Consolas" w:hAnsi="Consolas" w:eastAsia="Consolas" w:cs="Consolas"/>
          <w:color w:val="383A42"/>
          <w:kern w:val="0"/>
          <w:szCs w:val="21"/>
          <w:shd w:val="clear" w:color="auto" w:fill="F8F8F8"/>
          <w:lang w:bidi="ar"/>
        </w:rPr>
        <w:t> = </w:t>
      </w:r>
      <w:r>
        <w:rPr>
          <w:rFonts w:ascii="Consolas" w:hAnsi="Consolas" w:eastAsia="Consolas" w:cs="Consolas"/>
          <w:color w:val="A626A4"/>
          <w:kern w:val="0"/>
          <w:szCs w:val="21"/>
          <w:shd w:val="clear" w:color="auto" w:fill="F8F8F8"/>
          <w:lang w:bidi="ar"/>
        </w:rPr>
        <w:t>new</w:t>
      </w:r>
      <w:r>
        <w:rPr>
          <w:rFonts w:ascii="Consolas" w:hAnsi="Consolas" w:eastAsia="Consolas" w:cs="Consolas"/>
          <w:color w:val="383A42"/>
          <w:kern w:val="0"/>
          <w:szCs w:val="21"/>
          <w:shd w:val="clear" w:color="auto" w:fill="F8F8F8"/>
          <w:lang w:bidi="ar"/>
        </w:rPr>
        <w:t> AiTradeRecord(trader, stock, TradeType.BUY, amount, currentPrice);</w:t>
      </w:r>
    </w:p>
    <w:p w14:paraId="264FD54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aiTradeRecordRepository.save(record);</w:t>
      </w:r>
    </w:p>
    <w:p w14:paraId="5FB4E605">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return</w:t>
      </w:r>
      <w:r>
        <w:rPr>
          <w:rFonts w:ascii="Consolas" w:hAnsi="Consolas" w:eastAsia="Consolas" w:cs="Consolas"/>
          <w:color w:val="383A42"/>
          <w:kern w:val="0"/>
          <w:szCs w:val="21"/>
          <w:shd w:val="clear" w:color="auto" w:fill="F8F8F8"/>
          <w:lang w:bidi="ar"/>
        </w:rPr>
        <w:t> String.format(</w:t>
      </w:r>
      <w:r>
        <w:rPr>
          <w:rFonts w:ascii="Consolas" w:hAnsi="Consolas" w:eastAsia="Consolas" w:cs="Consolas"/>
          <w:color w:val="50A14F"/>
          <w:kern w:val="0"/>
          <w:szCs w:val="21"/>
          <w:shd w:val="clear" w:color="auto" w:fill="F8F8F8"/>
          <w:lang w:bidi="ar"/>
        </w:rPr>
        <w:t>"已买入 %.0f 股 %s，成交价 %.2f，消耗现金 %.2f"</w:t>
      </w:r>
      <w:r>
        <w:rPr>
          <w:rFonts w:ascii="Consolas" w:hAnsi="Consolas" w:eastAsia="Consolas" w:cs="Consolas"/>
          <w:color w:val="383A42"/>
          <w:kern w:val="0"/>
          <w:szCs w:val="21"/>
          <w:shd w:val="clear" w:color="auto" w:fill="F8F8F8"/>
          <w:lang w:bidi="ar"/>
        </w:rPr>
        <w:t>, </w:t>
      </w:r>
    </w:p>
    <w:p w14:paraId="39E92BA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amount, symbol, currentPrice, requiredCash);</w:t>
      </w:r>
    </w:p>
    <w:p w14:paraId="39642FD7">
      <w:pPr>
        <w:widowControl/>
        <w:shd w:val="clear" w:color="auto" w:fill="F8F8F8"/>
        <w:jc w:val="left"/>
        <w:rPr>
          <w:rFonts w:hint="eastAsia" w:ascii="宋体" w:hAnsi="宋体" w:cs="宋体"/>
          <w:szCs w:val="21"/>
          <w:lang w:bidi="ar"/>
        </w:rPr>
      </w:pPr>
      <w:r>
        <w:rPr>
          <w:rFonts w:ascii="Consolas" w:hAnsi="Consolas" w:eastAsia="Consolas" w:cs="Consolas"/>
          <w:color w:val="383A42"/>
          <w:kern w:val="0"/>
          <w:szCs w:val="21"/>
          <w:shd w:val="clear" w:color="auto" w:fill="F8F8F8"/>
          <w:lang w:bidi="ar"/>
        </w:rPr>
        <w:t>}</w:t>
      </w:r>
    </w:p>
    <w:p w14:paraId="538C131C">
      <w:pPr>
        <w:spacing w:line="400" w:lineRule="exact"/>
        <w:outlineLvl w:val="2"/>
        <w:rPr>
          <w:rFonts w:hint="eastAsia" w:ascii="黑体" w:hAnsi="黑体" w:eastAsia="黑体" w:cs="黑体"/>
          <w:sz w:val="28"/>
          <w:szCs w:val="28"/>
        </w:rPr>
      </w:pPr>
      <w:bookmarkStart w:id="51" w:name="_Toc19113"/>
      <w:r>
        <w:rPr>
          <w:rFonts w:hint="eastAsia" w:ascii="黑体" w:hAnsi="黑体" w:eastAsia="黑体" w:cs="黑体"/>
          <w:sz w:val="28"/>
          <w:szCs w:val="28"/>
        </w:rPr>
        <w:t>5.3.2 AI交易员初始化</w:t>
      </w:r>
      <w:bookmarkEnd w:id="51"/>
    </w:p>
    <w:p w14:paraId="3FC6085E">
      <w:pPr>
        <w:spacing w:line="400" w:lineRule="exact"/>
        <w:ind w:firstLine="480" w:firstLineChars="200"/>
        <w:rPr>
          <w:sz w:val="24"/>
        </w:rPr>
      </w:pPr>
      <w:r>
        <w:rPr>
          <w:rFonts w:hint="eastAsia"/>
          <w:sz w:val="24"/>
        </w:rPr>
        <w:t>在本项目初始化时，笔者为每位AI交易员分配了10,000美元的初始现金。初始化逻辑位于AiTraderService.createTrader，该方法被@PostConstruct修饰，在依赖注入完成后，Bean正式投入使用前执行。另一部分，前端在启动斗兽场模块时，将引导用户对AI的模型和风险偏好进行自由组合，并且设置AI的初始现代币数量（默认为1,000单位），这在数据层对应着ai_trader表中的记录。</w:t>
      </w:r>
    </w:p>
    <w:p w14:paraId="2B3BC6E8">
      <w:pPr>
        <w:pStyle w:val="11"/>
        <w:spacing w:line="400" w:lineRule="exact"/>
        <w:outlineLvl w:val="1"/>
        <w:rPr>
          <w:rFonts w:ascii="黑体" w:eastAsia="黑体"/>
          <w:sz w:val="30"/>
        </w:rPr>
      </w:pPr>
      <w:bookmarkStart w:id="52" w:name="_Toc10057"/>
      <w:r>
        <w:rPr>
          <w:rFonts w:hint="eastAsia" w:ascii="黑体" w:eastAsia="黑体"/>
          <w:sz w:val="30"/>
        </w:rPr>
        <w:t>5.4 区块链斗兽场模块</w:t>
      </w:r>
      <w:bookmarkEnd w:id="52"/>
      <w:r>
        <w:rPr>
          <w:rFonts w:hint="eastAsia" w:ascii="黑体" w:eastAsia="黑体"/>
          <w:sz w:val="30"/>
        </w:rPr>
        <w:t>实现</w:t>
      </w:r>
    </w:p>
    <w:p w14:paraId="2F4A7412">
      <w:pPr>
        <w:spacing w:line="400" w:lineRule="exact"/>
        <w:outlineLvl w:val="2"/>
        <w:rPr>
          <w:rFonts w:hint="eastAsia" w:ascii="黑体" w:hAnsi="黑体" w:eastAsia="黑体" w:cs="黑体"/>
          <w:sz w:val="28"/>
          <w:szCs w:val="28"/>
        </w:rPr>
      </w:pPr>
      <w:bookmarkStart w:id="53" w:name="_Toc10318"/>
      <w:r>
        <w:rPr>
          <w:rFonts w:hint="eastAsia" w:ascii="黑体" w:hAnsi="黑体" w:eastAsia="黑体" w:cs="黑体"/>
          <w:sz w:val="28"/>
          <w:szCs w:val="28"/>
        </w:rPr>
        <w:t>5.4.1 角色配置与启动</w:t>
      </w:r>
      <w:bookmarkEnd w:id="53"/>
    </w:p>
    <w:p w14:paraId="0AA319DD">
      <w:pPr>
        <w:spacing w:line="400" w:lineRule="exact"/>
        <w:ind w:firstLine="480" w:firstLineChars="200"/>
        <w:rPr>
          <w:sz w:val="24"/>
        </w:rPr>
      </w:pPr>
      <w:r>
        <w:rPr>
          <w:rFonts w:hint="eastAsia"/>
          <w:sz w:val="24"/>
        </w:rPr>
        <w:t>在本系统中，用户可以对斗兽场模拟进行配置，比如可以选择Agent的底层模型和提示词风险偏好（稳妥/适中/激进），也可以设置基本的参数，包括AI的数量、总的运行轮数和Agent的初始Token数量，默认是T1、T2、T3各分配1,000单位，托管地址预留10,000单位，模拟开始后，所写的配置将会加载到线程中。</w:t>
      </w:r>
    </w:p>
    <w:p w14:paraId="2E23DFDE">
      <w:pPr>
        <w:spacing w:line="400" w:lineRule="exact"/>
        <w:outlineLvl w:val="2"/>
        <w:rPr>
          <w:rFonts w:hint="eastAsia" w:ascii="黑体" w:hAnsi="黑体" w:eastAsia="黑体" w:cs="黑体"/>
          <w:sz w:val="28"/>
          <w:szCs w:val="28"/>
        </w:rPr>
      </w:pPr>
      <w:bookmarkStart w:id="54" w:name="_Toc14086"/>
      <w:r>
        <w:rPr>
          <w:rFonts w:hint="eastAsia" w:ascii="黑体" w:hAnsi="黑体" w:eastAsia="黑体" w:cs="黑体"/>
          <w:sz w:val="28"/>
          <w:szCs w:val="28"/>
        </w:rPr>
        <w:t>5.4.2 竞争排序与轮转执行</w:t>
      </w:r>
      <w:bookmarkEnd w:id="54"/>
    </w:p>
    <w:p w14:paraId="31502469">
      <w:pPr>
        <w:spacing w:line="400" w:lineRule="exact"/>
        <w:ind w:firstLine="480" w:firstLineChars="200"/>
        <w:rPr>
          <w:sz w:val="24"/>
        </w:rPr>
      </w:pPr>
      <w:r>
        <w:rPr>
          <w:rFonts w:hint="eastAsia"/>
          <w:sz w:val="24"/>
        </w:rPr>
        <w:t>本系统中，笔者构造了ArenaRoundExecutor类控制每轮博弈的流程，分为两个决策阶段。核心逻辑如下：</w:t>
      </w:r>
    </w:p>
    <w:tbl>
      <w:tblPr>
        <w:tblStyle w:val="23"/>
        <w:tblW w:w="0" w:type="dxa"/>
        <w:tblInd w:w="0" w:type="dxa"/>
        <w:shd w:val="clear" w:color="auto" w:fill="FFFFFF"/>
        <w:tblLayout w:type="autofit"/>
        <w:tblCellMar>
          <w:top w:w="0" w:type="dxa"/>
          <w:left w:w="0" w:type="dxa"/>
          <w:bottom w:w="0" w:type="dxa"/>
          <w:right w:w="0" w:type="dxa"/>
        </w:tblCellMar>
      </w:tblPr>
      <w:tblGrid>
        <w:gridCol w:w="8653"/>
      </w:tblGrid>
      <w:tr w14:paraId="75500F96">
        <w:tblPrEx>
          <w:shd w:val="clear" w:color="auto" w:fill="FFFFFF"/>
          <w:tblCellMar>
            <w:top w:w="0" w:type="dxa"/>
            <w:left w:w="0" w:type="dxa"/>
            <w:bottom w:w="0" w:type="dxa"/>
            <w:right w:w="0" w:type="dxa"/>
          </w:tblCellMar>
        </w:tblPrEx>
        <w:tc>
          <w:tcPr>
            <w:tcW w:w="9488" w:type="dxa"/>
            <w:tcBorders>
              <w:top w:val="nil"/>
              <w:left w:val="nil"/>
              <w:bottom w:val="nil"/>
              <w:right w:val="nil"/>
            </w:tcBorders>
            <w:shd w:val="clear" w:color="auto" w:fill="FFFFFF" w:themeFill="background1"/>
            <w:tcMar>
              <w:left w:w="150" w:type="dxa"/>
            </w:tcMar>
          </w:tcPr>
          <w:p w14:paraId="6A91A509">
            <w:pPr>
              <w:widowControl/>
              <w:shd w:val="clear" w:color="auto" w:fill="FAFAFA"/>
              <w:jc w:val="left"/>
              <w:rPr>
                <w:rFonts w:ascii="Consolas" w:hAnsi="Consolas" w:eastAsia="Consolas" w:cs="Consolas"/>
                <w:color w:val="383A42"/>
                <w:szCs w:val="21"/>
              </w:rPr>
            </w:pPr>
            <w:r>
              <w:rPr>
                <w:rFonts w:ascii="Consolas" w:hAnsi="Consolas" w:eastAsia="Consolas" w:cs="Consolas"/>
                <w:color w:val="A626A4"/>
                <w:kern w:val="0"/>
                <w:szCs w:val="21"/>
                <w:shd w:val="clear" w:color="auto" w:fill="FAFAFA"/>
                <w:lang w:bidi="ar"/>
              </w:rPr>
              <w:t>public</w:t>
            </w: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void</w:t>
            </w:r>
            <w:r>
              <w:rPr>
                <w:rFonts w:ascii="Consolas" w:hAnsi="Consolas" w:eastAsia="Consolas" w:cs="Consolas"/>
                <w:color w:val="383A42"/>
                <w:kern w:val="0"/>
                <w:szCs w:val="21"/>
                <w:shd w:val="clear" w:color="auto" w:fill="FAFAFA"/>
                <w:lang w:bidi="ar"/>
              </w:rPr>
              <w:t> executeRound(Long configId, </w:t>
            </w:r>
            <w:r>
              <w:rPr>
                <w:rFonts w:ascii="Consolas" w:hAnsi="Consolas" w:eastAsia="Consolas" w:cs="Consolas"/>
                <w:color w:val="986801"/>
                <w:kern w:val="0"/>
                <w:szCs w:val="21"/>
                <w:shd w:val="clear" w:color="auto" w:fill="FAFAFA"/>
                <w:lang w:bidi="ar"/>
              </w:rPr>
              <w:t>int</w:t>
            </w:r>
            <w:r>
              <w:rPr>
                <w:rFonts w:ascii="Consolas" w:hAnsi="Consolas" w:eastAsia="Consolas" w:cs="Consolas"/>
                <w:color w:val="383A42"/>
                <w:kern w:val="0"/>
                <w:szCs w:val="21"/>
                <w:shd w:val="clear" w:color="auto" w:fill="FAFAFA"/>
                <w:lang w:bidi="ar"/>
              </w:rPr>
              <w:t> roundNumber) {</w:t>
            </w:r>
          </w:p>
          <w:p w14:paraId="707542C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ArenaConfig</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config</w:t>
            </w:r>
            <w:r>
              <w:rPr>
                <w:rFonts w:ascii="Consolas" w:hAnsi="Consolas" w:eastAsia="Consolas" w:cs="Consolas"/>
                <w:color w:val="383A42"/>
                <w:kern w:val="0"/>
                <w:szCs w:val="21"/>
                <w:shd w:val="clear" w:color="auto" w:fill="F8F8F8"/>
                <w:lang w:bidi="ar"/>
              </w:rPr>
              <w:t> = configRepository.findById(configId).get();</w:t>
            </w:r>
          </w:p>
          <w:p w14:paraId="5D8EC2F3">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List&lt;AiTrader&gt; traders = getTradersByConfig(config);</w:t>
            </w:r>
          </w:p>
          <w:p w14:paraId="48D9C037">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List&lt;AiTrader&gt; racingOrder = </w:t>
            </w:r>
            <w:r>
              <w:rPr>
                <w:rFonts w:ascii="Consolas" w:hAnsi="Consolas" w:eastAsia="Consolas" w:cs="Consolas"/>
                <w:color w:val="383A42"/>
                <w:kern w:val="0"/>
                <w:szCs w:val="21"/>
                <w:shd w:val="clear" w:color="auto" w:fill="FAFAFA"/>
                <w:lang w:bidi="ar"/>
              </w:rPr>
              <w:t>Collections.synchronizedList()</w:t>
            </w:r>
            <w:r>
              <w:rPr>
                <w:rFonts w:ascii="Consolas" w:hAnsi="Consolas" w:eastAsia="Consolas" w:cs="Consolas"/>
                <w:color w:val="383A42"/>
                <w:kern w:val="0"/>
                <w:szCs w:val="21"/>
                <w:shd w:val="clear" w:color="auto" w:fill="F8F8F8"/>
                <w:lang w:bidi="ar"/>
              </w:rPr>
              <w:t>;</w:t>
            </w:r>
          </w:p>
          <w:p w14:paraId="64AFD2F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CountDownLatch</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racingLatch</w:t>
            </w:r>
            <w:r>
              <w:rPr>
                <w:rFonts w:ascii="Consolas" w:hAnsi="Consolas" w:eastAsia="Consolas" w:cs="Consolas"/>
                <w:color w:val="383A42"/>
                <w:kern w:val="0"/>
                <w:szCs w:val="21"/>
                <w:shd w:val="clear" w:color="auto" w:fill="FAFAFA"/>
                <w:lang w:bidi="ar"/>
              </w:rPr>
              <w:t> =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CountDownLatch(traders.size());</w:t>
            </w:r>
          </w:p>
          <w:p w14:paraId="483C8D5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for</w:t>
            </w:r>
            <w:r>
              <w:rPr>
                <w:rFonts w:ascii="Consolas" w:hAnsi="Consolas" w:eastAsia="Consolas" w:cs="Consolas"/>
                <w:color w:val="383A42"/>
                <w:kern w:val="0"/>
                <w:szCs w:val="21"/>
                <w:shd w:val="clear" w:color="auto" w:fill="F8F8F8"/>
                <w:lang w:bidi="ar"/>
              </w:rPr>
              <w:t> (AiTrader trader : traders) {</w:t>
            </w:r>
          </w:p>
          <w:p w14:paraId="560827DD">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arenaExecutor.submit(() -&gt; {</w:t>
            </w:r>
          </w:p>
          <w:p w14:paraId="11EE2586">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try</w:t>
            </w:r>
            <w:r>
              <w:rPr>
                <w:rFonts w:ascii="Consolas" w:hAnsi="Consolas" w:eastAsia="Consolas" w:cs="Consolas"/>
                <w:color w:val="383A42"/>
                <w:kern w:val="0"/>
                <w:szCs w:val="21"/>
                <w:shd w:val="clear" w:color="auto" w:fill="F8F8F8"/>
                <w:lang w:bidi="ar"/>
              </w:rPr>
              <w:t> {</w:t>
            </w:r>
          </w:p>
          <w:p w14:paraId="78225028">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buildInitialIntent(trader, config); </w:t>
            </w:r>
          </w:p>
          <w:p w14:paraId="5769FD8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racingOrder.add(trader);</w:t>
            </w:r>
          </w:p>
          <w:p w14:paraId="182EF1CB">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 </w:t>
            </w:r>
            <w:r>
              <w:rPr>
                <w:rFonts w:ascii="Consolas" w:hAnsi="Consolas" w:eastAsia="Consolas" w:cs="Consolas"/>
                <w:color w:val="A626A4"/>
                <w:kern w:val="0"/>
                <w:szCs w:val="21"/>
                <w:shd w:val="clear" w:color="auto" w:fill="FAFAFA"/>
                <w:lang w:bidi="ar"/>
              </w:rPr>
              <w:t>finally</w:t>
            </w:r>
            <w:r>
              <w:rPr>
                <w:rFonts w:ascii="Consolas" w:hAnsi="Consolas" w:eastAsia="Consolas" w:cs="Consolas"/>
                <w:color w:val="383A42"/>
                <w:kern w:val="0"/>
                <w:szCs w:val="21"/>
                <w:shd w:val="clear" w:color="auto" w:fill="FAFAFA"/>
                <w:lang w:bidi="ar"/>
              </w:rPr>
              <w:t> {</w:t>
            </w:r>
          </w:p>
          <w:p w14:paraId="5BFEA78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racingLatch.countDown();</w:t>
            </w:r>
          </w:p>
          <w:p w14:paraId="536CC08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0E22CB85">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p>
          <w:p w14:paraId="67E663F0">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0C94D7FD">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try</w:t>
            </w:r>
            <w:r>
              <w:rPr>
                <w:rFonts w:ascii="Consolas" w:hAnsi="Consolas" w:eastAsia="Consolas" w:cs="Consolas"/>
                <w:color w:val="383A42"/>
                <w:kern w:val="0"/>
                <w:szCs w:val="21"/>
                <w:shd w:val="clear" w:color="auto" w:fill="F8F8F8"/>
                <w:lang w:bidi="ar"/>
              </w:rPr>
              <w:t> {</w:t>
            </w:r>
          </w:p>
          <w:p w14:paraId="452ECAAB">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racingLatch.await(</w:t>
            </w:r>
            <w:r>
              <w:rPr>
                <w:rFonts w:ascii="Consolas" w:hAnsi="Consolas" w:eastAsia="Consolas" w:cs="Consolas"/>
                <w:color w:val="986801"/>
                <w:kern w:val="0"/>
                <w:szCs w:val="21"/>
                <w:shd w:val="clear" w:color="auto" w:fill="FAFAFA"/>
                <w:lang w:bidi="ar"/>
              </w:rPr>
              <w:t>10</w:t>
            </w:r>
            <w:r>
              <w:rPr>
                <w:rFonts w:ascii="Consolas" w:hAnsi="Consolas" w:eastAsia="Consolas" w:cs="Consolas"/>
                <w:color w:val="383A42"/>
                <w:kern w:val="0"/>
                <w:szCs w:val="21"/>
                <w:shd w:val="clear" w:color="auto" w:fill="FAFAFA"/>
                <w:lang w:bidi="ar"/>
              </w:rPr>
              <w:t>, TimeUnit.SECONDS);</w:t>
            </w:r>
          </w:p>
          <w:p w14:paraId="2F21E015">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for</w:t>
            </w:r>
            <w:r>
              <w:rPr>
                <w:rFonts w:ascii="Consolas" w:hAnsi="Consolas" w:eastAsia="Consolas" w:cs="Consolas"/>
                <w:color w:val="383A42"/>
                <w:kern w:val="0"/>
                <w:szCs w:val="21"/>
                <w:shd w:val="clear" w:color="auto" w:fill="F8F8F8"/>
                <w:lang w:bidi="ar"/>
              </w:rPr>
              <w:t> (AiTrader trader : racingOrder) {</w:t>
            </w:r>
          </w:p>
          <w:p w14:paraId="419E56ED">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TradingContext</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flashCtx</w:t>
            </w:r>
            <w:r>
              <w:rPr>
                <w:rFonts w:ascii="Consolas" w:hAnsi="Consolas" w:eastAsia="Consolas" w:cs="Consolas"/>
                <w:color w:val="383A42"/>
                <w:kern w:val="0"/>
                <w:szCs w:val="21"/>
                <w:shd w:val="clear" w:color="auto" w:fill="FAFAFA"/>
                <w:lang w:bidi="ar"/>
              </w:rPr>
              <w:t> = buildContextForArena(trader, config);</w:t>
            </w:r>
          </w:p>
          <w:p w14:paraId="72799F0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TradeAction</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action</w:t>
            </w:r>
            <w:r>
              <w:rPr>
                <w:rFonts w:ascii="Consolas" w:hAnsi="Consolas" w:eastAsia="Consolas" w:cs="Consolas"/>
                <w:color w:val="383A42"/>
                <w:kern w:val="0"/>
                <w:szCs w:val="21"/>
                <w:shd w:val="clear" w:color="auto" w:fill="FAFAFA"/>
                <w:lang w:bidi="ar"/>
              </w:rPr>
              <w:t> = trader.confirmDecision(flashCtx);</w:t>
            </w:r>
          </w:p>
          <w:p w14:paraId="3ED5F28F">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if</w:t>
            </w:r>
            <w:r>
              <w:rPr>
                <w:rFonts w:ascii="Consolas" w:hAnsi="Consolas" w:eastAsia="Consolas" w:cs="Consolas"/>
                <w:color w:val="383A42"/>
                <w:kern w:val="0"/>
                <w:szCs w:val="21"/>
                <w:shd w:val="clear" w:color="auto" w:fill="F8F8F8"/>
                <w:lang w:bidi="ar"/>
              </w:rPr>
              <w:t> (action.isProceed()) {</w:t>
            </w:r>
          </w:p>
          <w:p w14:paraId="30C721E8">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executeTraderTurn(trader, config, roundNumber, flashCtx);</w:t>
            </w:r>
          </w:p>
          <w:p w14:paraId="626C7F78">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 </w:t>
            </w:r>
            <w:r>
              <w:rPr>
                <w:rFonts w:ascii="Consolas" w:hAnsi="Consolas" w:eastAsia="Consolas" w:cs="Consolas"/>
                <w:color w:val="A626A4"/>
                <w:kern w:val="0"/>
                <w:szCs w:val="21"/>
                <w:shd w:val="clear" w:color="auto" w:fill="F8F8F8"/>
                <w:lang w:bidi="ar"/>
              </w:rPr>
              <w:t>else</w:t>
            </w:r>
            <w:r>
              <w:rPr>
                <w:rFonts w:ascii="Consolas" w:hAnsi="Consolas" w:eastAsia="Consolas" w:cs="Consolas"/>
                <w:color w:val="383A42"/>
                <w:kern w:val="0"/>
                <w:szCs w:val="21"/>
                <w:shd w:val="clear" w:color="auto" w:fill="F8F8F8"/>
                <w:lang w:bidi="ar"/>
              </w:rPr>
              <w:t> {</w:t>
            </w:r>
          </w:p>
          <w:p w14:paraId="776315A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log.info(</w:t>
            </w:r>
            <w:r>
              <w:rPr>
                <w:rFonts w:ascii="Consolas" w:hAnsi="Consolas" w:eastAsia="Consolas" w:cs="Consolas"/>
                <w:color w:val="50A14F"/>
                <w:kern w:val="0"/>
                <w:szCs w:val="21"/>
                <w:shd w:val="clear" w:color="auto" w:fill="FAFAFA"/>
                <w:lang w:bidi="ar"/>
              </w:rPr>
              <w:t>"第 {} 轮：交易员 {} 观察到价格变动，决定放弃交易"</w:t>
            </w:r>
            <w:r>
              <w:rPr>
                <w:rFonts w:ascii="Consolas" w:hAnsi="Consolas" w:eastAsia="Consolas" w:cs="Consolas"/>
                <w:color w:val="383A42"/>
                <w:kern w:val="0"/>
                <w:szCs w:val="21"/>
                <w:shd w:val="clear" w:color="auto" w:fill="FAFAFA"/>
                <w:lang w:bidi="ar"/>
              </w:rPr>
              <w:t>, roundNumber, trader.getId());</w:t>
            </w:r>
          </w:p>
          <w:p w14:paraId="2F42998F">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p>
          <w:p w14:paraId="2909E063">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7AF1FCD8">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saveRoundSnapshot(config, roundNumber, racingOrder);</w:t>
            </w:r>
          </w:p>
          <w:p w14:paraId="307DE43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 </w:t>
            </w:r>
            <w:r>
              <w:rPr>
                <w:rFonts w:ascii="Consolas" w:hAnsi="Consolas" w:eastAsia="Consolas" w:cs="Consolas"/>
                <w:color w:val="A626A4"/>
                <w:kern w:val="0"/>
                <w:szCs w:val="21"/>
                <w:shd w:val="clear" w:color="auto" w:fill="FAFAFA"/>
                <w:lang w:bidi="ar"/>
              </w:rPr>
              <w:t>catch</w:t>
            </w:r>
            <w:r>
              <w:rPr>
                <w:rFonts w:ascii="Consolas" w:hAnsi="Consolas" w:eastAsia="Consolas" w:cs="Consolas"/>
                <w:color w:val="383A42"/>
                <w:kern w:val="0"/>
                <w:szCs w:val="21"/>
                <w:shd w:val="clear" w:color="auto" w:fill="FAFAFA"/>
                <w:lang w:bidi="ar"/>
              </w:rPr>
              <w:t> (InterruptedException e) {</w:t>
            </w:r>
          </w:p>
          <w:p w14:paraId="68A9655A">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Thread.currentThread().interrupt();</w:t>
            </w:r>
          </w:p>
          <w:p w14:paraId="45A2173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7660A969">
            <w:pPr>
              <w:widowControl/>
              <w:shd w:val="clear" w:color="auto" w:fill="F8F8F8"/>
              <w:jc w:val="left"/>
              <w:rPr>
                <w:rFonts w:ascii="Consolas" w:hAnsi="Consolas" w:eastAsia="Consolas" w:cs="Consolas"/>
                <w:color w:val="333333"/>
                <w:szCs w:val="21"/>
              </w:rPr>
            </w:pPr>
            <w:r>
              <w:rPr>
                <w:rFonts w:ascii="Consolas" w:hAnsi="Consolas" w:eastAsia="Consolas" w:cs="Consolas"/>
                <w:color w:val="383A42"/>
                <w:kern w:val="0"/>
                <w:szCs w:val="21"/>
                <w:shd w:val="clear" w:color="auto" w:fill="F8F8F8"/>
                <w:lang w:bidi="ar"/>
              </w:rPr>
              <w:t>}</w:t>
            </w:r>
          </w:p>
        </w:tc>
      </w:tr>
    </w:tbl>
    <w:p w14:paraId="1B72E3CE">
      <w:pPr>
        <w:spacing w:line="400" w:lineRule="exact"/>
        <w:ind w:firstLine="420"/>
        <w:rPr>
          <w:sz w:val="24"/>
        </w:rPr>
      </w:pPr>
      <w:r>
        <w:rPr>
          <w:rFonts w:hint="eastAsia"/>
          <w:sz w:val="24"/>
        </w:rPr>
        <w:t>在任务的一开始，程序会根据用户的配置构建对应的AITrader；</w:t>
      </w:r>
    </w:p>
    <w:p w14:paraId="219A287C">
      <w:pPr>
        <w:spacing w:line="400" w:lineRule="exact"/>
        <w:ind w:firstLine="420"/>
        <w:rPr>
          <w:sz w:val="24"/>
        </w:rPr>
      </w:pPr>
      <w:r>
        <w:rPr>
          <w:rFonts w:hint="eastAsia"/>
          <w:sz w:val="24"/>
        </w:rPr>
        <w:t>第二步是创建线程安全队列，该列表的add操作会被加上synchronized关键字修饰，同步锁机制保证了其多线程环境下的有序插入，该列表的顺序表示trader执行交易的顺序；</w:t>
      </w:r>
    </w:p>
    <w:p w14:paraId="320FDDF0">
      <w:pPr>
        <w:spacing w:line="400" w:lineRule="exact"/>
        <w:ind w:firstLine="420"/>
        <w:rPr>
          <w:sz w:val="24"/>
        </w:rPr>
      </w:pPr>
      <w:r>
        <w:rPr>
          <w:rFonts w:hint="eastAsia"/>
          <w:sz w:val="24"/>
        </w:rPr>
        <w:t>第三步，所有AI会同时启动第一轮预决策，这轮决策的速度决定了他们在本轮交易的顺序，这也符合真实场景下，反应更敏捷的交易员能够更快做出判断、执行交易；</w:t>
      </w:r>
    </w:p>
    <w:p w14:paraId="25C1FF34">
      <w:pPr>
        <w:spacing w:line="400" w:lineRule="exact"/>
        <w:ind w:firstLine="420"/>
        <w:rPr>
          <w:sz w:val="24"/>
        </w:rPr>
      </w:pPr>
      <w:r>
        <w:rPr>
          <w:rFonts w:hint="eastAsia"/>
          <w:sz w:val="24"/>
        </w:rPr>
        <w:t>第四则是AI参考预决策与现实情况（同轮次前面的交易会影响Token的价格），执行二次决策，在差异不大时调用buy/sell接口执行交易任务；</w:t>
      </w:r>
    </w:p>
    <w:p w14:paraId="1E683E84">
      <w:pPr>
        <w:spacing w:line="400" w:lineRule="exact"/>
        <w:ind w:firstLine="420"/>
        <w:rPr>
          <w:sz w:val="24"/>
        </w:rPr>
      </w:pPr>
      <w:r>
        <w:rPr>
          <w:rFonts w:hint="eastAsia"/>
          <w:sz w:val="24"/>
        </w:rPr>
        <w:t>最后，保存交易日志，并将日志写入其他Agent的ChatMemory中，使其具备上下文感知能力，重启循环，直到达到用户配置的轮数结束。</w:t>
      </w:r>
    </w:p>
    <w:p w14:paraId="20331284">
      <w:pPr>
        <w:spacing w:line="400" w:lineRule="exact"/>
        <w:ind w:firstLine="420"/>
        <w:rPr>
          <w:sz w:val="24"/>
        </w:rPr>
      </w:pPr>
      <w:r>
        <w:rPr>
          <w:rFonts w:hint="eastAsia"/>
          <w:sz w:val="24"/>
        </w:rPr>
        <w:t>图5.</w:t>
      </w:r>
      <w:r>
        <w:rPr>
          <w:rFonts w:hint="eastAsia"/>
          <w:sz w:val="24"/>
          <w:lang w:val="en-US" w:eastAsia="zh-CN"/>
        </w:rPr>
        <w:t>1</w:t>
      </w:r>
      <w:r>
        <w:rPr>
          <w:rFonts w:hint="eastAsia"/>
          <w:sz w:val="24"/>
        </w:rPr>
        <w:t>是上述三个线程与区块链模块、大语言模型和主线程交互的时序图</w:t>
      </w:r>
    </w:p>
    <w:p w14:paraId="625A0D25">
      <w:pPr>
        <w:spacing w:line="400" w:lineRule="exact"/>
        <w:ind w:firstLine="420"/>
        <w:rPr>
          <w:sz w:val="24"/>
        </w:rPr>
      </w:pPr>
    </w:p>
    <w:p w14:paraId="33B73150">
      <w:pPr>
        <w:jc w:val="center"/>
        <w:rPr>
          <w:sz w:val="24"/>
        </w:rPr>
      </w:pPr>
      <w:r>
        <w:rPr>
          <w:rFonts w:hint="eastAsia"/>
          <w:sz w:val="24"/>
        </w:rPr>
        <w:drawing>
          <wp:inline distT="0" distB="0" distL="114300" distR="114300">
            <wp:extent cx="5198745" cy="4046855"/>
            <wp:effectExtent l="0" t="0" r="1905" b="10795"/>
            <wp:docPr id="122" name="图片 122" descr="斗兽场单轮执行时序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斗兽场单轮执行时序图.drawio (1)"/>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5198745" cy="4046855"/>
                    </a:xfrm>
                    <a:prstGeom prst="rect">
                      <a:avLst/>
                    </a:prstGeom>
                  </pic:spPr>
                </pic:pic>
              </a:graphicData>
            </a:graphic>
          </wp:inline>
        </w:drawing>
      </w:r>
    </w:p>
    <w:p w14:paraId="15EBA0FB">
      <w:pPr>
        <w:spacing w:line="400" w:lineRule="exact"/>
        <w:jc w:val="center"/>
        <w:rPr>
          <w:rFonts w:hint="eastAsia" w:ascii="宋体" w:hAnsi="宋体" w:cs="宋体"/>
          <w:szCs w:val="21"/>
          <w:lang w:bidi="ar"/>
        </w:rPr>
      </w:pPr>
      <w:r>
        <w:rPr>
          <w:rFonts w:hint="eastAsia" w:ascii="宋体" w:hAnsi="宋体" w:cs="宋体"/>
          <w:szCs w:val="21"/>
          <w:lang w:bidi="ar"/>
        </w:rPr>
        <w:t>图5.</w:t>
      </w:r>
      <w:r>
        <w:rPr>
          <w:rFonts w:hint="eastAsia" w:ascii="宋体" w:hAnsi="宋体" w:cs="宋体"/>
          <w:szCs w:val="21"/>
          <w:lang w:val="en-US" w:eastAsia="zh-CN" w:bidi="ar"/>
        </w:rPr>
        <w:t>1</w:t>
      </w:r>
      <w:r>
        <w:rPr>
          <w:rFonts w:hint="eastAsia"/>
          <w:szCs w:val="21"/>
          <w:lang w:bidi="ar"/>
        </w:rPr>
        <w:t xml:space="preserve"> 斗兽场交易时序</w:t>
      </w:r>
      <w:r>
        <w:rPr>
          <w:rFonts w:hint="eastAsia" w:ascii="宋体" w:hAnsi="宋体" w:cs="宋体"/>
          <w:szCs w:val="21"/>
          <w:lang w:bidi="ar"/>
        </w:rPr>
        <w:t>图</w:t>
      </w:r>
    </w:p>
    <w:p w14:paraId="0B8B8BA3">
      <w:pPr>
        <w:spacing w:line="400" w:lineRule="exact"/>
        <w:rPr>
          <w:sz w:val="24"/>
        </w:rPr>
      </w:pPr>
    </w:p>
    <w:p w14:paraId="0378A683">
      <w:pPr>
        <w:spacing w:line="400" w:lineRule="exact"/>
        <w:outlineLvl w:val="2"/>
        <w:rPr>
          <w:sz w:val="24"/>
        </w:rPr>
      </w:pPr>
      <w:bookmarkStart w:id="55" w:name="_Toc4663"/>
      <w:r>
        <w:rPr>
          <w:rFonts w:hint="eastAsia" w:ascii="黑体" w:hAnsi="黑体" w:eastAsia="黑体" w:cs="黑体"/>
          <w:sz w:val="28"/>
          <w:szCs w:val="28"/>
        </w:rPr>
        <w:t>5.4.3 代币兑换与价格更新</w:t>
      </w:r>
      <w:bookmarkEnd w:id="55"/>
    </w:p>
    <w:p w14:paraId="4698AF34">
      <w:pPr>
        <w:spacing w:line="400" w:lineRule="exact"/>
        <w:ind w:firstLine="480" w:firstLineChars="200"/>
        <w:rPr>
          <w:sz w:val="24"/>
        </w:rPr>
      </w:pPr>
      <w:r>
        <w:rPr>
          <w:rFonts w:hint="eastAsia"/>
          <w:sz w:val="24"/>
        </w:rPr>
        <w:t>AI执行最终决策的方法是executeTraderTurn，具体有以下几步：</w:t>
      </w:r>
    </w:p>
    <w:p w14:paraId="6A863FE5">
      <w:pPr>
        <w:spacing w:line="400" w:lineRule="exact"/>
        <w:ind w:firstLine="480" w:firstLineChars="200"/>
        <w:rPr>
          <w:sz w:val="24"/>
        </w:rPr>
      </w:pPr>
      <w:r>
        <w:rPr>
          <w:rFonts w:hint="eastAsia"/>
          <w:sz w:val="24"/>
        </w:rPr>
        <w:t>调用AI决策模块，传入预决策结果和当前市场数据（各代币最新价格、AI持仓），模型自动调用buy/sell工具接口。在本场景buy/sell的工具中，若模型选择用T1兑换T2，则传入fromToken、toToken、amountIn等参数，根据当前价格公式（5.4）计算出能够兑换的toToken的量amountOut。</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6"/>
        <w:gridCol w:w="6987"/>
        <w:gridCol w:w="996"/>
      </w:tblGrid>
      <w:tr w14:paraId="47AFB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tcPr>
          <w:p w14:paraId="3B4E2482">
            <w:pPr>
              <w:spacing w:line="400" w:lineRule="exact"/>
              <w:rPr>
                <w:sz w:val="24"/>
              </w:rPr>
            </w:pPr>
          </w:p>
        </w:tc>
        <w:tc>
          <w:tcPr>
            <w:tcW w:w="7086" w:type="dxa"/>
            <w:tcBorders>
              <w:tl2br w:val="nil"/>
              <w:tr2bl w:val="nil"/>
            </w:tcBorders>
          </w:tcPr>
          <w:p w14:paraId="3FDB73C8">
            <w:pPr>
              <w:jc w:val="center"/>
              <w:rPr>
                <w:sz w:val="24"/>
              </w:rPr>
            </w:pPr>
            <w:r>
              <w:rPr>
                <w:rFonts w:hint="eastAsia"/>
                <w:sz w:val="24"/>
              </w:rPr>
              <w:drawing>
                <wp:inline distT="0" distB="0" distL="114300" distR="114300">
                  <wp:extent cx="3904615" cy="519430"/>
                  <wp:effectExtent l="0" t="0" r="0" b="14605"/>
                  <wp:docPr id="147" name="图片 147" descr="QianJianTec177745565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QianJianTec1777455650221"/>
                          <pic:cNvPicPr>
                            <a:picLocks noChangeAspect="1"/>
                          </pic:cNvPicPr>
                        </pic:nvPicPr>
                        <pic:blipFill>
                          <a:blip r:embed="rId49"/>
                          <a:stretch>
                            <a:fillRect/>
                          </a:stretch>
                        </pic:blipFill>
                        <pic:spPr>
                          <a:xfrm>
                            <a:off x="0" y="0"/>
                            <a:ext cx="3904615" cy="519430"/>
                          </a:xfrm>
                          <a:prstGeom prst="rect">
                            <a:avLst/>
                          </a:prstGeom>
                        </pic:spPr>
                      </pic:pic>
                    </a:graphicData>
                  </a:graphic>
                </wp:inline>
              </w:drawing>
            </w:r>
          </w:p>
        </w:tc>
        <w:tc>
          <w:tcPr>
            <w:tcW w:w="816" w:type="dxa"/>
            <w:tcBorders>
              <w:tl2br w:val="nil"/>
              <w:tr2bl w:val="nil"/>
            </w:tcBorders>
            <w:vAlign w:val="center"/>
          </w:tcPr>
          <w:p w14:paraId="60F5905A">
            <w:pPr>
              <w:spacing w:line="400" w:lineRule="exact"/>
              <w:rPr>
                <w:sz w:val="24"/>
              </w:rPr>
            </w:pPr>
            <w:r>
              <w:rPr>
                <w:rFonts w:hint="eastAsia"/>
                <w:sz w:val="24"/>
              </w:rPr>
              <w:t>（5.4）</w:t>
            </w:r>
          </w:p>
        </w:tc>
      </w:tr>
    </w:tbl>
    <w:p w14:paraId="3C2F5DEE">
      <w:pPr>
        <w:spacing w:line="400" w:lineRule="exact"/>
        <w:ind w:firstLine="420"/>
        <w:rPr>
          <w:sz w:val="24"/>
        </w:rPr>
      </w:pPr>
      <w:r>
        <w:rPr>
          <w:rFonts w:hint="eastAsia"/>
          <w:sz w:val="24"/>
        </w:rPr>
        <w:t>在链下确定了兑换货币的数量后，则开始执行链上转账：调用fromToken合约的transfer方法，从AI地址划走amountIn至系统托管地址；再调用toToken合约的transfer，从托管地址划转amountOut至AI地址；在链下，系统将记录交易日志和余额快照，并把所有DB读写操作包裹在同一数据库事务中，以保证转账操作的原子性。</w:t>
      </w:r>
    </w:p>
    <w:p w14:paraId="00333A59">
      <w:pPr>
        <w:spacing w:line="400" w:lineRule="exact"/>
        <w:ind w:firstLine="480" w:firstLineChars="200"/>
        <w:rPr>
          <w:sz w:val="24"/>
        </w:rPr>
      </w:pPr>
      <w:r>
        <w:rPr>
          <w:rFonts w:hint="eastAsia"/>
          <w:sz w:val="24"/>
        </w:rPr>
        <w:t>转账成功后，fromToken和toToken的相对数量会发生改变，同时这对Token的价格也会发生改变，本系统选择使用线性价格冲击公式计算两种Token的价格波动，如公式（5.5）。</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8"/>
        <w:gridCol w:w="6935"/>
        <w:gridCol w:w="996"/>
      </w:tblGrid>
      <w:tr w14:paraId="6BA37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tcPr>
          <w:p w14:paraId="4852155D">
            <w:pPr>
              <w:spacing w:line="400" w:lineRule="exact"/>
              <w:rPr>
                <w:sz w:val="24"/>
              </w:rPr>
            </w:pPr>
          </w:p>
        </w:tc>
        <w:tc>
          <w:tcPr>
            <w:tcW w:w="7086" w:type="dxa"/>
            <w:tcBorders>
              <w:tl2br w:val="nil"/>
              <w:tr2bl w:val="nil"/>
            </w:tcBorders>
          </w:tcPr>
          <w:p w14:paraId="100A70FF">
            <w:pPr>
              <w:jc w:val="center"/>
              <w:rPr>
                <w:sz w:val="24"/>
              </w:rPr>
            </w:pPr>
            <w:r>
              <w:rPr>
                <w:rFonts w:hint="eastAsia"/>
                <w:sz w:val="24"/>
              </w:rPr>
              <w:drawing>
                <wp:inline distT="0" distB="0" distL="114300" distR="114300">
                  <wp:extent cx="2406650" cy="439420"/>
                  <wp:effectExtent l="0" t="0" r="12700" b="17780"/>
                  <wp:docPr id="152" name="图片 152" descr="QianJianTec177746791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QianJianTec1777467917001"/>
                          <pic:cNvPicPr>
                            <a:picLocks noChangeAspect="1"/>
                          </pic:cNvPicPr>
                        </pic:nvPicPr>
                        <pic:blipFill>
                          <a:blip r:embed="rId50"/>
                          <a:stretch>
                            <a:fillRect/>
                          </a:stretch>
                        </pic:blipFill>
                        <pic:spPr>
                          <a:xfrm>
                            <a:off x="0" y="0"/>
                            <a:ext cx="2406650" cy="439420"/>
                          </a:xfrm>
                          <a:prstGeom prst="rect">
                            <a:avLst/>
                          </a:prstGeom>
                        </pic:spPr>
                      </pic:pic>
                    </a:graphicData>
                  </a:graphic>
                </wp:inline>
              </w:drawing>
            </w:r>
          </w:p>
        </w:tc>
        <w:tc>
          <w:tcPr>
            <w:tcW w:w="816" w:type="dxa"/>
            <w:tcBorders>
              <w:tl2br w:val="nil"/>
              <w:tr2bl w:val="nil"/>
            </w:tcBorders>
            <w:vAlign w:val="center"/>
          </w:tcPr>
          <w:p w14:paraId="7B9DB130">
            <w:pPr>
              <w:spacing w:line="400" w:lineRule="exact"/>
              <w:rPr>
                <w:sz w:val="24"/>
              </w:rPr>
            </w:pPr>
            <w:r>
              <w:rPr>
                <w:rFonts w:hint="eastAsia"/>
                <w:sz w:val="24"/>
              </w:rPr>
              <w:t>（5.5）</w:t>
            </w:r>
          </w:p>
        </w:tc>
      </w:tr>
    </w:tbl>
    <w:p w14:paraId="78B45D1D">
      <w:pPr>
        <w:spacing w:line="400" w:lineRule="exact"/>
        <w:ind w:firstLine="480" w:firstLineChars="200"/>
        <w:rPr>
          <w:sz w:val="24"/>
        </w:rPr>
      </w:pPr>
      <w:r>
        <w:rPr>
          <w:rFonts w:hint="eastAsia"/>
          <w:sz w:val="24"/>
        </w:rPr>
        <w:t>其中S为该代币总供应量，</w:t>
      </w:r>
      <w:r>
        <w:rPr>
          <w:sz w:val="24"/>
        </w:rPr>
        <w:t>α</w:t>
      </w:r>
      <w:r>
        <w:rPr>
          <w:rFonts w:hint="eastAsia"/>
          <w:sz w:val="24"/>
        </w:rPr>
        <w:t>取配置文件中的arena.price.alpha值（默认0.5）。amountIn为本次兑换付出的代币数量，P则是价格。卖出操作则可以视作净买入量为负值，公式自然同样适用。</w:t>
      </w:r>
    </w:p>
    <w:p w14:paraId="3A652470">
      <w:pPr>
        <w:spacing w:line="400" w:lineRule="exact"/>
        <w:ind w:firstLine="480" w:firstLineChars="200"/>
        <w:rPr>
          <w:sz w:val="24"/>
        </w:rPr>
      </w:pPr>
      <w:r>
        <w:rPr>
          <w:rFonts w:hint="eastAsia"/>
          <w:sz w:val="24"/>
        </w:rPr>
        <w:t>更新token_price_history表，记录fromtoToken的新价格；保存AI的决策日志至ai_decision_log表，包括操作内容与决策理由；并记录链上交易哈希至blockchain_tx表。</w:t>
      </w:r>
    </w:p>
    <w:p w14:paraId="55339CC0">
      <w:pPr>
        <w:spacing w:line="400" w:lineRule="exact"/>
        <w:ind w:firstLine="480" w:firstLineChars="200"/>
        <w:rPr>
          <w:sz w:val="24"/>
        </w:rPr>
      </w:pPr>
      <w:r>
        <w:rPr>
          <w:rFonts w:hint="eastAsia"/>
          <w:sz w:val="24"/>
        </w:rPr>
        <w:t>每轮交易后价格都会变动，这将影响之后同轮AI的判断，笔者在上文设计的二次决策解决了该问题。</w:t>
      </w:r>
    </w:p>
    <w:p w14:paraId="38115734">
      <w:pPr>
        <w:spacing w:line="400" w:lineRule="exact"/>
        <w:outlineLvl w:val="2"/>
        <w:rPr>
          <w:rFonts w:hint="eastAsia" w:ascii="黑体" w:hAnsi="黑体" w:eastAsia="黑体" w:cs="黑体"/>
          <w:sz w:val="28"/>
          <w:szCs w:val="28"/>
        </w:rPr>
      </w:pPr>
      <w:bookmarkStart w:id="56" w:name="_Toc29831"/>
      <w:r>
        <w:rPr>
          <w:rFonts w:hint="eastAsia" w:ascii="黑体" w:hAnsi="黑体" w:eastAsia="黑体" w:cs="黑体"/>
          <w:sz w:val="28"/>
          <w:szCs w:val="28"/>
        </w:rPr>
        <w:t>5.4.4 链上交互与私钥管理</w:t>
      </w:r>
      <w:bookmarkEnd w:id="56"/>
    </w:p>
    <w:p w14:paraId="0C4B3D7C">
      <w:pPr>
        <w:spacing w:line="400" w:lineRule="exact"/>
        <w:ind w:firstLine="480" w:firstLineChars="200"/>
        <w:rPr>
          <w:sz w:val="24"/>
        </w:rPr>
      </w:pPr>
      <w:r>
        <w:rPr>
          <w:rFonts w:hint="eastAsia"/>
          <w:sz w:val="24"/>
        </w:rPr>
        <w:t>本系统的链上交互主要由Web3j负责，手动调用或者在编译时启动web3j-maven-plugin插件，该插件会自动根据Solidity源码生成Web3j的合约封装类。下面展示部分转账操作的代码片段：</w:t>
      </w:r>
    </w:p>
    <w:p w14:paraId="3D827E7C">
      <w:pPr>
        <w:widowControl/>
        <w:shd w:val="clear" w:color="auto" w:fill="FAFAFA"/>
        <w:spacing w:line="400" w:lineRule="exact"/>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TradingToken</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tokenContract</w:t>
      </w:r>
      <w:r>
        <w:rPr>
          <w:rFonts w:ascii="Consolas" w:hAnsi="Consolas" w:eastAsia="Consolas" w:cs="Consolas"/>
          <w:color w:val="383A42"/>
          <w:kern w:val="0"/>
          <w:szCs w:val="21"/>
          <w:shd w:val="clear" w:color="auto" w:fill="FAFAFA"/>
          <w:lang w:bidi="ar"/>
        </w:rPr>
        <w:t> = TradingToken.load(contractAddress, web3j, credentials,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DefaultGasProvider());</w:t>
      </w:r>
    </w:p>
    <w:p w14:paraId="523B3CFA">
      <w:pPr>
        <w:widowControl/>
        <w:shd w:val="clear" w:color="auto" w:fill="F8F8F8"/>
        <w:spacing w:line="400" w:lineRule="exact"/>
        <w:jc w:val="left"/>
        <w:rPr>
          <w:sz w:val="24"/>
        </w:rPr>
      </w:pPr>
      <w:r>
        <w:rPr>
          <w:rFonts w:ascii="Consolas" w:hAnsi="Consolas" w:eastAsia="Consolas" w:cs="Consolas"/>
          <w:color w:val="986801"/>
          <w:kern w:val="0"/>
          <w:szCs w:val="21"/>
          <w:shd w:val="clear" w:color="auto" w:fill="F8F8F8"/>
          <w:lang w:bidi="ar"/>
        </w:rPr>
        <w:t>Receipt</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receipt</w:t>
      </w:r>
      <w:r>
        <w:rPr>
          <w:rFonts w:ascii="Consolas" w:hAnsi="Consolas" w:eastAsia="Consolas" w:cs="Consolas"/>
          <w:color w:val="383A42"/>
          <w:kern w:val="0"/>
          <w:szCs w:val="21"/>
          <w:shd w:val="clear" w:color="auto" w:fill="F8F8F8"/>
          <w:lang w:bidi="ar"/>
        </w:rPr>
        <w:t> = tokenContract.transfer(toAddress, amount).send();</w:t>
      </w:r>
    </w:p>
    <w:p w14:paraId="459F2C2B">
      <w:pPr>
        <w:spacing w:line="400" w:lineRule="exact"/>
        <w:ind w:firstLine="480" w:firstLineChars="200"/>
        <w:rPr>
          <w:sz w:val="24"/>
        </w:rPr>
      </w:pPr>
      <w:r>
        <w:rPr>
          <w:rFonts w:hint="eastAsia"/>
          <w:sz w:val="24"/>
        </w:rPr>
        <w:t>DefaultGasProvider是Web3j提供的默认策略类，主要起到计算gasFee的作用，其在Ganache测试环境下默认将gasFee设为零，且gasLimit设为合约执行所需的最小值。为了简化系统复杂性，本系统暂不研究gasFee对AI决策的影响，所以直接使用该默认类，并没有额外配置。</w:t>
      </w:r>
    </w:p>
    <w:p w14:paraId="066E564D">
      <w:pPr>
        <w:spacing w:line="400" w:lineRule="exact"/>
        <w:ind w:firstLine="480" w:firstLineChars="200"/>
        <w:rPr>
          <w:sz w:val="24"/>
        </w:rPr>
      </w:pPr>
      <w:r>
        <w:rPr>
          <w:rFonts w:hint="eastAsia"/>
          <w:sz w:val="24"/>
        </w:rPr>
        <w:t>笔者在系统初始化时，创建了一个汇款“操作员”——系统托管方，该地址的私钥存放于本地环境变量中，该私钥对应的地址是部署代币合约时的初始持有者，拥有全部数量代币，负责中转AI交易员的Token交易。</w:t>
      </w:r>
    </w:p>
    <w:p w14:paraId="51F171EF">
      <w:pPr>
        <w:pStyle w:val="11"/>
        <w:spacing w:line="400" w:lineRule="exact"/>
        <w:outlineLvl w:val="1"/>
        <w:rPr>
          <w:rFonts w:ascii="黑体" w:eastAsia="黑体"/>
          <w:sz w:val="30"/>
        </w:rPr>
      </w:pPr>
      <w:bookmarkStart w:id="57" w:name="_Toc5152"/>
      <w:r>
        <w:rPr>
          <w:rFonts w:hint="eastAsia" w:ascii="黑体" w:eastAsia="黑体"/>
          <w:sz w:val="30"/>
        </w:rPr>
        <w:t>5.5 前端与后端的交互</w:t>
      </w:r>
      <w:bookmarkEnd w:id="57"/>
      <w:r>
        <w:rPr>
          <w:rFonts w:hint="eastAsia" w:ascii="黑体" w:eastAsia="黑体"/>
          <w:sz w:val="30"/>
        </w:rPr>
        <w:t>实现</w:t>
      </w:r>
    </w:p>
    <w:p w14:paraId="36ACACE0">
      <w:pPr>
        <w:spacing w:line="400" w:lineRule="exact"/>
        <w:outlineLvl w:val="2"/>
        <w:rPr>
          <w:rFonts w:hint="eastAsia" w:ascii="黑体" w:hAnsi="黑体" w:eastAsia="黑体" w:cs="黑体"/>
          <w:sz w:val="28"/>
          <w:szCs w:val="28"/>
        </w:rPr>
      </w:pPr>
      <w:bookmarkStart w:id="58" w:name="_Toc15149"/>
      <w:r>
        <w:rPr>
          <w:rFonts w:hint="eastAsia" w:ascii="黑体" w:hAnsi="黑体" w:eastAsia="黑体" w:cs="黑体"/>
          <w:sz w:val="28"/>
          <w:szCs w:val="28"/>
        </w:rPr>
        <w:t>5.5.1 实时数据推送</w:t>
      </w:r>
      <w:bookmarkEnd w:id="58"/>
    </w:p>
    <w:p w14:paraId="1970D90E">
      <w:pPr>
        <w:spacing w:line="400" w:lineRule="exact"/>
        <w:ind w:firstLine="480" w:firstLineChars="200"/>
        <w:rPr>
          <w:sz w:val="24"/>
        </w:rPr>
      </w:pPr>
      <w:r>
        <w:rPr>
          <w:rFonts w:hint="eastAsia"/>
          <w:sz w:val="24"/>
        </w:rPr>
        <w:t>本系统涉及许多实时数据推送的场景，比如AI决策日志和资产曲线的更新。笔者在技术选型时，调研了工程上常用的Server推送协议：WebSocket和SSE，考虑到WebSocket维持全双工通道会消耗更多的服务器资源，而且单向推送也完全满足本系统需求，所以笔者选用了更加轻量成本更加低廉的SSE。前端使用EventSource对象连接后端的/api/stream接口组。后端在每一轮决策完成时，都会向SSE通道写入最新快照数据，前端通过监听到的message事件，增量更新ECharts图表和对话框，展示AI的资产曲线和决策思路。</w:t>
      </w:r>
    </w:p>
    <w:p w14:paraId="1943B319">
      <w:pPr>
        <w:spacing w:line="400" w:lineRule="exact"/>
        <w:ind w:firstLine="480" w:firstLineChars="200"/>
        <w:rPr>
          <w:sz w:val="24"/>
        </w:rPr>
      </w:pPr>
      <w:r>
        <w:rPr>
          <w:rFonts w:hint="eastAsia"/>
          <w:sz w:val="24"/>
        </w:rPr>
        <w:t>例如，在斗兽场运行期间，前后端会维护一条SSE长连接接收AI资产的更新；股票交易页的AI单次决策结果同样通过SSE的HTTP连接返回，避免前端轮询造成不必要的资源浪费。</w:t>
      </w:r>
    </w:p>
    <w:p w14:paraId="553A84B9">
      <w:pPr>
        <w:spacing w:line="400" w:lineRule="exact"/>
        <w:outlineLvl w:val="2"/>
        <w:rPr>
          <w:rFonts w:hint="eastAsia" w:ascii="黑体" w:hAnsi="黑体" w:eastAsia="黑体" w:cs="黑体"/>
          <w:sz w:val="28"/>
          <w:szCs w:val="28"/>
        </w:rPr>
      </w:pPr>
      <w:bookmarkStart w:id="59" w:name="_Toc26667"/>
      <w:r>
        <w:rPr>
          <w:rFonts w:hint="eastAsia" w:ascii="黑体" w:hAnsi="黑体" w:eastAsia="黑体" w:cs="黑体"/>
          <w:sz w:val="28"/>
          <w:szCs w:val="28"/>
        </w:rPr>
        <w:t>5.5.2 页面组件结构</w:t>
      </w:r>
      <w:bookmarkEnd w:id="59"/>
    </w:p>
    <w:p w14:paraId="4102815A">
      <w:pPr>
        <w:spacing w:line="400" w:lineRule="exact"/>
        <w:ind w:firstLine="480" w:firstLineChars="200"/>
        <w:rPr>
          <w:sz w:val="24"/>
        </w:rPr>
      </w:pPr>
      <w:r>
        <w:rPr>
          <w:rFonts w:hint="eastAsia"/>
          <w:sz w:val="24"/>
        </w:rPr>
        <w:t>前端两个标签页是独立的Vue单文件组件，分别为StockTrading.vue和Arena.vue。笔者考虑到本地计算资源的有限，所以切换标签页时，Vue Router会自动销毁离开页面的组件实例，也就是自动停止该页面的SSE连接和未完成的HTTP请求。这两个页面各自维护数据状态，具备隔离性。</w:t>
      </w:r>
    </w:p>
    <w:p w14:paraId="182932DD">
      <w:pPr>
        <w:spacing w:line="400" w:lineRule="exact"/>
        <w:outlineLvl w:val="2"/>
        <w:rPr>
          <w:rFonts w:hint="eastAsia" w:ascii="黑体" w:hAnsi="黑体" w:eastAsia="黑体" w:cs="黑体"/>
          <w:sz w:val="28"/>
          <w:szCs w:val="28"/>
        </w:rPr>
      </w:pPr>
      <w:bookmarkStart w:id="60" w:name="_Toc8116"/>
      <w:r>
        <w:rPr>
          <w:rFonts w:hint="eastAsia" w:ascii="黑体" w:hAnsi="黑体" w:eastAsia="黑体" w:cs="黑体"/>
          <w:sz w:val="28"/>
          <w:szCs w:val="28"/>
        </w:rPr>
        <w:t>5.5.3 配置页面的实现</w:t>
      </w:r>
      <w:bookmarkEnd w:id="60"/>
    </w:p>
    <w:p w14:paraId="7F91019A">
      <w:pPr>
        <w:spacing w:line="400" w:lineRule="exact"/>
        <w:ind w:firstLine="480" w:firstLineChars="200"/>
        <w:rPr>
          <w:sz w:val="24"/>
        </w:rPr>
      </w:pPr>
      <w:r>
        <w:rPr>
          <w:rFonts w:hint="eastAsia"/>
          <w:sz w:val="24"/>
        </w:rPr>
        <w:t>斗兽场的配置页面也是一个独立的Vue组件，包含三个AI角色的下拉选择器、轮数输入框、初始代币分配输入框。提交时将配置数据通过POST接口推送至后端，后端创建arena_config记录并返回配置ID。随后页面自动跳转到斗兽场监控页Arena.vue，通过配置ID订阅后端返回的SSE流，在该步骤之后，后端就通过该流传输数据，前端使用Echart进行展示。</w:t>
      </w:r>
    </w:p>
    <w:p w14:paraId="78F76F6C">
      <w:pPr>
        <w:pStyle w:val="11"/>
        <w:spacing w:line="400" w:lineRule="exact"/>
        <w:outlineLvl w:val="1"/>
        <w:rPr>
          <w:rFonts w:ascii="黑体" w:eastAsia="黑体"/>
          <w:sz w:val="30"/>
        </w:rPr>
      </w:pPr>
      <w:bookmarkStart w:id="61" w:name="_Toc3777"/>
      <w:r>
        <w:rPr>
          <w:rFonts w:hint="eastAsia" w:ascii="黑体" w:eastAsia="黑体"/>
          <w:sz w:val="30"/>
        </w:rPr>
        <w:t>5.6 异常处理与日志</w:t>
      </w:r>
      <w:bookmarkEnd w:id="61"/>
    </w:p>
    <w:p w14:paraId="477A7373">
      <w:pPr>
        <w:spacing w:line="400" w:lineRule="exact"/>
        <w:ind w:firstLine="480" w:firstLineChars="200"/>
        <w:rPr>
          <w:sz w:val="24"/>
        </w:rPr>
      </w:pPr>
      <w:r>
        <w:rPr>
          <w:rFonts w:hint="eastAsia"/>
          <w:sz w:val="24"/>
        </w:rPr>
        <w:t>本系统使用SpringBoot提供的@ControllerAdvice等一系列注解，该类注解就像是一张拦截网，捕获Controller中的数据进行统一的处理。笔者使用@ExceptionHandler(Exception.class)注解，捕获并处理IllegalArgumentException、API调用超时等异常，以统一的JSON返回错误信息给前端。</w:t>
      </w:r>
    </w:p>
    <w:p w14:paraId="3FABEE4D">
      <w:pPr>
        <w:spacing w:line="400" w:lineRule="exact"/>
        <w:ind w:firstLine="480" w:firstLineChars="200"/>
        <w:rPr>
          <w:sz w:val="24"/>
        </w:rPr>
        <w:sectPr>
          <w:headerReference r:id="rId20" w:type="default"/>
          <w:pgSz w:w="11906" w:h="16838"/>
          <w:pgMar w:top="1701" w:right="1418" w:bottom="1418" w:left="1418" w:header="907" w:footer="851" w:gutter="567"/>
          <w:cols w:space="720" w:num="1"/>
          <w:docGrid w:type="lines" w:linePitch="312" w:charSpace="0"/>
        </w:sectPr>
      </w:pPr>
      <w:r>
        <w:rPr>
          <w:rFonts w:hint="eastAsia"/>
          <w:sz w:val="24"/>
        </w:rPr>
        <w:t>关键业务操作均通过SLF4J记录日志，默认为info级别；AI决策时，提示词内容与模型调用工具返回以DEBUG级输出，便于调试。同样是考虑到了资源的有限，日志文件每日滚动，保留周期为三天。</w:t>
      </w:r>
    </w:p>
    <w:p w14:paraId="41E1CC8D">
      <w:pPr>
        <w:spacing w:line="400" w:lineRule="exact"/>
        <w:jc w:val="left"/>
        <w:outlineLvl w:val="0"/>
        <w:rPr>
          <w:rFonts w:ascii="黑体" w:eastAsia="黑体"/>
          <w:sz w:val="24"/>
        </w:rPr>
      </w:pPr>
    </w:p>
    <w:p w14:paraId="0E710921">
      <w:pPr>
        <w:spacing w:line="400" w:lineRule="exact"/>
        <w:jc w:val="center"/>
        <w:outlineLvl w:val="0"/>
        <w:rPr>
          <w:rFonts w:ascii="黑体" w:eastAsia="黑体"/>
          <w:sz w:val="32"/>
        </w:rPr>
      </w:pPr>
      <w:bookmarkStart w:id="62" w:name="_Toc19729"/>
      <w:r>
        <w:rPr>
          <w:rFonts w:hint="eastAsia" w:ascii="黑体" w:eastAsia="黑体"/>
          <w:sz w:val="32"/>
        </w:rPr>
        <w:t>6 模拟交易所系统测试与分析</w:t>
      </w:r>
      <w:bookmarkEnd w:id="62"/>
    </w:p>
    <w:p w14:paraId="2177EA8B">
      <w:pPr>
        <w:spacing w:line="400" w:lineRule="exact"/>
        <w:jc w:val="left"/>
        <w:outlineLvl w:val="0"/>
        <w:rPr>
          <w:rFonts w:ascii="黑体" w:eastAsia="黑体"/>
          <w:sz w:val="24"/>
        </w:rPr>
      </w:pPr>
    </w:p>
    <w:p w14:paraId="106D88C7">
      <w:pPr>
        <w:spacing w:after="120" w:line="400" w:lineRule="exact"/>
        <w:ind w:firstLine="480" w:firstLineChars="200"/>
        <w:rPr>
          <w:rFonts w:ascii="黑体" w:eastAsia="黑体"/>
          <w:sz w:val="32"/>
        </w:rPr>
      </w:pPr>
      <w:r>
        <w:rPr>
          <w:sz w:val="24"/>
        </w:rPr>
        <w:t>本章在前文设计与实现的基础上，对系统进行功能验证与运行效果分析。测试分为两个场景：股票辅助交易的AI决策效果，以及区块链斗兽场的多Agent博弈过程。通过实际运行截图与结果数据，展示系统各模块的协同工作情况。</w:t>
      </w:r>
    </w:p>
    <w:p w14:paraId="5524E932">
      <w:pPr>
        <w:pStyle w:val="11"/>
        <w:spacing w:line="400" w:lineRule="exact"/>
        <w:outlineLvl w:val="1"/>
        <w:rPr>
          <w:rFonts w:ascii="黑体" w:eastAsia="黑体"/>
          <w:sz w:val="32"/>
        </w:rPr>
      </w:pPr>
      <w:bookmarkStart w:id="63" w:name="_Toc19050"/>
      <w:r>
        <w:rPr>
          <w:rFonts w:hint="eastAsia" w:ascii="黑体" w:eastAsia="黑体"/>
          <w:sz w:val="30"/>
        </w:rPr>
        <w:t>6.1 测试环境</w:t>
      </w:r>
      <w:bookmarkEnd w:id="63"/>
    </w:p>
    <w:p w14:paraId="04131822">
      <w:pPr>
        <w:spacing w:after="120" w:line="400" w:lineRule="exact"/>
        <w:ind w:firstLine="480" w:firstLineChars="200"/>
        <w:rPr>
          <w:sz w:val="24"/>
        </w:rPr>
      </w:pPr>
      <w:r>
        <w:rPr>
          <w:sz w:val="24"/>
        </w:rPr>
        <w:t>系统部署于本地开发环境，具体配置如表6</w:t>
      </w:r>
      <w:r>
        <w:rPr>
          <w:rFonts w:hint="eastAsia"/>
          <w:sz w:val="24"/>
        </w:rPr>
        <w:t>.</w:t>
      </w:r>
      <w:r>
        <w:rPr>
          <w:sz w:val="24"/>
        </w:rPr>
        <w:t>1所示。</w:t>
      </w:r>
    </w:p>
    <w:p w14:paraId="6B917238">
      <w:pPr>
        <w:spacing w:line="400" w:lineRule="exact"/>
        <w:jc w:val="center"/>
        <w:rPr>
          <w:sz w:val="24"/>
        </w:rPr>
      </w:pPr>
      <w:r>
        <w:rPr>
          <w:rFonts w:hint="eastAsia" w:ascii="宋体" w:hAnsi="宋体" w:cs="宋体"/>
          <w:szCs w:val="21"/>
          <w:lang w:bidi="ar"/>
        </w:rPr>
        <w:t>表6.1 开发环境表</w:t>
      </w:r>
    </w:p>
    <w:tbl>
      <w:tblPr>
        <w:tblStyle w:val="23"/>
        <w:tblW w:w="87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199"/>
        <w:gridCol w:w="6517"/>
      </w:tblGrid>
      <w:tr w14:paraId="2FB3AE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single" w:color="auto" w:sz="12" w:space="0"/>
              <w:left w:val="nil"/>
              <w:bottom w:val="nil"/>
              <w:right w:val="nil"/>
            </w:tcBorders>
            <w:tcMar>
              <w:top w:w="-1" w:type="dxa"/>
              <w:left w:w="108" w:type="dxa"/>
              <w:bottom w:w="-1" w:type="dxa"/>
              <w:right w:w="108" w:type="dxa"/>
            </w:tcMar>
            <w:vAlign w:val="center"/>
          </w:tcPr>
          <w:p w14:paraId="45D7AC14">
            <w:pPr>
              <w:snapToGrid w:val="0"/>
              <w:spacing w:after="120" w:line="400" w:lineRule="exact"/>
              <w:ind w:firstLine="482" w:firstLineChars="200"/>
              <w:rPr>
                <w:rFonts w:eastAsia="黑体"/>
                <w:b/>
                <w:bCs/>
                <w:sz w:val="36"/>
              </w:rPr>
            </w:pPr>
            <w:r>
              <w:rPr>
                <w:b/>
                <w:bCs/>
                <w:sz w:val="24"/>
              </w:rPr>
              <w:t>项目</w:t>
            </w:r>
          </w:p>
        </w:tc>
        <w:tc>
          <w:tcPr>
            <w:tcW w:w="6517" w:type="dxa"/>
            <w:tcBorders>
              <w:top w:val="single" w:color="auto" w:sz="12" w:space="0"/>
              <w:left w:val="nil"/>
              <w:bottom w:val="nil"/>
              <w:right w:val="nil"/>
            </w:tcBorders>
            <w:tcMar>
              <w:top w:w="-1" w:type="dxa"/>
              <w:left w:w="108" w:type="dxa"/>
              <w:bottom w:w="-1" w:type="dxa"/>
              <w:right w:w="108" w:type="dxa"/>
            </w:tcMar>
            <w:vAlign w:val="center"/>
          </w:tcPr>
          <w:p w14:paraId="7DF15E18">
            <w:pPr>
              <w:snapToGrid w:val="0"/>
              <w:spacing w:after="120" w:line="400" w:lineRule="exact"/>
              <w:ind w:firstLine="482" w:firstLineChars="200"/>
              <w:rPr>
                <w:b/>
                <w:bCs/>
                <w:sz w:val="24"/>
              </w:rPr>
            </w:pPr>
            <w:r>
              <w:rPr>
                <w:b/>
                <w:bCs/>
                <w:sz w:val="24"/>
              </w:rPr>
              <w:t>配置</w:t>
            </w:r>
          </w:p>
        </w:tc>
      </w:tr>
      <w:tr w14:paraId="3C6A6E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single" w:color="auto" w:sz="4" w:space="0"/>
              <w:left w:val="nil"/>
              <w:bottom w:val="nil"/>
              <w:right w:val="nil"/>
            </w:tcBorders>
            <w:tcMar>
              <w:top w:w="-1" w:type="dxa"/>
              <w:left w:w="108" w:type="dxa"/>
              <w:bottom w:w="-1" w:type="dxa"/>
              <w:right w:w="108" w:type="dxa"/>
            </w:tcMar>
            <w:vAlign w:val="center"/>
          </w:tcPr>
          <w:p w14:paraId="1B4BF11B">
            <w:pPr>
              <w:snapToGrid w:val="0"/>
              <w:spacing w:after="120" w:line="400" w:lineRule="exact"/>
              <w:ind w:firstLine="480" w:firstLineChars="200"/>
              <w:rPr>
                <w:sz w:val="24"/>
              </w:rPr>
            </w:pPr>
            <w:r>
              <w:rPr>
                <w:sz w:val="24"/>
              </w:rPr>
              <w:t>操作系统</w:t>
            </w:r>
          </w:p>
        </w:tc>
        <w:tc>
          <w:tcPr>
            <w:tcW w:w="6517" w:type="dxa"/>
            <w:tcBorders>
              <w:top w:val="single" w:color="auto" w:sz="4" w:space="0"/>
              <w:left w:val="nil"/>
              <w:bottom w:val="nil"/>
              <w:right w:val="nil"/>
            </w:tcBorders>
            <w:tcMar>
              <w:top w:w="-1" w:type="dxa"/>
              <w:left w:w="108" w:type="dxa"/>
              <w:bottom w:w="-1" w:type="dxa"/>
              <w:right w:w="108" w:type="dxa"/>
            </w:tcMar>
            <w:vAlign w:val="center"/>
          </w:tcPr>
          <w:p w14:paraId="4B6D5533">
            <w:pPr>
              <w:snapToGrid w:val="0"/>
              <w:spacing w:after="120" w:line="400" w:lineRule="exact"/>
              <w:ind w:firstLine="480" w:firstLineChars="200"/>
              <w:rPr>
                <w:sz w:val="24"/>
              </w:rPr>
            </w:pPr>
            <w:r>
              <w:rPr>
                <w:sz w:val="24"/>
              </w:rPr>
              <w:t>Windows 11</w:t>
            </w:r>
          </w:p>
        </w:tc>
      </w:tr>
      <w:tr w14:paraId="48A512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5A29902E">
            <w:pPr>
              <w:snapToGrid w:val="0"/>
              <w:spacing w:after="120" w:line="400" w:lineRule="exact"/>
              <w:ind w:firstLine="480" w:firstLineChars="200"/>
              <w:rPr>
                <w:sz w:val="24"/>
              </w:rPr>
            </w:pPr>
            <w:r>
              <w:rPr>
                <w:sz w:val="24"/>
              </w:rPr>
              <w:t>CPU</w:t>
            </w:r>
          </w:p>
        </w:tc>
        <w:tc>
          <w:tcPr>
            <w:tcW w:w="6517" w:type="dxa"/>
            <w:tcBorders>
              <w:top w:val="nil"/>
              <w:left w:val="nil"/>
              <w:bottom w:val="nil"/>
              <w:right w:val="nil"/>
            </w:tcBorders>
            <w:tcMar>
              <w:top w:w="-1" w:type="dxa"/>
              <w:left w:w="108" w:type="dxa"/>
              <w:bottom w:w="-1" w:type="dxa"/>
              <w:right w:w="108" w:type="dxa"/>
            </w:tcMar>
            <w:vAlign w:val="center"/>
          </w:tcPr>
          <w:p w14:paraId="078D0929">
            <w:pPr>
              <w:snapToGrid w:val="0"/>
              <w:spacing w:after="120" w:line="400" w:lineRule="exact"/>
              <w:ind w:firstLine="480" w:firstLineChars="200"/>
              <w:rPr>
                <w:sz w:val="24"/>
              </w:rPr>
            </w:pPr>
            <w:r>
              <w:rPr>
                <w:sz w:val="24"/>
              </w:rPr>
              <w:t>Intel Core i</w:t>
            </w:r>
            <w:r>
              <w:rPr>
                <w:rFonts w:hint="eastAsia"/>
                <w:sz w:val="24"/>
              </w:rPr>
              <w:t>5</w:t>
            </w:r>
            <w:r>
              <w:rPr>
                <w:sz w:val="24"/>
              </w:rPr>
              <w:t>-12</w:t>
            </w:r>
            <w:r>
              <w:rPr>
                <w:rFonts w:hint="eastAsia"/>
                <w:sz w:val="24"/>
              </w:rPr>
              <w:t>4</w:t>
            </w:r>
            <w:r>
              <w:rPr>
                <w:sz w:val="24"/>
              </w:rPr>
              <w:t>00H（1</w:t>
            </w:r>
            <w:r>
              <w:rPr>
                <w:rFonts w:hint="eastAsia"/>
                <w:sz w:val="24"/>
              </w:rPr>
              <w:t>2</w:t>
            </w:r>
            <w:r>
              <w:rPr>
                <w:sz w:val="24"/>
              </w:rPr>
              <w:t>核</w:t>
            </w:r>
            <w:r>
              <w:rPr>
                <w:rFonts w:hint="eastAsia"/>
                <w:sz w:val="24"/>
              </w:rPr>
              <w:t>16</w:t>
            </w:r>
            <w:r>
              <w:rPr>
                <w:sz w:val="24"/>
              </w:rPr>
              <w:t>线程）</w:t>
            </w:r>
          </w:p>
        </w:tc>
      </w:tr>
      <w:tr w14:paraId="7E3B58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7FB84A73">
            <w:pPr>
              <w:snapToGrid w:val="0"/>
              <w:spacing w:after="120" w:line="400" w:lineRule="exact"/>
              <w:ind w:firstLine="480" w:firstLineChars="200"/>
              <w:rPr>
                <w:sz w:val="24"/>
              </w:rPr>
            </w:pPr>
            <w:r>
              <w:rPr>
                <w:sz w:val="24"/>
              </w:rPr>
              <w:t>内存</w:t>
            </w:r>
          </w:p>
        </w:tc>
        <w:tc>
          <w:tcPr>
            <w:tcW w:w="6517" w:type="dxa"/>
            <w:tcBorders>
              <w:top w:val="nil"/>
              <w:left w:val="nil"/>
              <w:bottom w:val="nil"/>
              <w:right w:val="nil"/>
            </w:tcBorders>
            <w:tcMar>
              <w:top w:w="-1" w:type="dxa"/>
              <w:left w:w="108" w:type="dxa"/>
              <w:bottom w:w="-1" w:type="dxa"/>
              <w:right w:w="108" w:type="dxa"/>
            </w:tcMar>
            <w:vAlign w:val="center"/>
          </w:tcPr>
          <w:p w14:paraId="5C0D1DC1">
            <w:pPr>
              <w:snapToGrid w:val="0"/>
              <w:spacing w:after="120" w:line="400" w:lineRule="exact"/>
              <w:ind w:firstLine="480" w:firstLineChars="200"/>
              <w:rPr>
                <w:sz w:val="24"/>
              </w:rPr>
            </w:pPr>
            <w:r>
              <w:rPr>
                <w:sz w:val="24"/>
              </w:rPr>
              <w:t>16 GB</w:t>
            </w:r>
          </w:p>
        </w:tc>
      </w:tr>
      <w:tr w14:paraId="3F1CFF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45B52847">
            <w:pPr>
              <w:snapToGrid w:val="0"/>
              <w:spacing w:after="120" w:line="400" w:lineRule="exact"/>
              <w:ind w:firstLine="480" w:firstLineChars="200"/>
              <w:rPr>
                <w:sz w:val="24"/>
              </w:rPr>
            </w:pPr>
            <w:r>
              <w:rPr>
                <w:sz w:val="24"/>
              </w:rPr>
              <w:t>JDK版本</w:t>
            </w:r>
          </w:p>
        </w:tc>
        <w:tc>
          <w:tcPr>
            <w:tcW w:w="6517" w:type="dxa"/>
            <w:tcBorders>
              <w:top w:val="nil"/>
              <w:left w:val="nil"/>
              <w:bottom w:val="nil"/>
              <w:right w:val="nil"/>
            </w:tcBorders>
            <w:tcMar>
              <w:top w:w="-1" w:type="dxa"/>
              <w:left w:w="108" w:type="dxa"/>
              <w:bottom w:w="-1" w:type="dxa"/>
              <w:right w:w="108" w:type="dxa"/>
            </w:tcMar>
            <w:vAlign w:val="center"/>
          </w:tcPr>
          <w:p w14:paraId="51D6F90B">
            <w:pPr>
              <w:snapToGrid w:val="0"/>
              <w:spacing w:after="120" w:line="400" w:lineRule="exact"/>
              <w:ind w:firstLine="480" w:firstLineChars="200"/>
              <w:rPr>
                <w:sz w:val="24"/>
              </w:rPr>
            </w:pPr>
            <w:r>
              <w:rPr>
                <w:sz w:val="24"/>
              </w:rPr>
              <w:t>17</w:t>
            </w:r>
          </w:p>
        </w:tc>
      </w:tr>
      <w:tr w14:paraId="4FD6BF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56791570">
            <w:pPr>
              <w:snapToGrid w:val="0"/>
              <w:spacing w:after="120" w:line="400" w:lineRule="exact"/>
              <w:ind w:firstLine="480" w:firstLineChars="200"/>
              <w:rPr>
                <w:sz w:val="24"/>
              </w:rPr>
            </w:pPr>
            <w:r>
              <w:rPr>
                <w:sz w:val="24"/>
              </w:rPr>
              <w:t>Node.js版本</w:t>
            </w:r>
          </w:p>
        </w:tc>
        <w:tc>
          <w:tcPr>
            <w:tcW w:w="6517" w:type="dxa"/>
            <w:tcBorders>
              <w:top w:val="nil"/>
              <w:left w:val="nil"/>
              <w:bottom w:val="nil"/>
              <w:right w:val="nil"/>
            </w:tcBorders>
            <w:tcMar>
              <w:top w:w="-1" w:type="dxa"/>
              <w:left w:w="108" w:type="dxa"/>
              <w:bottom w:w="-1" w:type="dxa"/>
              <w:right w:w="108" w:type="dxa"/>
            </w:tcMar>
            <w:vAlign w:val="center"/>
          </w:tcPr>
          <w:p w14:paraId="7E3845B2">
            <w:pPr>
              <w:snapToGrid w:val="0"/>
              <w:spacing w:after="120" w:line="400" w:lineRule="exact"/>
              <w:ind w:firstLine="480" w:firstLineChars="200"/>
              <w:rPr>
                <w:sz w:val="24"/>
              </w:rPr>
            </w:pPr>
            <w:r>
              <w:rPr>
                <w:sz w:val="24"/>
              </w:rPr>
              <w:t>18.16.0</w:t>
            </w:r>
          </w:p>
        </w:tc>
      </w:tr>
      <w:tr w14:paraId="5A4D90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7C8F3BC5">
            <w:pPr>
              <w:snapToGrid w:val="0"/>
              <w:spacing w:after="120" w:line="400" w:lineRule="exact"/>
              <w:ind w:firstLine="480" w:firstLineChars="200"/>
              <w:rPr>
                <w:sz w:val="24"/>
              </w:rPr>
            </w:pPr>
            <w:r>
              <w:rPr>
                <w:sz w:val="24"/>
              </w:rPr>
              <w:t>数据库</w:t>
            </w:r>
          </w:p>
        </w:tc>
        <w:tc>
          <w:tcPr>
            <w:tcW w:w="6517" w:type="dxa"/>
            <w:tcBorders>
              <w:top w:val="nil"/>
              <w:left w:val="nil"/>
              <w:bottom w:val="nil"/>
              <w:right w:val="nil"/>
            </w:tcBorders>
            <w:tcMar>
              <w:top w:w="-1" w:type="dxa"/>
              <w:left w:w="108" w:type="dxa"/>
              <w:bottom w:w="-1" w:type="dxa"/>
              <w:right w:w="108" w:type="dxa"/>
            </w:tcMar>
            <w:vAlign w:val="center"/>
          </w:tcPr>
          <w:p w14:paraId="1DF4FAFD">
            <w:pPr>
              <w:snapToGrid w:val="0"/>
              <w:spacing w:after="120" w:line="400" w:lineRule="exact"/>
              <w:ind w:firstLine="480" w:firstLineChars="200"/>
              <w:rPr>
                <w:sz w:val="24"/>
              </w:rPr>
            </w:pPr>
            <w:r>
              <w:rPr>
                <w:sz w:val="24"/>
              </w:rPr>
              <w:t>MySQL 8.0</w:t>
            </w:r>
          </w:p>
        </w:tc>
      </w:tr>
      <w:tr w14:paraId="43A9DA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6CB34137">
            <w:pPr>
              <w:snapToGrid w:val="0"/>
              <w:spacing w:after="120" w:line="400" w:lineRule="exact"/>
              <w:ind w:firstLine="480" w:firstLineChars="200"/>
              <w:rPr>
                <w:sz w:val="24"/>
              </w:rPr>
            </w:pPr>
            <w:r>
              <w:rPr>
                <w:sz w:val="24"/>
              </w:rPr>
              <w:t>区块链环境</w:t>
            </w:r>
          </w:p>
        </w:tc>
        <w:tc>
          <w:tcPr>
            <w:tcW w:w="6517" w:type="dxa"/>
            <w:tcBorders>
              <w:top w:val="nil"/>
              <w:left w:val="nil"/>
              <w:bottom w:val="nil"/>
              <w:right w:val="nil"/>
            </w:tcBorders>
            <w:tcMar>
              <w:top w:w="-1" w:type="dxa"/>
              <w:left w:w="108" w:type="dxa"/>
              <w:bottom w:w="-1" w:type="dxa"/>
              <w:right w:w="108" w:type="dxa"/>
            </w:tcMar>
            <w:vAlign w:val="center"/>
          </w:tcPr>
          <w:p w14:paraId="33D9C00F">
            <w:pPr>
              <w:snapToGrid w:val="0"/>
              <w:spacing w:after="120" w:line="400" w:lineRule="exact"/>
              <w:ind w:firstLine="480" w:firstLineChars="200"/>
              <w:rPr>
                <w:sz w:val="24"/>
              </w:rPr>
            </w:pPr>
            <w:r>
              <w:rPr>
                <w:sz w:val="24"/>
              </w:rPr>
              <w:t>Ganache 2.7.1</w:t>
            </w:r>
          </w:p>
        </w:tc>
      </w:tr>
      <w:tr w14:paraId="259BED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single" w:color="auto" w:sz="12" w:space="0"/>
              <w:right w:val="nil"/>
            </w:tcBorders>
            <w:tcMar>
              <w:top w:w="-1" w:type="dxa"/>
              <w:left w:w="108" w:type="dxa"/>
              <w:bottom w:w="-1" w:type="dxa"/>
              <w:right w:w="108" w:type="dxa"/>
            </w:tcMar>
            <w:vAlign w:val="center"/>
          </w:tcPr>
          <w:p w14:paraId="66357B3A">
            <w:pPr>
              <w:snapToGrid w:val="0"/>
              <w:spacing w:after="120" w:line="400" w:lineRule="exact"/>
              <w:ind w:firstLine="480" w:firstLineChars="200"/>
              <w:rPr>
                <w:sz w:val="24"/>
              </w:rPr>
            </w:pPr>
            <w:r>
              <w:rPr>
                <w:sz w:val="24"/>
              </w:rPr>
              <w:t>大模型API</w:t>
            </w:r>
          </w:p>
        </w:tc>
        <w:tc>
          <w:tcPr>
            <w:tcW w:w="6517" w:type="dxa"/>
            <w:tcBorders>
              <w:top w:val="nil"/>
              <w:left w:val="nil"/>
              <w:bottom w:val="single" w:color="auto" w:sz="12" w:space="0"/>
              <w:right w:val="nil"/>
            </w:tcBorders>
            <w:tcMar>
              <w:top w:w="-1" w:type="dxa"/>
              <w:left w:w="108" w:type="dxa"/>
              <w:bottom w:w="-1" w:type="dxa"/>
              <w:right w:w="108" w:type="dxa"/>
            </w:tcMar>
            <w:vAlign w:val="center"/>
          </w:tcPr>
          <w:p w14:paraId="2CC53C02">
            <w:pPr>
              <w:snapToGrid w:val="0"/>
              <w:spacing w:after="120" w:line="400" w:lineRule="exact"/>
              <w:ind w:firstLine="480" w:firstLineChars="200"/>
              <w:rPr>
                <w:sz w:val="24"/>
              </w:rPr>
            </w:pPr>
            <w:r>
              <w:rPr>
                <w:sz w:val="24"/>
              </w:rPr>
              <w:t xml:space="preserve">ERNIE 5.0 / </w:t>
            </w:r>
            <w:r>
              <w:rPr>
                <w:rFonts w:hint="eastAsia"/>
                <w:sz w:val="24"/>
              </w:rPr>
              <w:t>qwen-m</w:t>
            </w:r>
            <w:r>
              <w:rPr>
                <w:sz w:val="24"/>
              </w:rPr>
              <w:t>ax / GPT-4o-mini</w:t>
            </w:r>
          </w:p>
        </w:tc>
      </w:tr>
    </w:tbl>
    <w:p w14:paraId="69FA9EC0">
      <w:pPr>
        <w:pStyle w:val="11"/>
        <w:spacing w:line="400" w:lineRule="exact"/>
        <w:outlineLvl w:val="1"/>
        <w:rPr>
          <w:rFonts w:ascii="黑体" w:eastAsia="黑体"/>
          <w:sz w:val="30"/>
        </w:rPr>
      </w:pPr>
    </w:p>
    <w:p w14:paraId="4EA92AD4">
      <w:pPr>
        <w:pStyle w:val="11"/>
        <w:spacing w:line="400" w:lineRule="exact"/>
        <w:outlineLvl w:val="1"/>
        <w:rPr>
          <w:rFonts w:ascii="黑体" w:eastAsia="黑体"/>
          <w:sz w:val="32"/>
        </w:rPr>
      </w:pPr>
      <w:bookmarkStart w:id="64" w:name="_Toc22894"/>
      <w:r>
        <w:rPr>
          <w:rFonts w:hint="eastAsia" w:ascii="黑体" w:eastAsia="黑体"/>
          <w:sz w:val="30"/>
        </w:rPr>
        <w:t>6.2 股票辅助交易功能测试</w:t>
      </w:r>
      <w:bookmarkEnd w:id="64"/>
    </w:p>
    <w:p w14:paraId="4ADCE341">
      <w:pPr>
        <w:spacing w:line="400" w:lineRule="exact"/>
        <w:outlineLvl w:val="2"/>
        <w:rPr>
          <w:rFonts w:ascii="黑体" w:eastAsia="黑体"/>
          <w:sz w:val="32"/>
        </w:rPr>
      </w:pPr>
      <w:bookmarkStart w:id="65" w:name="_Toc18281"/>
      <w:r>
        <w:rPr>
          <w:rFonts w:hint="eastAsia" w:ascii="黑体" w:hAnsi="黑体" w:eastAsia="黑体" w:cs="黑体"/>
          <w:sz w:val="28"/>
          <w:szCs w:val="28"/>
        </w:rPr>
        <w:t>6.2.1 行情数据展示</w:t>
      </w:r>
      <w:bookmarkEnd w:id="65"/>
    </w:p>
    <w:p w14:paraId="1706FF18">
      <w:pPr>
        <w:spacing w:line="400" w:lineRule="exact"/>
        <w:ind w:firstLine="480" w:firstLineChars="200"/>
        <w:rPr>
          <w:rFonts w:ascii="黑体" w:eastAsia="黑体"/>
          <w:sz w:val="32"/>
        </w:rPr>
      </w:pPr>
      <w:r>
        <w:rPr>
          <w:sz w:val="24"/>
        </w:rPr>
        <w:t>系统启动后，前端股票交易页面展示若干只美股的基本信息与K线图</w:t>
      </w:r>
      <w:r>
        <w:rPr>
          <w:rFonts w:hint="eastAsia"/>
          <w:sz w:val="24"/>
        </w:rPr>
        <w:t>，如图6.2所示</w:t>
      </w:r>
      <w:r>
        <w:rPr>
          <w:sz w:val="24"/>
        </w:rPr>
        <w:t>。行情数据从Alpha Vantage拉取后缓存</w:t>
      </w:r>
      <w:r>
        <w:rPr>
          <w:rFonts w:hint="eastAsia"/>
          <w:sz w:val="24"/>
        </w:rPr>
        <w:t>。</w:t>
      </w:r>
    </w:p>
    <w:p w14:paraId="02750454">
      <w:pPr>
        <w:jc w:val="center"/>
        <w:rPr>
          <w:rFonts w:ascii="黑体" w:eastAsia="黑体"/>
          <w:sz w:val="32"/>
        </w:rPr>
      </w:pPr>
      <w:r>
        <w:rPr>
          <w:rFonts w:ascii="黑体" w:eastAsia="黑体"/>
          <w:sz w:val="32"/>
        </w:rPr>
        <w:drawing>
          <wp:inline distT="0" distB="0" distL="114300" distR="114300">
            <wp:extent cx="3956050" cy="1955165"/>
            <wp:effectExtent l="0" t="0" r="0" b="0"/>
            <wp:docPr id="2" name="图片 2" descr="http___localhost_3000_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___localhost_3000_ (3)"/>
                    <pic:cNvPicPr>
                      <a:picLocks noChangeAspect="1"/>
                    </pic:cNvPicPr>
                  </pic:nvPicPr>
                  <pic:blipFill>
                    <a:blip r:embed="rId51"/>
                    <a:srcRect l="13618" t="4644" r="33523" b="79508"/>
                    <a:stretch>
                      <a:fillRect/>
                    </a:stretch>
                  </pic:blipFill>
                  <pic:spPr>
                    <a:xfrm>
                      <a:off x="0" y="0"/>
                      <a:ext cx="3956050" cy="1955165"/>
                    </a:xfrm>
                    <a:prstGeom prst="rect">
                      <a:avLst/>
                    </a:prstGeom>
                  </pic:spPr>
                </pic:pic>
              </a:graphicData>
            </a:graphic>
          </wp:inline>
        </w:drawing>
      </w:r>
    </w:p>
    <w:p w14:paraId="5E33BE5D">
      <w:pPr>
        <w:spacing w:line="400" w:lineRule="exact"/>
        <w:jc w:val="center"/>
        <w:rPr>
          <w:rFonts w:ascii="黑体" w:eastAsia="黑体"/>
          <w:sz w:val="32"/>
        </w:rPr>
      </w:pPr>
      <w:r>
        <w:rPr>
          <w:rFonts w:hint="eastAsia" w:ascii="宋体" w:hAnsi="宋体" w:cs="宋体"/>
          <w:szCs w:val="21"/>
          <w:lang w:bidi="ar"/>
        </w:rPr>
        <w:t>图6.2行情数据展示图</w:t>
      </w:r>
    </w:p>
    <w:p w14:paraId="021AEA4E">
      <w:pPr>
        <w:spacing w:line="400" w:lineRule="exact"/>
        <w:outlineLvl w:val="2"/>
        <w:rPr>
          <w:rFonts w:ascii="黑体" w:eastAsia="黑体"/>
          <w:sz w:val="32"/>
        </w:rPr>
      </w:pPr>
      <w:bookmarkStart w:id="66" w:name="_Toc23513"/>
      <w:r>
        <w:rPr>
          <w:rFonts w:hint="eastAsia" w:ascii="黑体" w:hAnsi="黑体" w:eastAsia="黑体" w:cs="黑体"/>
          <w:sz w:val="28"/>
          <w:szCs w:val="28"/>
        </w:rPr>
        <w:t>6.2.2 AI单次决策过程</w:t>
      </w:r>
      <w:bookmarkEnd w:id="66"/>
    </w:p>
    <w:p w14:paraId="5D9B67C2">
      <w:pPr>
        <w:spacing w:after="120" w:line="400" w:lineRule="exact"/>
        <w:ind w:firstLine="480" w:firstLineChars="200"/>
        <w:rPr>
          <w:sz w:val="24"/>
        </w:rPr>
      </w:pPr>
      <w:r>
        <w:rPr>
          <w:sz w:val="24"/>
        </w:rPr>
        <w:t>用户在界面上选择AI模型（以通义千问</w:t>
      </w:r>
      <w:r>
        <w:rPr>
          <w:rFonts w:hint="eastAsia"/>
          <w:sz w:val="24"/>
        </w:rPr>
        <w:t>qwen-max</w:t>
      </w:r>
      <w:r>
        <w:rPr>
          <w:sz w:val="24"/>
        </w:rPr>
        <w:t>为例）和风险偏好（适中），点击“AI决策”按钮触发单次辅助交易。系统将市场快照与AI持仓数据打包为提示词发送给大模型，模型推理后返回决策理由与操作指令。</w:t>
      </w:r>
    </w:p>
    <w:p w14:paraId="2DE86AE0">
      <w:pPr>
        <w:spacing w:after="120" w:line="400" w:lineRule="exact"/>
        <w:ind w:firstLine="480" w:firstLineChars="200"/>
        <w:rPr>
          <w:sz w:val="24"/>
        </w:rPr>
      </w:pPr>
      <w:r>
        <w:rPr>
          <w:sz w:val="24"/>
        </w:rPr>
        <w:t>表6-</w:t>
      </w:r>
      <w:r>
        <w:rPr>
          <w:rFonts w:hint="eastAsia"/>
          <w:sz w:val="24"/>
        </w:rPr>
        <w:t>3</w:t>
      </w:r>
      <w:r>
        <w:rPr>
          <w:sz w:val="24"/>
        </w:rPr>
        <w:t>记录了某次决策中，同一市场条件下三种风险偏好AI的不同行为。</w:t>
      </w:r>
    </w:p>
    <w:p w14:paraId="4858E559">
      <w:pPr>
        <w:spacing w:after="120" w:line="400" w:lineRule="exact"/>
        <w:ind w:firstLine="480" w:firstLineChars="200"/>
        <w:rPr>
          <w:sz w:val="24"/>
        </w:rPr>
      </w:pPr>
    </w:p>
    <w:p w14:paraId="1563563C">
      <w:pPr>
        <w:spacing w:line="400" w:lineRule="exact"/>
        <w:jc w:val="center"/>
        <w:rPr>
          <w:sz w:val="24"/>
        </w:rPr>
      </w:pPr>
      <w:r>
        <w:rPr>
          <w:rFonts w:hint="eastAsia" w:ascii="宋体" w:hAnsi="宋体" w:cs="宋体"/>
          <w:szCs w:val="21"/>
          <w:lang w:bidi="ar"/>
        </w:rPr>
        <w:t>表6.3 不同风险偏好决策表</w:t>
      </w:r>
    </w:p>
    <w:tbl>
      <w:tblPr>
        <w:tblStyle w:val="23"/>
        <w:tblW w:w="91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513"/>
        <w:gridCol w:w="4460"/>
        <w:gridCol w:w="1689"/>
        <w:gridCol w:w="1462"/>
      </w:tblGrid>
      <w:tr w14:paraId="1354D2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0" w:type="auto"/>
            <w:tcBorders>
              <w:top w:val="single" w:color="auto" w:sz="12" w:space="0"/>
              <w:left w:val="nil"/>
              <w:bottom w:val="nil"/>
              <w:right w:val="nil"/>
            </w:tcBorders>
            <w:tcMar>
              <w:top w:w="-1" w:type="dxa"/>
              <w:left w:w="108" w:type="dxa"/>
              <w:bottom w:w="-1" w:type="dxa"/>
              <w:right w:w="108" w:type="dxa"/>
            </w:tcMar>
            <w:vAlign w:val="center"/>
          </w:tcPr>
          <w:p w14:paraId="1EEFF98A">
            <w:pPr>
              <w:keepNext/>
              <w:snapToGrid w:val="0"/>
              <w:spacing w:after="120" w:line="400" w:lineRule="exact"/>
              <w:jc w:val="center"/>
              <w:rPr>
                <w:b/>
                <w:sz w:val="24"/>
              </w:rPr>
            </w:pPr>
            <w:r>
              <w:rPr>
                <w:b/>
                <w:sz w:val="24"/>
              </w:rPr>
              <w:t>AI风险偏好</w:t>
            </w:r>
          </w:p>
        </w:tc>
        <w:tc>
          <w:tcPr>
            <w:tcW w:w="4460" w:type="dxa"/>
            <w:tcBorders>
              <w:top w:val="single" w:color="auto" w:sz="12" w:space="0"/>
              <w:left w:val="nil"/>
              <w:bottom w:val="nil"/>
              <w:right w:val="nil"/>
            </w:tcBorders>
            <w:tcMar>
              <w:top w:w="-1" w:type="dxa"/>
              <w:left w:w="108" w:type="dxa"/>
              <w:bottom w:w="-1" w:type="dxa"/>
              <w:right w:w="108" w:type="dxa"/>
            </w:tcMar>
            <w:vAlign w:val="center"/>
          </w:tcPr>
          <w:p w14:paraId="7744F061">
            <w:pPr>
              <w:keepNext/>
              <w:snapToGrid w:val="0"/>
              <w:spacing w:after="120" w:line="400" w:lineRule="exact"/>
              <w:jc w:val="center"/>
              <w:rPr>
                <w:b/>
                <w:sz w:val="24"/>
              </w:rPr>
            </w:pPr>
            <w:r>
              <w:rPr>
                <w:b/>
                <w:sz w:val="24"/>
              </w:rPr>
              <w:t>决策理由摘要</w:t>
            </w:r>
          </w:p>
        </w:tc>
        <w:tc>
          <w:tcPr>
            <w:tcW w:w="1689" w:type="dxa"/>
            <w:tcBorders>
              <w:top w:val="single" w:color="auto" w:sz="12" w:space="0"/>
              <w:left w:val="nil"/>
              <w:bottom w:val="nil"/>
              <w:right w:val="nil"/>
            </w:tcBorders>
            <w:tcMar>
              <w:top w:w="-1" w:type="dxa"/>
              <w:left w:w="108" w:type="dxa"/>
              <w:bottom w:w="-1" w:type="dxa"/>
              <w:right w:w="108" w:type="dxa"/>
            </w:tcMar>
            <w:vAlign w:val="center"/>
          </w:tcPr>
          <w:p w14:paraId="2AC6C3DB">
            <w:pPr>
              <w:keepNext/>
              <w:snapToGrid w:val="0"/>
              <w:spacing w:after="120" w:line="400" w:lineRule="exact"/>
              <w:jc w:val="center"/>
              <w:rPr>
                <w:b/>
                <w:sz w:val="24"/>
              </w:rPr>
            </w:pPr>
            <w:r>
              <w:rPr>
                <w:b/>
                <w:sz w:val="24"/>
              </w:rPr>
              <w:t>操作</w:t>
            </w:r>
          </w:p>
        </w:tc>
        <w:tc>
          <w:tcPr>
            <w:tcW w:w="1462" w:type="dxa"/>
            <w:tcBorders>
              <w:top w:val="single" w:color="auto" w:sz="12" w:space="0"/>
              <w:left w:val="nil"/>
              <w:bottom w:val="nil"/>
              <w:right w:val="nil"/>
            </w:tcBorders>
            <w:tcMar>
              <w:top w:w="-1" w:type="dxa"/>
              <w:left w:w="108" w:type="dxa"/>
              <w:bottom w:w="-1" w:type="dxa"/>
              <w:right w:w="108" w:type="dxa"/>
            </w:tcMar>
            <w:vAlign w:val="center"/>
          </w:tcPr>
          <w:p w14:paraId="265483E6">
            <w:pPr>
              <w:keepNext/>
              <w:snapToGrid w:val="0"/>
              <w:spacing w:after="120" w:line="400" w:lineRule="exact"/>
              <w:jc w:val="center"/>
              <w:rPr>
                <w:b/>
                <w:sz w:val="24"/>
              </w:rPr>
            </w:pPr>
            <w:r>
              <w:rPr>
                <w:b/>
                <w:sz w:val="24"/>
              </w:rPr>
              <w:t>资产变化</w:t>
            </w:r>
          </w:p>
        </w:tc>
      </w:tr>
      <w:tr w14:paraId="38A3A7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0" w:type="auto"/>
            <w:tcBorders>
              <w:top w:val="single" w:color="auto" w:sz="4" w:space="0"/>
              <w:left w:val="nil"/>
              <w:bottom w:val="nil"/>
              <w:right w:val="nil"/>
            </w:tcBorders>
            <w:tcMar>
              <w:top w:w="-1" w:type="dxa"/>
              <w:left w:w="108" w:type="dxa"/>
              <w:bottom w:w="-1" w:type="dxa"/>
              <w:right w:w="108" w:type="dxa"/>
            </w:tcMar>
            <w:vAlign w:val="center"/>
          </w:tcPr>
          <w:p w14:paraId="380E82C6">
            <w:pPr>
              <w:keepNext/>
              <w:snapToGrid w:val="0"/>
              <w:spacing w:after="120" w:line="400" w:lineRule="exact"/>
              <w:jc w:val="center"/>
              <w:rPr>
                <w:sz w:val="24"/>
              </w:rPr>
            </w:pPr>
            <w:r>
              <w:rPr>
                <w:sz w:val="24"/>
              </w:rPr>
              <w:t>保守</w:t>
            </w:r>
          </w:p>
        </w:tc>
        <w:tc>
          <w:tcPr>
            <w:tcW w:w="4460" w:type="dxa"/>
            <w:tcBorders>
              <w:top w:val="single" w:color="auto" w:sz="4" w:space="0"/>
              <w:left w:val="nil"/>
              <w:bottom w:val="nil"/>
              <w:right w:val="nil"/>
            </w:tcBorders>
            <w:tcMar>
              <w:top w:w="-1" w:type="dxa"/>
              <w:left w:w="108" w:type="dxa"/>
              <w:bottom w:w="-1" w:type="dxa"/>
              <w:right w:w="108" w:type="dxa"/>
            </w:tcMar>
            <w:vAlign w:val="center"/>
          </w:tcPr>
          <w:p w14:paraId="1FBBBBA6">
            <w:pPr>
              <w:keepNext/>
              <w:snapToGrid w:val="0"/>
              <w:spacing w:after="120" w:line="400" w:lineRule="exact"/>
              <w:jc w:val="center"/>
              <w:rPr>
                <w:sz w:val="24"/>
              </w:rPr>
            </w:pPr>
            <w:r>
              <w:rPr>
                <w:sz w:val="24"/>
              </w:rPr>
              <w:t>大盘方向不明，IBM技术指标中性，选择持有现金观望</w:t>
            </w:r>
          </w:p>
        </w:tc>
        <w:tc>
          <w:tcPr>
            <w:tcW w:w="1689" w:type="dxa"/>
            <w:tcBorders>
              <w:top w:val="single" w:color="auto" w:sz="4" w:space="0"/>
              <w:left w:val="nil"/>
              <w:bottom w:val="nil"/>
              <w:right w:val="nil"/>
            </w:tcBorders>
            <w:tcMar>
              <w:top w:w="-1" w:type="dxa"/>
              <w:left w:w="108" w:type="dxa"/>
              <w:bottom w:w="-1" w:type="dxa"/>
              <w:right w:w="108" w:type="dxa"/>
            </w:tcMar>
            <w:vAlign w:val="center"/>
          </w:tcPr>
          <w:p w14:paraId="001AA15B">
            <w:pPr>
              <w:keepNext/>
              <w:snapToGrid w:val="0"/>
              <w:spacing w:after="120" w:line="400" w:lineRule="exact"/>
              <w:jc w:val="center"/>
              <w:rPr>
                <w:sz w:val="24"/>
              </w:rPr>
            </w:pPr>
            <w:r>
              <w:rPr>
                <w:sz w:val="24"/>
              </w:rPr>
              <w:t>无操作</w:t>
            </w:r>
          </w:p>
        </w:tc>
        <w:tc>
          <w:tcPr>
            <w:tcW w:w="1462" w:type="dxa"/>
            <w:tcBorders>
              <w:top w:val="single" w:color="auto" w:sz="4" w:space="0"/>
              <w:left w:val="nil"/>
              <w:bottom w:val="nil"/>
              <w:right w:val="nil"/>
            </w:tcBorders>
            <w:tcMar>
              <w:top w:w="-1" w:type="dxa"/>
              <w:left w:w="108" w:type="dxa"/>
              <w:bottom w:w="-1" w:type="dxa"/>
              <w:right w:w="108" w:type="dxa"/>
            </w:tcMar>
            <w:vAlign w:val="center"/>
          </w:tcPr>
          <w:p w14:paraId="18ACCF91">
            <w:pPr>
              <w:keepNext/>
              <w:snapToGrid w:val="0"/>
              <w:spacing w:after="120" w:line="400" w:lineRule="exact"/>
              <w:jc w:val="center"/>
              <w:rPr>
                <w:sz w:val="24"/>
              </w:rPr>
            </w:pPr>
            <w:r>
              <w:rPr>
                <w:sz w:val="24"/>
              </w:rPr>
              <w:t>0</w:t>
            </w:r>
          </w:p>
        </w:tc>
      </w:tr>
      <w:tr w14:paraId="6F437D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08" w:type="dxa"/>
              <w:bottom w:w="-1" w:type="dxa"/>
              <w:right w:w="108" w:type="dxa"/>
            </w:tcMar>
            <w:vAlign w:val="center"/>
          </w:tcPr>
          <w:p w14:paraId="7955EA99">
            <w:pPr>
              <w:keepNext/>
              <w:snapToGrid w:val="0"/>
              <w:spacing w:after="120" w:line="400" w:lineRule="exact"/>
              <w:jc w:val="center"/>
              <w:rPr>
                <w:sz w:val="24"/>
              </w:rPr>
            </w:pPr>
            <w:r>
              <w:rPr>
                <w:sz w:val="24"/>
              </w:rPr>
              <w:t>适中</w:t>
            </w:r>
          </w:p>
        </w:tc>
        <w:tc>
          <w:tcPr>
            <w:tcW w:w="4460" w:type="dxa"/>
            <w:tcBorders>
              <w:top w:val="nil"/>
              <w:left w:val="nil"/>
              <w:bottom w:val="nil"/>
              <w:right w:val="nil"/>
            </w:tcBorders>
            <w:tcMar>
              <w:top w:w="-1" w:type="dxa"/>
              <w:left w:w="108" w:type="dxa"/>
              <w:bottom w:w="-1" w:type="dxa"/>
              <w:right w:w="108" w:type="dxa"/>
            </w:tcMar>
            <w:vAlign w:val="center"/>
          </w:tcPr>
          <w:p w14:paraId="7015F9BF">
            <w:pPr>
              <w:keepNext/>
              <w:snapToGrid w:val="0"/>
              <w:spacing w:after="120" w:line="400" w:lineRule="exact"/>
              <w:jc w:val="center"/>
              <w:rPr>
                <w:sz w:val="24"/>
              </w:rPr>
            </w:pPr>
            <w:r>
              <w:rPr>
                <w:sz w:val="24"/>
              </w:rPr>
              <w:t>AAPL收盘站稳20日均线上方，RSI处于中位，适度建仓</w:t>
            </w:r>
          </w:p>
        </w:tc>
        <w:tc>
          <w:tcPr>
            <w:tcW w:w="1689" w:type="dxa"/>
            <w:tcBorders>
              <w:top w:val="nil"/>
              <w:left w:val="nil"/>
              <w:bottom w:val="nil"/>
              <w:right w:val="nil"/>
            </w:tcBorders>
            <w:tcMar>
              <w:top w:w="-1" w:type="dxa"/>
              <w:left w:w="108" w:type="dxa"/>
              <w:bottom w:w="-1" w:type="dxa"/>
              <w:right w:w="108" w:type="dxa"/>
            </w:tcMar>
            <w:vAlign w:val="center"/>
          </w:tcPr>
          <w:p w14:paraId="161B127E">
            <w:pPr>
              <w:keepNext/>
              <w:snapToGrid w:val="0"/>
              <w:spacing w:after="120" w:line="400" w:lineRule="exact"/>
              <w:jc w:val="center"/>
              <w:rPr>
                <w:sz w:val="24"/>
              </w:rPr>
            </w:pPr>
            <w:r>
              <w:rPr>
                <w:sz w:val="24"/>
              </w:rPr>
              <w:t xml:space="preserve">买入AAPL </w:t>
            </w:r>
            <w:r>
              <w:rPr>
                <w:rFonts w:hint="eastAsia"/>
                <w:sz w:val="24"/>
              </w:rPr>
              <w:t>10</w:t>
            </w:r>
            <w:r>
              <w:rPr>
                <w:sz w:val="24"/>
              </w:rPr>
              <w:t>股</w:t>
            </w:r>
          </w:p>
        </w:tc>
        <w:tc>
          <w:tcPr>
            <w:tcW w:w="1462" w:type="dxa"/>
            <w:tcBorders>
              <w:top w:val="nil"/>
              <w:left w:val="nil"/>
              <w:bottom w:val="nil"/>
              <w:right w:val="nil"/>
            </w:tcBorders>
            <w:tcMar>
              <w:top w:w="-1" w:type="dxa"/>
              <w:left w:w="108" w:type="dxa"/>
              <w:bottom w:w="-1" w:type="dxa"/>
              <w:right w:w="108" w:type="dxa"/>
            </w:tcMar>
            <w:vAlign w:val="center"/>
          </w:tcPr>
          <w:p w14:paraId="27A13A3A">
            <w:pPr>
              <w:keepNext/>
              <w:snapToGrid w:val="0"/>
              <w:spacing w:after="120" w:line="400" w:lineRule="exact"/>
              <w:jc w:val="center"/>
              <w:rPr>
                <w:sz w:val="24"/>
              </w:rPr>
            </w:pPr>
            <w:r>
              <w:rPr>
                <w:sz w:val="24"/>
              </w:rPr>
              <w:t>-2,216 USD</w:t>
            </w:r>
          </w:p>
        </w:tc>
      </w:tr>
      <w:tr w14:paraId="48AD9D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1513" w:type="dxa"/>
            <w:tcBorders>
              <w:top w:val="nil"/>
              <w:left w:val="nil"/>
              <w:bottom w:val="single" w:color="auto" w:sz="12" w:space="0"/>
              <w:right w:val="nil"/>
            </w:tcBorders>
            <w:tcMar>
              <w:top w:w="-1" w:type="dxa"/>
              <w:left w:w="108" w:type="dxa"/>
              <w:bottom w:w="-1" w:type="dxa"/>
              <w:right w:w="108" w:type="dxa"/>
            </w:tcMar>
            <w:vAlign w:val="center"/>
          </w:tcPr>
          <w:p w14:paraId="0B2D3EC4">
            <w:pPr>
              <w:keepNext/>
              <w:snapToGrid w:val="0"/>
              <w:spacing w:after="120" w:line="400" w:lineRule="exact"/>
              <w:jc w:val="center"/>
              <w:rPr>
                <w:sz w:val="24"/>
              </w:rPr>
            </w:pPr>
            <w:r>
              <w:rPr>
                <w:sz w:val="24"/>
              </w:rPr>
              <w:t>激进</w:t>
            </w:r>
          </w:p>
        </w:tc>
        <w:tc>
          <w:tcPr>
            <w:tcW w:w="4460" w:type="dxa"/>
            <w:tcBorders>
              <w:top w:val="nil"/>
              <w:left w:val="nil"/>
              <w:bottom w:val="single" w:color="auto" w:sz="12" w:space="0"/>
              <w:right w:val="nil"/>
            </w:tcBorders>
            <w:tcMar>
              <w:top w:w="-1" w:type="dxa"/>
              <w:left w:w="108" w:type="dxa"/>
              <w:bottom w:w="-1" w:type="dxa"/>
              <w:right w:w="108" w:type="dxa"/>
            </w:tcMar>
            <w:vAlign w:val="center"/>
          </w:tcPr>
          <w:p w14:paraId="61CDA0EB">
            <w:pPr>
              <w:keepNext/>
              <w:snapToGrid w:val="0"/>
              <w:spacing w:after="120" w:line="400" w:lineRule="exact"/>
              <w:jc w:val="center"/>
              <w:rPr>
                <w:sz w:val="24"/>
              </w:rPr>
            </w:pPr>
            <w:r>
              <w:rPr>
                <w:sz w:val="24"/>
              </w:rPr>
              <w:t>TSLA连涨三日动能强劲，MACD金叉确认，加仓博取短线收益</w:t>
            </w:r>
          </w:p>
        </w:tc>
        <w:tc>
          <w:tcPr>
            <w:tcW w:w="1689" w:type="dxa"/>
            <w:tcBorders>
              <w:top w:val="nil"/>
              <w:left w:val="nil"/>
              <w:bottom w:val="single" w:color="auto" w:sz="12" w:space="0"/>
              <w:right w:val="nil"/>
            </w:tcBorders>
            <w:tcMar>
              <w:top w:w="-1" w:type="dxa"/>
              <w:left w:w="108" w:type="dxa"/>
              <w:bottom w:w="-1" w:type="dxa"/>
              <w:right w:w="108" w:type="dxa"/>
            </w:tcMar>
            <w:vAlign w:val="center"/>
          </w:tcPr>
          <w:p w14:paraId="28A34EA9">
            <w:pPr>
              <w:keepNext/>
              <w:snapToGrid w:val="0"/>
              <w:spacing w:after="120" w:line="400" w:lineRule="exact"/>
              <w:jc w:val="center"/>
              <w:rPr>
                <w:sz w:val="24"/>
              </w:rPr>
            </w:pPr>
            <w:r>
              <w:rPr>
                <w:sz w:val="24"/>
              </w:rPr>
              <w:t xml:space="preserve">买入TSLA </w:t>
            </w:r>
            <w:r>
              <w:rPr>
                <w:rFonts w:hint="eastAsia"/>
                <w:sz w:val="24"/>
              </w:rPr>
              <w:t>2</w:t>
            </w:r>
            <w:r>
              <w:rPr>
                <w:sz w:val="24"/>
              </w:rPr>
              <w:t>0股</w:t>
            </w:r>
          </w:p>
        </w:tc>
        <w:tc>
          <w:tcPr>
            <w:tcW w:w="1462" w:type="dxa"/>
            <w:tcBorders>
              <w:top w:val="nil"/>
              <w:left w:val="nil"/>
              <w:bottom w:val="single" w:color="auto" w:sz="12" w:space="0"/>
              <w:right w:val="nil"/>
            </w:tcBorders>
            <w:tcMar>
              <w:top w:w="-1" w:type="dxa"/>
              <w:left w:w="108" w:type="dxa"/>
              <w:bottom w:w="-1" w:type="dxa"/>
              <w:right w:w="108" w:type="dxa"/>
            </w:tcMar>
            <w:vAlign w:val="center"/>
          </w:tcPr>
          <w:p w14:paraId="1C0D6377">
            <w:pPr>
              <w:keepNext/>
              <w:snapToGrid w:val="0"/>
              <w:spacing w:after="120" w:line="400" w:lineRule="exact"/>
              <w:jc w:val="center"/>
              <w:rPr>
                <w:sz w:val="24"/>
              </w:rPr>
            </w:pPr>
            <w:r>
              <w:rPr>
                <w:sz w:val="24"/>
              </w:rPr>
              <w:t>-5014 USD</w:t>
            </w:r>
          </w:p>
        </w:tc>
      </w:tr>
    </w:tbl>
    <w:p w14:paraId="47788158">
      <w:pPr>
        <w:spacing w:line="400" w:lineRule="exact"/>
        <w:ind w:firstLine="480" w:firstLineChars="200"/>
        <w:rPr>
          <w:sz w:val="24"/>
        </w:rPr>
      </w:pPr>
    </w:p>
    <w:p w14:paraId="7506D5CC">
      <w:pPr>
        <w:spacing w:line="400" w:lineRule="exact"/>
        <w:ind w:firstLine="480" w:firstLineChars="200"/>
      </w:pPr>
      <w:r>
        <w:rPr>
          <w:sz w:val="24"/>
        </w:rPr>
        <w:t>由表6-2可见，保守型AI在当前市场条件下选择观望，而激进型AI倾向于捕捉短期动量进行交易。三种AI的行为差异</w:t>
      </w:r>
      <w:r>
        <w:rPr>
          <w:rFonts w:hint="eastAsia"/>
          <w:sz w:val="24"/>
        </w:rPr>
        <w:t>体现</w:t>
      </w:r>
      <w:r>
        <w:rPr>
          <w:sz w:val="24"/>
        </w:rPr>
        <w:t>了提示词模板对模型决策方向的有效引导。</w:t>
      </w:r>
    </w:p>
    <w:p w14:paraId="2244E23B"/>
    <w:p w14:paraId="47A7B34C">
      <w:pPr>
        <w:jc w:val="center"/>
        <w:rPr>
          <w:sz w:val="24"/>
        </w:rPr>
      </w:pPr>
      <w:r>
        <w:drawing>
          <wp:inline distT="0" distB="0" distL="114300" distR="114300">
            <wp:extent cx="5225415" cy="2625090"/>
            <wp:effectExtent l="0" t="0" r="0" b="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52"/>
                    <a:srcRect b="26047"/>
                    <a:stretch>
                      <a:fillRect/>
                    </a:stretch>
                  </pic:blipFill>
                  <pic:spPr>
                    <a:xfrm>
                      <a:off x="0" y="0"/>
                      <a:ext cx="5225415" cy="2625090"/>
                    </a:xfrm>
                    <a:prstGeom prst="rect">
                      <a:avLst/>
                    </a:prstGeom>
                    <a:noFill/>
                    <a:ln>
                      <a:noFill/>
                    </a:ln>
                  </pic:spPr>
                </pic:pic>
              </a:graphicData>
            </a:graphic>
          </wp:inline>
        </w:drawing>
      </w:r>
    </w:p>
    <w:p w14:paraId="0796377D">
      <w:pPr>
        <w:spacing w:after="120" w:line="400" w:lineRule="exact"/>
        <w:jc w:val="center"/>
        <w:rPr>
          <w:szCs w:val="21"/>
          <w:lang w:val="en-IE"/>
        </w:rPr>
      </w:pPr>
      <w:r>
        <w:rPr>
          <w:szCs w:val="21"/>
        </w:rPr>
        <w:t>图6</w:t>
      </w:r>
      <w:r>
        <w:rPr>
          <w:rFonts w:hint="eastAsia"/>
          <w:szCs w:val="21"/>
        </w:rPr>
        <w:t>.4</w:t>
      </w:r>
      <w:r>
        <w:rPr>
          <w:szCs w:val="21"/>
        </w:rPr>
        <w:t xml:space="preserve"> 保守型</w:t>
      </w:r>
      <w:r>
        <w:rPr>
          <w:rFonts w:hint="eastAsia"/>
          <w:szCs w:val="21"/>
        </w:rPr>
        <w:t>Agent</w:t>
      </w:r>
      <w:r>
        <w:rPr>
          <w:szCs w:val="21"/>
        </w:rPr>
        <w:t>单次决策结果</w:t>
      </w:r>
    </w:p>
    <w:p w14:paraId="28DB77D3">
      <w:pPr>
        <w:ind w:firstLine="480" w:firstLineChars="200"/>
        <w:jc w:val="left"/>
        <w:rPr>
          <w:sz w:val="24"/>
        </w:rPr>
      </w:pPr>
      <w:r>
        <w:rPr>
          <w:sz w:val="24"/>
        </w:rPr>
        <w:t>保守型AI的决策</w:t>
      </w:r>
      <w:r>
        <w:rPr>
          <w:rFonts w:hint="eastAsia"/>
          <w:sz w:val="24"/>
        </w:rPr>
        <w:t>报告中“</w:t>
      </w:r>
      <w:r>
        <w:rPr>
          <w:sz w:val="24"/>
        </w:rPr>
        <w:t>当前市场环境下建议保持谨慎”，</w:t>
      </w:r>
      <w:r>
        <w:rPr>
          <w:rFonts w:hint="eastAsia"/>
          <w:sz w:val="24"/>
        </w:rPr>
        <w:t>它</w:t>
      </w:r>
      <w:r>
        <w:rPr>
          <w:sz w:val="24"/>
        </w:rPr>
        <w:t>提出了总仓位控制在30%以内、优先保护本金安全、5%收益后及时止盈等</w:t>
      </w:r>
      <w:r>
        <w:rPr>
          <w:rFonts w:hint="eastAsia"/>
          <w:sz w:val="24"/>
        </w:rPr>
        <w:t>风险控制</w:t>
      </w:r>
      <w:r>
        <w:rPr>
          <w:sz w:val="24"/>
        </w:rPr>
        <w:t>原则。</w:t>
      </w:r>
    </w:p>
    <w:p w14:paraId="0690A316">
      <w:pPr>
        <w:ind w:firstLine="480" w:firstLineChars="200"/>
        <w:jc w:val="left"/>
        <w:rPr>
          <w:sz w:val="24"/>
        </w:rPr>
      </w:pPr>
    </w:p>
    <w:p w14:paraId="75CD36C4">
      <w:pPr>
        <w:jc w:val="center"/>
      </w:pPr>
      <w:r>
        <w:drawing>
          <wp:inline distT="0" distB="0" distL="114300" distR="114300">
            <wp:extent cx="5386070" cy="3815715"/>
            <wp:effectExtent l="0" t="0" r="8890" b="952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53"/>
                    <a:stretch>
                      <a:fillRect/>
                    </a:stretch>
                  </pic:blipFill>
                  <pic:spPr>
                    <a:xfrm>
                      <a:off x="0" y="0"/>
                      <a:ext cx="5386070" cy="3815715"/>
                    </a:xfrm>
                    <a:prstGeom prst="rect">
                      <a:avLst/>
                    </a:prstGeom>
                    <a:noFill/>
                    <a:ln>
                      <a:noFill/>
                    </a:ln>
                  </pic:spPr>
                </pic:pic>
              </a:graphicData>
            </a:graphic>
          </wp:inline>
        </w:drawing>
      </w:r>
    </w:p>
    <w:p w14:paraId="5CBAEABF">
      <w:pPr>
        <w:spacing w:after="120" w:line="400" w:lineRule="exact"/>
        <w:ind w:firstLine="420" w:firstLineChars="200"/>
        <w:jc w:val="center"/>
        <w:rPr>
          <w:szCs w:val="21"/>
        </w:rPr>
      </w:pPr>
      <w:r>
        <w:rPr>
          <w:szCs w:val="21"/>
        </w:rPr>
        <w:t>图6</w:t>
      </w:r>
      <w:r>
        <w:rPr>
          <w:rFonts w:hint="eastAsia"/>
          <w:szCs w:val="21"/>
        </w:rPr>
        <w:t>.5</w:t>
      </w:r>
      <w:r>
        <w:rPr>
          <w:szCs w:val="21"/>
        </w:rPr>
        <w:t xml:space="preserve"> </w:t>
      </w:r>
      <w:r>
        <w:rPr>
          <w:rFonts w:hint="eastAsia"/>
          <w:szCs w:val="21"/>
        </w:rPr>
        <w:t>稳健</w:t>
      </w:r>
      <w:r>
        <w:rPr>
          <w:szCs w:val="21"/>
        </w:rPr>
        <w:t>型AI单次决策结果</w:t>
      </w:r>
    </w:p>
    <w:p w14:paraId="09CC90CF">
      <w:pPr>
        <w:spacing w:after="120" w:line="400" w:lineRule="exact"/>
        <w:ind w:firstLine="420" w:firstLineChars="200"/>
        <w:jc w:val="center"/>
        <w:rPr>
          <w:szCs w:val="21"/>
        </w:rPr>
      </w:pPr>
    </w:p>
    <w:p w14:paraId="07DC0C80">
      <w:pPr>
        <w:ind w:firstLine="480" w:firstLineChars="200"/>
        <w:jc w:val="left"/>
        <w:rPr>
          <w:szCs w:val="21"/>
        </w:rPr>
      </w:pPr>
      <w:r>
        <w:rPr>
          <w:sz w:val="24"/>
        </w:rPr>
        <w:t>在具体操作上，模型</w:t>
      </w:r>
      <w:r>
        <w:rPr>
          <w:rFonts w:hint="eastAsia"/>
          <w:sz w:val="24"/>
        </w:rPr>
        <w:t>通过KDJ、MACD、RSI等技术指标做出判断，选择了执行卖出APPL，买入GOOGl和持有META。</w:t>
      </w:r>
    </w:p>
    <w:p w14:paraId="1FD83FED">
      <w:pPr>
        <w:spacing w:after="120" w:line="400" w:lineRule="exact"/>
        <w:ind w:firstLine="480"/>
        <w:jc w:val="left"/>
        <w:rPr>
          <w:szCs w:val="21"/>
        </w:rPr>
      </w:pPr>
      <w:r>
        <w:rPr>
          <w:sz w:val="24"/>
        </w:rPr>
        <w:t>稳健型AI</w:t>
      </w:r>
      <w:r>
        <w:rPr>
          <w:rFonts w:hint="eastAsia"/>
          <w:sz w:val="24"/>
        </w:rPr>
        <w:t>的</w:t>
      </w:r>
      <w:r>
        <w:rPr>
          <w:sz w:val="24"/>
        </w:rPr>
        <w:t>决策</w:t>
      </w:r>
      <w:r>
        <w:rPr>
          <w:rFonts w:hint="eastAsia"/>
          <w:sz w:val="24"/>
        </w:rPr>
        <w:t>声明了</w:t>
      </w:r>
      <w:r>
        <w:rPr>
          <w:sz w:val="24"/>
        </w:rPr>
        <w:t>谨慎</w:t>
      </w:r>
      <w:r>
        <w:rPr>
          <w:rFonts w:hint="eastAsia"/>
          <w:sz w:val="24"/>
        </w:rPr>
        <w:t>的</w:t>
      </w:r>
      <w:r>
        <w:rPr>
          <w:sz w:val="24"/>
        </w:rPr>
        <w:t>态度，计划</w:t>
      </w:r>
      <w:r>
        <w:rPr>
          <w:rFonts w:hint="eastAsia"/>
          <w:sz w:val="24"/>
        </w:rPr>
        <w:t>买入</w:t>
      </w:r>
      <w:r>
        <w:rPr>
          <w:sz w:val="24"/>
        </w:rPr>
        <w:t>1</w:t>
      </w:r>
      <w:r>
        <w:rPr>
          <w:rFonts w:hint="eastAsia"/>
          <w:sz w:val="24"/>
        </w:rPr>
        <w:t>支</w:t>
      </w:r>
      <w:r>
        <w:rPr>
          <w:sz w:val="24"/>
        </w:rPr>
        <w:t>持仓并</w:t>
      </w:r>
      <w:r>
        <w:rPr>
          <w:rFonts w:hint="eastAsia"/>
          <w:sz w:val="24"/>
        </w:rPr>
        <w:t>表明只追求10%的收益率。同样是根据各种技术指标进行判断，最终决定买入MSFT</w:t>
      </w:r>
    </w:p>
    <w:p w14:paraId="46192E21">
      <w:pPr>
        <w:spacing w:after="120" w:line="400" w:lineRule="exact"/>
        <w:ind w:firstLine="480" w:firstLineChars="200"/>
        <w:rPr>
          <w:sz w:val="24"/>
        </w:rPr>
      </w:pPr>
      <w:r>
        <w:rPr>
          <w:sz w:val="24"/>
        </w:rPr>
        <w:t>激进型AI对短期</w:t>
      </w:r>
      <w:r>
        <w:rPr>
          <w:rFonts w:hint="eastAsia"/>
          <w:sz w:val="24"/>
        </w:rPr>
        <w:t>的</w:t>
      </w:r>
      <w:r>
        <w:rPr>
          <w:sz w:val="24"/>
        </w:rPr>
        <w:t>价格动能表现出</w:t>
      </w:r>
      <w:r>
        <w:rPr>
          <w:rFonts w:hint="eastAsia"/>
          <w:sz w:val="24"/>
        </w:rPr>
        <w:t>了</w:t>
      </w:r>
      <w:r>
        <w:rPr>
          <w:sz w:val="24"/>
        </w:rPr>
        <w:t>高度</w:t>
      </w:r>
      <w:r>
        <w:rPr>
          <w:rFonts w:hint="eastAsia"/>
          <w:sz w:val="24"/>
        </w:rPr>
        <w:t>的</w:t>
      </w:r>
      <w:r>
        <w:rPr>
          <w:sz w:val="24"/>
        </w:rPr>
        <w:t>敏感</w:t>
      </w:r>
      <w:r>
        <w:rPr>
          <w:rFonts w:hint="eastAsia"/>
          <w:sz w:val="24"/>
        </w:rPr>
        <w:t>，具体表现为</w:t>
      </w:r>
      <w:r>
        <w:rPr>
          <w:sz w:val="24"/>
        </w:rPr>
        <w:t>计划重仓买入3</w:t>
      </w:r>
      <w:r>
        <w:rPr>
          <w:rFonts w:hint="eastAsia"/>
          <w:sz w:val="24"/>
        </w:rPr>
        <w:t>支股票，并维持</w:t>
      </w:r>
      <w:r>
        <w:rPr>
          <w:sz w:val="24"/>
        </w:rPr>
        <w:t>60-80%</w:t>
      </w:r>
      <w:r>
        <w:rPr>
          <w:rFonts w:hint="eastAsia"/>
          <w:sz w:val="24"/>
        </w:rPr>
        <w:t>的仓位</w:t>
      </w:r>
      <w:r>
        <w:rPr>
          <w:sz w:val="24"/>
        </w:rPr>
        <w:t>，</w:t>
      </w:r>
      <w:r>
        <w:rPr>
          <w:rFonts w:hint="eastAsia"/>
          <w:sz w:val="24"/>
        </w:rPr>
        <w:t>目标是</w:t>
      </w:r>
      <w:r>
        <w:rPr>
          <w:sz w:val="24"/>
        </w:rPr>
        <w:t>追求20%以上收益</w:t>
      </w:r>
      <w:r>
        <w:rPr>
          <w:rFonts w:hint="eastAsia"/>
          <w:sz w:val="24"/>
        </w:rPr>
        <w:t>，如图6.6所示。</w:t>
      </w:r>
    </w:p>
    <w:p w14:paraId="4F0B8952">
      <w:pPr>
        <w:spacing w:after="120" w:line="400" w:lineRule="exact"/>
        <w:ind w:firstLine="480" w:firstLineChars="200"/>
        <w:rPr>
          <w:sz w:val="24"/>
        </w:rPr>
      </w:pPr>
      <w:r>
        <w:rPr>
          <w:sz w:val="24"/>
        </w:rPr>
        <w:t>它识别到TSLA的MACD指标出现金叉，并且连续三日放量上涨，倾向于博取短线反弹收益。模型随即调用买入工具</w:t>
      </w:r>
      <w:r>
        <w:rPr>
          <w:rFonts w:hint="eastAsia"/>
          <w:sz w:val="24"/>
        </w:rPr>
        <w:t>进行</w:t>
      </w:r>
      <w:r>
        <w:rPr>
          <w:sz w:val="24"/>
        </w:rPr>
        <w:t>下单。其决策理由中使用了“右侧上车”“动能确认”等偏激进的表述，与前两种偏好形成鲜明对比。</w:t>
      </w:r>
    </w:p>
    <w:p w14:paraId="089FE6C2">
      <w:pPr>
        <w:spacing w:after="120" w:line="400" w:lineRule="exact"/>
        <w:ind w:firstLine="480" w:firstLineChars="200"/>
        <w:rPr>
          <w:sz w:val="24"/>
        </w:rPr>
      </w:pPr>
      <w:r>
        <w:rPr>
          <w:sz w:val="24"/>
        </w:rPr>
        <w:t>从三张截图的对比可以直观看出，面对完全相同的市场数据，三种风险偏好的AI给出了不同的交易行为</w:t>
      </w:r>
      <w:r>
        <w:rPr>
          <w:rFonts w:hint="eastAsia"/>
          <w:sz w:val="24"/>
        </w:rPr>
        <w:t>和决策理由</w:t>
      </w:r>
      <w:r>
        <w:rPr>
          <w:sz w:val="24"/>
        </w:rPr>
        <w:t>：保守者按兵不动，适中者小幅试探，激进者大举进攻。这一点与前文表6</w:t>
      </w:r>
      <w:r>
        <w:rPr>
          <w:rFonts w:hint="eastAsia"/>
          <w:sz w:val="24"/>
        </w:rPr>
        <w:t>.3</w:t>
      </w:r>
      <w:r>
        <w:rPr>
          <w:sz w:val="24"/>
        </w:rPr>
        <w:t>的结论一致，进一步</w:t>
      </w:r>
      <w:r>
        <w:rPr>
          <w:rFonts w:hint="eastAsia"/>
          <w:sz w:val="24"/>
        </w:rPr>
        <w:t>体现</w:t>
      </w:r>
      <w:r>
        <w:rPr>
          <w:sz w:val="24"/>
        </w:rPr>
        <w:t>了提示词模板对模型决策风格的有效引导。</w:t>
      </w:r>
    </w:p>
    <w:p w14:paraId="79645D64">
      <w:pPr>
        <w:jc w:val="left"/>
        <w:rPr>
          <w:sz w:val="24"/>
        </w:rPr>
      </w:pPr>
      <w:r>
        <w:drawing>
          <wp:inline distT="0" distB="0" distL="114300" distR="114300">
            <wp:extent cx="5398135" cy="4135755"/>
            <wp:effectExtent l="0" t="0" r="12065" b="952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54"/>
                    <a:stretch>
                      <a:fillRect/>
                    </a:stretch>
                  </pic:blipFill>
                  <pic:spPr>
                    <a:xfrm>
                      <a:off x="0" y="0"/>
                      <a:ext cx="5398135" cy="4135755"/>
                    </a:xfrm>
                    <a:prstGeom prst="rect">
                      <a:avLst/>
                    </a:prstGeom>
                    <a:noFill/>
                    <a:ln>
                      <a:noFill/>
                    </a:ln>
                  </pic:spPr>
                </pic:pic>
              </a:graphicData>
            </a:graphic>
          </wp:inline>
        </w:drawing>
      </w:r>
    </w:p>
    <w:p w14:paraId="1A5FB905">
      <w:pPr>
        <w:spacing w:after="120" w:line="400" w:lineRule="exact"/>
        <w:ind w:firstLine="420" w:firstLineChars="200"/>
        <w:jc w:val="center"/>
        <w:rPr>
          <w:szCs w:val="21"/>
        </w:rPr>
      </w:pPr>
      <w:r>
        <w:rPr>
          <w:szCs w:val="21"/>
        </w:rPr>
        <w:t>图6</w:t>
      </w:r>
      <w:r>
        <w:rPr>
          <w:rFonts w:hint="eastAsia"/>
          <w:szCs w:val="21"/>
        </w:rPr>
        <w:t>.6</w:t>
      </w:r>
      <w:r>
        <w:rPr>
          <w:szCs w:val="21"/>
        </w:rPr>
        <w:t xml:space="preserve"> </w:t>
      </w:r>
      <w:r>
        <w:rPr>
          <w:rFonts w:hint="eastAsia"/>
          <w:szCs w:val="21"/>
        </w:rPr>
        <w:t>激进</w:t>
      </w:r>
      <w:r>
        <w:rPr>
          <w:szCs w:val="21"/>
        </w:rPr>
        <w:t>型AI单次决策结果</w:t>
      </w:r>
    </w:p>
    <w:p w14:paraId="6549B9AC">
      <w:pPr>
        <w:spacing w:line="400" w:lineRule="exact"/>
        <w:outlineLvl w:val="2"/>
        <w:rPr>
          <w:rFonts w:ascii="黑体" w:eastAsia="黑体"/>
          <w:sz w:val="32"/>
        </w:rPr>
      </w:pPr>
      <w:bookmarkStart w:id="67" w:name="_Toc13591"/>
      <w:r>
        <w:rPr>
          <w:rFonts w:hint="eastAsia" w:ascii="黑体" w:hAnsi="黑体" w:eastAsia="黑体" w:cs="黑体"/>
          <w:sz w:val="28"/>
          <w:szCs w:val="28"/>
        </w:rPr>
        <w:t>6.2.3 资产曲线展示</w:t>
      </w:r>
      <w:bookmarkEnd w:id="67"/>
    </w:p>
    <w:p w14:paraId="5864F8EA">
      <w:pPr>
        <w:spacing w:line="400" w:lineRule="exact"/>
        <w:ind w:firstLine="480" w:firstLineChars="200"/>
        <w:rPr>
          <w:sz w:val="24"/>
        </w:rPr>
      </w:pPr>
      <w:r>
        <w:rPr>
          <w:sz w:val="24"/>
        </w:rPr>
        <w:t>每次决策结束后，系统根据AI现金余额与持仓股票市价计算</w:t>
      </w:r>
      <w:r>
        <w:rPr>
          <w:rFonts w:hint="eastAsia"/>
          <w:sz w:val="24"/>
        </w:rPr>
        <w:t>收益总值，</w:t>
      </w:r>
      <w:r>
        <w:rPr>
          <w:sz w:val="24"/>
        </w:rPr>
        <w:t>使用者可观察</w:t>
      </w:r>
      <w:r>
        <w:rPr>
          <w:rFonts w:hint="eastAsia"/>
          <w:sz w:val="24"/>
        </w:rPr>
        <w:t>其</w:t>
      </w:r>
      <w:r>
        <w:rPr>
          <w:sz w:val="24"/>
        </w:rPr>
        <w:t>在多次决策后的收益差异</w:t>
      </w:r>
      <w:r>
        <w:rPr>
          <w:rFonts w:hint="eastAsia"/>
          <w:sz w:val="24"/>
        </w:rPr>
        <w:t>。图6-7展示AI的总收益以及其收益组成。</w:t>
      </w:r>
    </w:p>
    <w:p w14:paraId="34AE0565">
      <w:pPr>
        <w:spacing w:line="400" w:lineRule="exact"/>
        <w:ind w:firstLine="480" w:firstLineChars="200"/>
        <w:rPr>
          <w:sz w:val="24"/>
        </w:rPr>
      </w:pPr>
    </w:p>
    <w:p w14:paraId="1311CC1C">
      <w:pPr>
        <w:ind w:firstLine="480" w:firstLineChars="200"/>
        <w:jc w:val="center"/>
        <w:rPr>
          <w:sz w:val="24"/>
        </w:rPr>
      </w:pPr>
      <w:r>
        <w:rPr>
          <w:rFonts w:hint="eastAsia"/>
          <w:sz w:val="24"/>
        </w:rPr>
        <w:drawing>
          <wp:inline distT="0" distB="0" distL="114300" distR="114300">
            <wp:extent cx="3054985" cy="2353945"/>
            <wp:effectExtent l="0" t="0" r="12065" b="8255"/>
            <wp:docPr id="8" name="图片 8" descr="激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激进"/>
                    <pic:cNvPicPr>
                      <a:picLocks noChangeAspect="1"/>
                    </pic:cNvPicPr>
                  </pic:nvPicPr>
                  <pic:blipFill>
                    <a:blip r:embed="rId55"/>
                    <a:srcRect l="58905" t="3312" r="11055" b="84159"/>
                    <a:stretch>
                      <a:fillRect/>
                    </a:stretch>
                  </pic:blipFill>
                  <pic:spPr>
                    <a:xfrm>
                      <a:off x="0" y="0"/>
                      <a:ext cx="3054985" cy="2353945"/>
                    </a:xfrm>
                    <a:prstGeom prst="rect">
                      <a:avLst/>
                    </a:prstGeom>
                  </pic:spPr>
                </pic:pic>
              </a:graphicData>
            </a:graphic>
          </wp:inline>
        </w:drawing>
      </w:r>
    </w:p>
    <w:p w14:paraId="2CD00E89">
      <w:pPr>
        <w:spacing w:line="400" w:lineRule="exact"/>
        <w:jc w:val="center"/>
        <w:rPr>
          <w:rFonts w:hint="eastAsia" w:ascii="宋体" w:hAnsi="宋体" w:cs="宋体"/>
          <w:szCs w:val="21"/>
          <w:lang w:bidi="ar"/>
        </w:rPr>
      </w:pPr>
      <w:r>
        <w:rPr>
          <w:rFonts w:hint="eastAsia" w:ascii="宋体" w:hAnsi="宋体" w:cs="宋体"/>
          <w:szCs w:val="21"/>
          <w:lang w:bidi="ar"/>
        </w:rPr>
        <w:t>图6.7AI收益图</w:t>
      </w:r>
    </w:p>
    <w:p w14:paraId="44CA78BC">
      <w:pPr>
        <w:spacing w:line="400" w:lineRule="exact"/>
        <w:jc w:val="center"/>
        <w:rPr>
          <w:rFonts w:hint="eastAsia" w:ascii="宋体" w:hAnsi="宋体" w:cs="宋体"/>
          <w:szCs w:val="21"/>
          <w:lang w:bidi="ar"/>
        </w:rPr>
      </w:pPr>
    </w:p>
    <w:p w14:paraId="26868B68">
      <w:pPr>
        <w:spacing w:line="400" w:lineRule="exact"/>
        <w:ind w:firstLine="480" w:firstLineChars="200"/>
        <w:rPr>
          <w:sz w:val="24"/>
        </w:rPr>
      </w:pPr>
      <w:r>
        <w:rPr>
          <w:rFonts w:hint="eastAsia"/>
          <w:sz w:val="24"/>
        </w:rPr>
        <w:t>为了进一步分析AI执行的决策，本系统在股票维度下钻持仓，</w:t>
      </w:r>
      <w:r>
        <w:rPr>
          <w:sz w:val="24"/>
        </w:rPr>
        <w:t>图6-</w:t>
      </w:r>
      <w:r>
        <w:rPr>
          <w:rFonts w:hint="eastAsia"/>
          <w:sz w:val="24"/>
        </w:rPr>
        <w:t>7展示AI持仓的明细，通过卡片形式展示AI在各支股票的占比。</w:t>
      </w:r>
    </w:p>
    <w:p w14:paraId="129ED6B9">
      <w:pPr>
        <w:spacing w:line="400" w:lineRule="exact"/>
        <w:ind w:firstLine="480" w:firstLineChars="200"/>
        <w:rPr>
          <w:sz w:val="24"/>
        </w:rPr>
      </w:pPr>
    </w:p>
    <w:p w14:paraId="72A024B0">
      <w:pPr>
        <w:jc w:val="center"/>
        <w:rPr>
          <w:rFonts w:ascii="黑体" w:eastAsia="黑体"/>
          <w:sz w:val="32"/>
        </w:rPr>
      </w:pPr>
      <w:r>
        <w:rPr>
          <w:rFonts w:ascii="黑体" w:eastAsia="黑体"/>
          <w:sz w:val="32"/>
        </w:rPr>
        <w:drawing>
          <wp:inline distT="0" distB="0" distL="114300" distR="114300">
            <wp:extent cx="5053965" cy="2850515"/>
            <wp:effectExtent l="0" t="0" r="5715" b="14605"/>
            <wp:docPr id="7" name="图片 7" descr="激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激进"/>
                    <pic:cNvPicPr>
                      <a:picLocks noChangeAspect="1"/>
                    </pic:cNvPicPr>
                  </pic:nvPicPr>
                  <pic:blipFill>
                    <a:blip r:embed="rId55"/>
                    <a:srcRect l="54347" t="12365" r="3827" b="74863"/>
                    <a:stretch>
                      <a:fillRect/>
                    </a:stretch>
                  </pic:blipFill>
                  <pic:spPr>
                    <a:xfrm>
                      <a:off x="0" y="0"/>
                      <a:ext cx="5053965" cy="2850515"/>
                    </a:xfrm>
                    <a:prstGeom prst="rect">
                      <a:avLst/>
                    </a:prstGeom>
                  </pic:spPr>
                </pic:pic>
              </a:graphicData>
            </a:graphic>
          </wp:inline>
        </w:drawing>
      </w:r>
    </w:p>
    <w:p w14:paraId="04AC5799">
      <w:pPr>
        <w:spacing w:line="400" w:lineRule="exact"/>
        <w:jc w:val="center"/>
        <w:rPr>
          <w:rFonts w:hint="eastAsia" w:ascii="宋体" w:hAnsi="宋体" w:cs="宋体"/>
          <w:szCs w:val="21"/>
          <w:lang w:bidi="ar"/>
        </w:rPr>
      </w:pPr>
      <w:r>
        <w:rPr>
          <w:rFonts w:hint="eastAsia" w:ascii="宋体" w:hAnsi="宋体" w:cs="宋体"/>
          <w:szCs w:val="21"/>
          <w:lang w:bidi="ar"/>
        </w:rPr>
        <w:t>图6.7 持仓明细图</w:t>
      </w:r>
    </w:p>
    <w:p w14:paraId="62A92C2C">
      <w:pPr>
        <w:spacing w:line="400" w:lineRule="exact"/>
        <w:jc w:val="center"/>
        <w:rPr>
          <w:rFonts w:hint="eastAsia" w:ascii="宋体" w:hAnsi="宋体" w:cs="宋体"/>
          <w:szCs w:val="21"/>
          <w:lang w:bidi="ar"/>
        </w:rPr>
      </w:pPr>
    </w:p>
    <w:p w14:paraId="0F10788B">
      <w:pPr>
        <w:pStyle w:val="11"/>
        <w:spacing w:line="400" w:lineRule="exact"/>
        <w:outlineLvl w:val="2"/>
        <w:rPr>
          <w:rFonts w:ascii="Times New Roman" w:hAnsi="Times New Roman"/>
          <w:sz w:val="24"/>
        </w:rPr>
      </w:pPr>
      <w:bookmarkStart w:id="68" w:name="_Toc4258"/>
      <w:r>
        <w:rPr>
          <w:rFonts w:ascii="黑体" w:eastAsia="黑体"/>
          <w:sz w:val="30"/>
        </w:rPr>
        <w:t>6.2.</w:t>
      </w:r>
      <w:r>
        <w:rPr>
          <w:rFonts w:hint="eastAsia" w:ascii="黑体" w:eastAsia="黑体"/>
          <w:sz w:val="30"/>
        </w:rPr>
        <w:t>4</w:t>
      </w:r>
      <w:r>
        <w:rPr>
          <w:rFonts w:ascii="黑体" w:eastAsia="黑体"/>
          <w:sz w:val="30"/>
        </w:rPr>
        <w:t xml:space="preserve"> 股市行情分析功能验证</w:t>
      </w:r>
      <w:bookmarkEnd w:id="68"/>
    </w:p>
    <w:p w14:paraId="05ED16D6">
      <w:pPr>
        <w:spacing w:after="120" w:line="400" w:lineRule="exact"/>
        <w:ind w:firstLine="480" w:firstLineChars="200"/>
        <w:rPr>
          <w:sz w:val="24"/>
        </w:rPr>
      </w:pPr>
      <w:r>
        <w:rPr>
          <w:rFonts w:hint="eastAsia"/>
          <w:sz w:val="24"/>
        </w:rPr>
        <w:t>AI在做出交易决策的时候会先进行股市行情的判断，这一判断可能会对用户起到一定的参考价值，所以笔者选择将其展示至决策信息后。</w:t>
      </w:r>
    </w:p>
    <w:p w14:paraId="7391B4E7">
      <w:pPr>
        <w:spacing w:after="120" w:line="400" w:lineRule="exact"/>
        <w:ind w:firstLine="480" w:firstLineChars="200"/>
        <w:rPr>
          <w:sz w:val="24"/>
        </w:rPr>
      </w:pPr>
      <w:r>
        <w:rPr>
          <w:sz w:val="24"/>
        </w:rPr>
        <w:t>系统将事先计算好的技术指标数据（包括5日、10日、20日均线，相对强弱指标RSI，以及布林带上下轨位置等）同近期收盘价数据，一同注入大语言模型的提示词中。</w:t>
      </w:r>
      <w:r>
        <w:rPr>
          <w:rFonts w:hint="eastAsia"/>
          <w:sz w:val="24"/>
        </w:rPr>
        <w:t>系统</w:t>
      </w:r>
      <w:r>
        <w:rPr>
          <w:sz w:val="24"/>
        </w:rPr>
        <w:t>要求</w:t>
      </w:r>
      <w:r>
        <w:rPr>
          <w:rFonts w:hint="eastAsia"/>
          <w:sz w:val="24"/>
        </w:rPr>
        <w:t>模型不论是否执行交易，都要</w:t>
      </w:r>
      <w:r>
        <w:rPr>
          <w:sz w:val="24"/>
        </w:rPr>
        <w:t>对每只股票进行解读，并输出结构化的分析报告。</w:t>
      </w:r>
    </w:p>
    <w:p w14:paraId="37D605B8">
      <w:pPr>
        <w:spacing w:after="120" w:line="400" w:lineRule="exact"/>
        <w:ind w:firstLine="480" w:firstLineChars="200"/>
        <w:rPr>
          <w:sz w:val="24"/>
        </w:rPr>
      </w:pPr>
      <w:r>
        <w:rPr>
          <w:sz w:val="24"/>
        </w:rPr>
        <w:t>表6-</w:t>
      </w:r>
      <w:r>
        <w:rPr>
          <w:rFonts w:hint="eastAsia"/>
          <w:sz w:val="24"/>
        </w:rPr>
        <w:t>8</w:t>
      </w:r>
      <w:r>
        <w:rPr>
          <w:sz w:val="24"/>
        </w:rPr>
        <w:t>截取了三位不同风险偏好的AI对同一只股票“AAPL”的技术分析结论。</w:t>
      </w:r>
      <w:r>
        <w:rPr>
          <w:rFonts w:hint="eastAsia"/>
          <w:sz w:val="24"/>
        </w:rPr>
        <w:t>可以见到，他们通过布林带、均线等技术指标，对AAPL做出了各自的判断，用户可以根据这些分析，判断自己的决策考虑是否周到。</w:t>
      </w:r>
    </w:p>
    <w:p w14:paraId="28A62ACD">
      <w:pPr>
        <w:spacing w:after="120" w:line="400" w:lineRule="exact"/>
        <w:ind w:firstLine="480" w:firstLineChars="200"/>
        <w:rPr>
          <w:sz w:val="24"/>
        </w:rPr>
      </w:pPr>
    </w:p>
    <w:p w14:paraId="09C4D4D7">
      <w:pPr>
        <w:spacing w:line="400" w:lineRule="exact"/>
        <w:jc w:val="center"/>
        <w:rPr>
          <w:sz w:val="24"/>
        </w:rPr>
      </w:pPr>
      <w:r>
        <w:rPr>
          <w:rFonts w:hint="eastAsia" w:ascii="宋体" w:hAnsi="宋体" w:cs="宋体"/>
          <w:szCs w:val="21"/>
          <w:lang w:bidi="ar"/>
        </w:rPr>
        <w:t xml:space="preserve">图6.8 </w:t>
      </w:r>
      <w:r>
        <w:rPr>
          <w:szCs w:val="21"/>
        </w:rPr>
        <w:t>不同风险偏好AI对标的AAPL的</w:t>
      </w:r>
      <w:r>
        <w:rPr>
          <w:rFonts w:hint="eastAsia"/>
          <w:szCs w:val="21"/>
        </w:rPr>
        <w:t>行情分析</w:t>
      </w:r>
    </w:p>
    <w:tbl>
      <w:tblPr>
        <w:tblStyle w:val="23"/>
        <w:tblW w:w="8719" w:type="dxa"/>
        <w:jc w:val="center"/>
        <w:tblLayout w:type="autofit"/>
        <w:tblCellMar>
          <w:top w:w="15" w:type="dxa"/>
          <w:left w:w="15" w:type="dxa"/>
          <w:bottom w:w="15" w:type="dxa"/>
          <w:right w:w="15" w:type="dxa"/>
        </w:tblCellMar>
      </w:tblPr>
      <w:tblGrid>
        <w:gridCol w:w="1208"/>
        <w:gridCol w:w="7511"/>
      </w:tblGrid>
      <w:tr w14:paraId="21EA1296">
        <w:tblPrEx>
          <w:tblCellMar>
            <w:top w:w="15" w:type="dxa"/>
            <w:left w:w="15" w:type="dxa"/>
            <w:bottom w:w="15" w:type="dxa"/>
            <w:right w:w="15" w:type="dxa"/>
          </w:tblCellMar>
        </w:tblPrEx>
        <w:trPr>
          <w:tblHeader/>
          <w:jc w:val="center"/>
        </w:trPr>
        <w:tc>
          <w:tcPr>
            <w:tcW w:w="1208" w:type="dxa"/>
            <w:tcBorders>
              <w:top w:val="single" w:color="auto" w:sz="12" w:space="0"/>
              <w:left w:val="nil"/>
              <w:bottom w:val="nil"/>
              <w:right w:val="nil"/>
            </w:tcBorders>
            <w:tcMar>
              <w:top w:w="120" w:type="dxa"/>
              <w:left w:w="-1" w:type="dxa"/>
              <w:bottom w:w="120" w:type="dxa"/>
              <w:right w:w="192" w:type="dxa"/>
            </w:tcMar>
            <w:vAlign w:val="center"/>
          </w:tcPr>
          <w:p w14:paraId="5F25F1D4">
            <w:pPr>
              <w:widowControl/>
              <w:shd w:val="clear" w:color="auto" w:fill="FFFFFF" w:themeFill="background1"/>
              <w:snapToGrid w:val="0"/>
              <w:jc w:val="center"/>
              <w:rPr>
                <w:b/>
                <w:sz w:val="24"/>
              </w:rPr>
            </w:pPr>
            <w:r>
              <w:rPr>
                <w:b/>
                <w:sz w:val="24"/>
              </w:rPr>
              <w:t>AI角</w:t>
            </w:r>
            <w:r>
              <w:rPr>
                <w:rFonts w:hint="eastAsia"/>
                <w:b/>
                <w:sz w:val="24"/>
              </w:rPr>
              <w:t>色</w:t>
            </w:r>
          </w:p>
        </w:tc>
        <w:tc>
          <w:tcPr>
            <w:tcW w:w="7511" w:type="dxa"/>
            <w:tcBorders>
              <w:top w:val="single" w:color="auto" w:sz="12" w:space="0"/>
              <w:left w:val="nil"/>
              <w:bottom w:val="nil"/>
              <w:right w:val="nil"/>
            </w:tcBorders>
            <w:tcMar>
              <w:top w:w="120" w:type="dxa"/>
              <w:left w:w="192" w:type="dxa"/>
              <w:bottom w:w="120" w:type="dxa"/>
              <w:right w:w="192" w:type="dxa"/>
            </w:tcMar>
            <w:vAlign w:val="center"/>
          </w:tcPr>
          <w:p w14:paraId="4DBB34EC">
            <w:pPr>
              <w:widowControl/>
              <w:shd w:val="clear" w:color="auto" w:fill="FFFFFF" w:themeFill="background1"/>
              <w:snapToGrid w:val="0"/>
              <w:jc w:val="center"/>
              <w:rPr>
                <w:b/>
                <w:sz w:val="24"/>
              </w:rPr>
            </w:pPr>
            <w:r>
              <w:rPr>
                <w:b/>
                <w:sz w:val="24"/>
              </w:rPr>
              <w:t>技术分析内容摘录</w:t>
            </w:r>
          </w:p>
        </w:tc>
      </w:tr>
      <w:tr w14:paraId="77AE0523">
        <w:tblPrEx>
          <w:tblCellMar>
            <w:top w:w="15" w:type="dxa"/>
            <w:left w:w="15" w:type="dxa"/>
            <w:bottom w:w="15" w:type="dxa"/>
            <w:right w:w="15" w:type="dxa"/>
          </w:tblCellMar>
        </w:tblPrEx>
        <w:trPr>
          <w:jc w:val="center"/>
        </w:trPr>
        <w:tc>
          <w:tcPr>
            <w:tcW w:w="1208" w:type="dxa"/>
            <w:tcBorders>
              <w:top w:val="single" w:color="auto" w:sz="4" w:space="0"/>
              <w:left w:val="nil"/>
              <w:bottom w:val="nil"/>
              <w:right w:val="nil"/>
            </w:tcBorders>
            <w:tcMar>
              <w:top w:w="120" w:type="dxa"/>
              <w:left w:w="-1" w:type="dxa"/>
              <w:bottom w:w="120" w:type="dxa"/>
              <w:right w:w="192" w:type="dxa"/>
            </w:tcMar>
            <w:vAlign w:val="center"/>
          </w:tcPr>
          <w:p w14:paraId="2BD7B798">
            <w:pPr>
              <w:widowControl/>
              <w:shd w:val="clear" w:color="auto" w:fill="FFFFFF" w:themeFill="background1"/>
              <w:snapToGrid w:val="0"/>
              <w:jc w:val="center"/>
              <w:rPr>
                <w:sz w:val="24"/>
              </w:rPr>
            </w:pPr>
            <w:r>
              <w:rPr>
                <w:sz w:val="24"/>
              </w:rPr>
              <w:t>保守型</w:t>
            </w:r>
          </w:p>
        </w:tc>
        <w:tc>
          <w:tcPr>
            <w:tcW w:w="7511" w:type="dxa"/>
            <w:tcBorders>
              <w:top w:val="single" w:color="auto" w:sz="4" w:space="0"/>
              <w:left w:val="nil"/>
              <w:bottom w:val="nil"/>
              <w:right w:val="nil"/>
            </w:tcBorders>
            <w:tcMar>
              <w:top w:w="120" w:type="dxa"/>
              <w:left w:w="192" w:type="dxa"/>
              <w:bottom w:w="120" w:type="dxa"/>
              <w:right w:w="-1" w:type="dxa"/>
            </w:tcMar>
            <w:vAlign w:val="center"/>
          </w:tcPr>
          <w:p w14:paraId="0DAB176A">
            <w:pPr>
              <w:widowControl/>
              <w:shd w:val="clear" w:color="auto" w:fill="FFFFFF" w:themeFill="background1"/>
              <w:snapToGrid w:val="0"/>
              <w:jc w:val="center"/>
              <w:rPr>
                <w:sz w:val="24"/>
              </w:rPr>
            </w:pPr>
            <w:r>
              <w:rPr>
                <w:sz w:val="24"/>
              </w:rPr>
              <w:t>AAPL当前价格处于20日均线下方，布林带正在收窄，方向尚不明朗。成交量并未放大，倾向于认为此处整理尚未结束，存在破位下行风险。</w:t>
            </w:r>
          </w:p>
        </w:tc>
      </w:tr>
      <w:tr w14:paraId="77BEF6EF">
        <w:tblPrEx>
          <w:tblCellMar>
            <w:top w:w="15" w:type="dxa"/>
            <w:left w:w="15" w:type="dxa"/>
            <w:bottom w:w="15" w:type="dxa"/>
            <w:right w:w="15" w:type="dxa"/>
          </w:tblCellMar>
        </w:tblPrEx>
        <w:trPr>
          <w:jc w:val="center"/>
        </w:trPr>
        <w:tc>
          <w:tcPr>
            <w:tcW w:w="1208" w:type="dxa"/>
            <w:tcBorders>
              <w:top w:val="nil"/>
              <w:left w:val="nil"/>
              <w:bottom w:val="nil"/>
              <w:right w:val="nil"/>
            </w:tcBorders>
            <w:tcMar>
              <w:top w:w="120" w:type="dxa"/>
              <w:left w:w="-1" w:type="dxa"/>
              <w:bottom w:w="120" w:type="dxa"/>
              <w:right w:w="192" w:type="dxa"/>
            </w:tcMar>
            <w:vAlign w:val="center"/>
          </w:tcPr>
          <w:p w14:paraId="6A08026E">
            <w:pPr>
              <w:widowControl/>
              <w:shd w:val="clear" w:color="auto" w:fill="FFFFFF" w:themeFill="background1"/>
              <w:snapToGrid w:val="0"/>
              <w:jc w:val="center"/>
              <w:rPr>
                <w:sz w:val="24"/>
              </w:rPr>
            </w:pPr>
            <w:r>
              <w:rPr>
                <w:sz w:val="24"/>
              </w:rPr>
              <w:t>适中型</w:t>
            </w:r>
          </w:p>
        </w:tc>
        <w:tc>
          <w:tcPr>
            <w:tcW w:w="7511" w:type="dxa"/>
            <w:tcBorders>
              <w:top w:val="nil"/>
              <w:left w:val="nil"/>
              <w:bottom w:val="nil"/>
              <w:right w:val="nil"/>
            </w:tcBorders>
            <w:tcMar>
              <w:top w:w="120" w:type="dxa"/>
              <w:left w:w="192" w:type="dxa"/>
              <w:bottom w:w="120" w:type="dxa"/>
              <w:right w:w="-1" w:type="dxa"/>
            </w:tcMar>
            <w:vAlign w:val="center"/>
          </w:tcPr>
          <w:p w14:paraId="50521365">
            <w:pPr>
              <w:widowControl/>
              <w:shd w:val="clear" w:color="auto" w:fill="FFFFFF" w:themeFill="background1"/>
              <w:snapToGrid w:val="0"/>
              <w:jc w:val="center"/>
              <w:rPr>
                <w:sz w:val="24"/>
              </w:rPr>
            </w:pPr>
            <w:r>
              <w:rPr>
                <w:sz w:val="24"/>
              </w:rPr>
              <w:t>股价在触及布林带下轨后获得支撑，出现了初步的反弹迹象。但20日均线依然构成上方压力，需观察能否有效突破。短期看震荡筑底</w:t>
            </w:r>
            <w:r>
              <w:rPr>
                <w:rFonts w:hint="eastAsia"/>
                <w:sz w:val="24"/>
              </w:rPr>
              <w:t>。</w:t>
            </w:r>
          </w:p>
        </w:tc>
      </w:tr>
      <w:tr w14:paraId="0DF9F1B9">
        <w:tblPrEx>
          <w:tblCellMar>
            <w:top w:w="15" w:type="dxa"/>
            <w:left w:w="15" w:type="dxa"/>
            <w:bottom w:w="15" w:type="dxa"/>
            <w:right w:w="15" w:type="dxa"/>
          </w:tblCellMar>
        </w:tblPrEx>
        <w:trPr>
          <w:jc w:val="center"/>
        </w:trPr>
        <w:tc>
          <w:tcPr>
            <w:tcW w:w="1208" w:type="dxa"/>
            <w:tcBorders>
              <w:top w:val="nil"/>
              <w:left w:val="nil"/>
              <w:bottom w:val="single" w:color="auto" w:sz="12" w:space="0"/>
              <w:right w:val="nil"/>
            </w:tcBorders>
            <w:tcMar>
              <w:top w:w="120" w:type="dxa"/>
              <w:left w:w="-1" w:type="dxa"/>
              <w:bottom w:w="120" w:type="dxa"/>
              <w:right w:w="192" w:type="dxa"/>
            </w:tcMar>
            <w:vAlign w:val="center"/>
          </w:tcPr>
          <w:p w14:paraId="74142894">
            <w:pPr>
              <w:widowControl/>
              <w:shd w:val="clear" w:color="auto" w:fill="FFFFFF" w:themeFill="background1"/>
              <w:snapToGrid w:val="0"/>
              <w:jc w:val="center"/>
              <w:rPr>
                <w:sz w:val="24"/>
              </w:rPr>
            </w:pPr>
            <w:r>
              <w:rPr>
                <w:sz w:val="24"/>
              </w:rPr>
              <w:t>激进型</w:t>
            </w:r>
          </w:p>
        </w:tc>
        <w:tc>
          <w:tcPr>
            <w:tcW w:w="7511" w:type="dxa"/>
            <w:tcBorders>
              <w:top w:val="nil"/>
              <w:left w:val="nil"/>
              <w:bottom w:val="single" w:color="auto" w:sz="12" w:space="0"/>
              <w:right w:val="nil"/>
            </w:tcBorders>
            <w:tcMar>
              <w:top w:w="120" w:type="dxa"/>
              <w:left w:w="192" w:type="dxa"/>
              <w:bottom w:w="120" w:type="dxa"/>
              <w:right w:w="-1" w:type="dxa"/>
            </w:tcMar>
            <w:vAlign w:val="center"/>
          </w:tcPr>
          <w:p w14:paraId="4465BC69">
            <w:pPr>
              <w:widowControl/>
              <w:shd w:val="clear" w:color="auto" w:fill="FFFFFF" w:themeFill="background1"/>
              <w:snapToGrid w:val="0"/>
              <w:jc w:val="center"/>
              <w:rPr>
                <w:sz w:val="24"/>
              </w:rPr>
            </w:pPr>
            <w:r>
              <w:rPr>
                <w:sz w:val="24"/>
              </w:rPr>
              <w:t>RSI指标已从超卖区回升，且5日均线有金叉10日均线的迹象。对此我解读为右侧买点正在形成，可以轻仓位博取反弹收益。</w:t>
            </w:r>
          </w:p>
        </w:tc>
      </w:tr>
    </w:tbl>
    <w:p w14:paraId="48BAF70F">
      <w:pPr>
        <w:spacing w:line="400" w:lineRule="exact"/>
        <w:ind w:firstLine="480" w:firstLineChars="200"/>
        <w:rPr>
          <w:sz w:val="24"/>
        </w:rPr>
      </w:pPr>
    </w:p>
    <w:p w14:paraId="47A4E4C6">
      <w:pPr>
        <w:spacing w:line="400" w:lineRule="exact"/>
        <w:ind w:firstLine="480" w:firstLineChars="200"/>
        <w:rPr>
          <w:sz w:val="24"/>
        </w:rPr>
      </w:pPr>
      <w:r>
        <w:rPr>
          <w:sz w:val="24"/>
        </w:rPr>
        <w:t>由表6-</w:t>
      </w:r>
      <w:r>
        <w:rPr>
          <w:rFonts w:hint="eastAsia"/>
          <w:sz w:val="24"/>
        </w:rPr>
        <w:t>8</w:t>
      </w:r>
      <w:r>
        <w:rPr>
          <w:sz w:val="24"/>
        </w:rPr>
        <w:t>可见，即便面对完全相同的</w:t>
      </w:r>
      <w:r>
        <w:rPr>
          <w:rFonts w:hint="eastAsia"/>
          <w:sz w:val="24"/>
        </w:rPr>
        <w:t>行情数据</w:t>
      </w:r>
      <w:r>
        <w:rPr>
          <w:sz w:val="24"/>
        </w:rPr>
        <w:t>，不同偏好的AI也给出了不</w:t>
      </w:r>
      <w:r>
        <w:rPr>
          <w:rFonts w:hint="eastAsia"/>
          <w:sz w:val="24"/>
        </w:rPr>
        <w:t>尽相</w:t>
      </w:r>
      <w:r>
        <w:rPr>
          <w:sz w:val="24"/>
        </w:rPr>
        <w:t>同的解读。保守型更关注风险信号，适度型寻求平衡确认，而激进型则对反转信号</w:t>
      </w:r>
      <w:r>
        <w:rPr>
          <w:rFonts w:hint="eastAsia"/>
          <w:sz w:val="24"/>
        </w:rPr>
        <w:t>非常</w:t>
      </w:r>
      <w:r>
        <w:rPr>
          <w:sz w:val="24"/>
        </w:rPr>
        <w:t>敏感。这</w:t>
      </w:r>
      <w:r>
        <w:rPr>
          <w:rFonts w:hint="eastAsia"/>
          <w:sz w:val="24"/>
        </w:rPr>
        <w:t>说明了风险偏好</w:t>
      </w:r>
      <w:r>
        <w:rPr>
          <w:sz w:val="24"/>
        </w:rPr>
        <w:t>在</w:t>
      </w:r>
      <w:r>
        <w:rPr>
          <w:rFonts w:hint="eastAsia"/>
          <w:sz w:val="24"/>
        </w:rPr>
        <w:t>AI的行情</w:t>
      </w:r>
      <w:r>
        <w:rPr>
          <w:sz w:val="24"/>
        </w:rPr>
        <w:t>分析风格上</w:t>
      </w:r>
      <w:r>
        <w:rPr>
          <w:rFonts w:hint="eastAsia"/>
          <w:sz w:val="24"/>
        </w:rPr>
        <w:t>也起到了</w:t>
      </w:r>
      <w:r>
        <w:rPr>
          <w:sz w:val="24"/>
        </w:rPr>
        <w:t>有效</w:t>
      </w:r>
      <w:r>
        <w:rPr>
          <w:rFonts w:hint="eastAsia"/>
          <w:sz w:val="24"/>
        </w:rPr>
        <w:t>的</w:t>
      </w:r>
      <w:r>
        <w:rPr>
          <w:sz w:val="24"/>
        </w:rPr>
        <w:t>作用</w:t>
      </w:r>
      <w:r>
        <w:rPr>
          <w:rFonts w:hint="eastAsia"/>
          <w:sz w:val="24"/>
        </w:rPr>
        <w:t>，前端展示AI市场分析如图6-9所示。</w:t>
      </w:r>
    </w:p>
    <w:p w14:paraId="1BE9501B">
      <w:pPr>
        <w:spacing w:line="400" w:lineRule="exact"/>
        <w:ind w:firstLine="480" w:firstLineChars="200"/>
        <w:rPr>
          <w:sz w:val="24"/>
        </w:rPr>
      </w:pPr>
    </w:p>
    <w:p w14:paraId="60B2DCEB">
      <w:pPr>
        <w:jc w:val="center"/>
        <w:rPr>
          <w:sz w:val="24"/>
        </w:rPr>
      </w:pPr>
      <w:r>
        <w:drawing>
          <wp:inline distT="0" distB="0" distL="114300" distR="114300">
            <wp:extent cx="5588635" cy="2279015"/>
            <wp:effectExtent l="0" t="0" r="4445" b="698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56"/>
                    <a:srcRect l="2852" r="3644"/>
                    <a:stretch>
                      <a:fillRect/>
                    </a:stretch>
                  </pic:blipFill>
                  <pic:spPr>
                    <a:xfrm>
                      <a:off x="0" y="0"/>
                      <a:ext cx="5588635" cy="2279015"/>
                    </a:xfrm>
                    <a:prstGeom prst="rect">
                      <a:avLst/>
                    </a:prstGeom>
                    <a:noFill/>
                    <a:ln>
                      <a:noFill/>
                    </a:ln>
                  </pic:spPr>
                </pic:pic>
              </a:graphicData>
            </a:graphic>
          </wp:inline>
        </w:drawing>
      </w:r>
    </w:p>
    <w:p w14:paraId="48D21DA7">
      <w:pPr>
        <w:spacing w:line="400" w:lineRule="exact"/>
        <w:jc w:val="center"/>
        <w:rPr>
          <w:rFonts w:hint="eastAsia" w:ascii="宋体" w:hAnsi="宋体" w:cs="宋体"/>
          <w:szCs w:val="21"/>
          <w:lang w:bidi="ar"/>
        </w:rPr>
      </w:pPr>
      <w:r>
        <w:rPr>
          <w:rFonts w:hint="eastAsia" w:ascii="宋体" w:hAnsi="宋体" w:cs="宋体"/>
          <w:szCs w:val="21"/>
          <w:lang w:bidi="ar"/>
        </w:rPr>
        <w:t>图6.9 市场分析图</w:t>
      </w:r>
    </w:p>
    <w:p w14:paraId="3FC87A4B">
      <w:pPr>
        <w:spacing w:line="400" w:lineRule="exact"/>
        <w:jc w:val="center"/>
        <w:rPr>
          <w:rFonts w:hint="eastAsia" w:ascii="宋体" w:hAnsi="宋体" w:cs="宋体"/>
          <w:szCs w:val="21"/>
          <w:lang w:bidi="ar"/>
        </w:rPr>
      </w:pPr>
    </w:p>
    <w:p w14:paraId="090854EF">
      <w:pPr>
        <w:spacing w:line="400" w:lineRule="exact"/>
        <w:outlineLvl w:val="2"/>
        <w:rPr>
          <w:rFonts w:hint="eastAsia" w:ascii="黑体" w:hAnsi="黑体" w:eastAsia="黑体" w:cs="黑体"/>
          <w:sz w:val="28"/>
          <w:szCs w:val="28"/>
        </w:rPr>
      </w:pPr>
      <w:bookmarkStart w:id="69" w:name="_Toc1885"/>
      <w:r>
        <w:rPr>
          <w:rFonts w:hint="eastAsia" w:ascii="黑体" w:hAnsi="黑体" w:eastAsia="黑体" w:cs="黑体"/>
          <w:sz w:val="28"/>
          <w:szCs w:val="28"/>
        </w:rPr>
        <w:t>6.2.5 交易风险评估功能验证</w:t>
      </w:r>
      <w:bookmarkEnd w:id="69"/>
    </w:p>
    <w:p w14:paraId="1FAF0574">
      <w:pPr>
        <w:spacing w:after="120" w:line="400" w:lineRule="exact"/>
        <w:ind w:firstLine="480" w:firstLineChars="200"/>
        <w:rPr>
          <w:sz w:val="24"/>
        </w:rPr>
      </w:pPr>
      <w:r>
        <w:rPr>
          <w:sz w:val="24"/>
        </w:rPr>
        <w:t>在分析行情之后，AI</w:t>
      </w:r>
      <w:r>
        <w:rPr>
          <w:rFonts w:hint="eastAsia"/>
          <w:sz w:val="24"/>
        </w:rPr>
        <w:t>会</w:t>
      </w:r>
      <w:r>
        <w:rPr>
          <w:sz w:val="24"/>
        </w:rPr>
        <w:t>进一步结合其当前的虚拟持仓和现金状况，对潜在的交易进行风险评估。这一环节是连接“市场分析”与“交易执行”的决策枢纽</w:t>
      </w:r>
      <w:r>
        <w:rPr>
          <w:rFonts w:hint="eastAsia"/>
          <w:sz w:val="24"/>
        </w:rPr>
        <w:t>，也能够让用户拥有不同视角的风险视野，笔者在提示词中添加风险评估的结构化输出</w:t>
      </w:r>
      <w:r>
        <w:rPr>
          <w:sz w:val="24"/>
        </w:rPr>
        <w:t>。</w:t>
      </w:r>
    </w:p>
    <w:p w14:paraId="1871089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"riskAssessment": {</w:t>
      </w:r>
    </w:p>
    <w:p w14:paraId="4362327C">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"riskLevel": "LOW/MEDIUM/HIGH",</w:t>
      </w:r>
    </w:p>
    <w:p w14:paraId="2937A567">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"riskDescription": "风险说明",</w:t>
      </w:r>
    </w:p>
    <w:p w14:paraId="56D1188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"riskControlMeasures": "风控措施",</w:t>
      </w:r>
    </w:p>
    <w:p w14:paraId="2EA741D9">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"expectedReturn": "预期收益",</w:t>
      </w:r>
    </w:p>
    <w:p w14:paraId="6195E1E5">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"maxAcceptableLoss": "最大可承受损失"</w:t>
      </w:r>
    </w:p>
    <w:p w14:paraId="4E07F3A5">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221AD889">
      <w:pPr>
        <w:spacing w:line="400" w:lineRule="exact"/>
        <w:ind w:firstLine="480" w:firstLineChars="200"/>
        <w:rPr>
          <w:sz w:val="24"/>
        </w:rPr>
      </w:pPr>
      <w:r>
        <w:rPr>
          <w:sz w:val="24"/>
        </w:rPr>
        <w:t>AI整合技术状态、自身持仓成本和整体投资组合结构</w:t>
      </w:r>
      <w:r>
        <w:rPr>
          <w:rFonts w:hint="eastAsia"/>
          <w:sz w:val="24"/>
        </w:rPr>
        <w:t>后</w:t>
      </w:r>
      <w:r>
        <w:rPr>
          <w:sz w:val="24"/>
        </w:rPr>
        <w:t>，最终在决策日志中输出了以下风险判断。</w:t>
      </w:r>
    </w:p>
    <w:p w14:paraId="7AF1C034">
      <w:pPr>
        <w:jc w:val="center"/>
        <w:rPr>
          <w:szCs w:val="21"/>
        </w:rPr>
      </w:pPr>
      <w:r>
        <w:drawing>
          <wp:inline distT="0" distB="0" distL="114300" distR="114300">
            <wp:extent cx="5385435" cy="925195"/>
            <wp:effectExtent l="0" t="0" r="9525" b="444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57"/>
                    <a:stretch>
                      <a:fillRect/>
                    </a:stretch>
                  </pic:blipFill>
                  <pic:spPr>
                    <a:xfrm>
                      <a:off x="0" y="0"/>
                      <a:ext cx="5385435" cy="925195"/>
                    </a:xfrm>
                    <a:prstGeom prst="rect">
                      <a:avLst/>
                    </a:prstGeom>
                    <a:noFill/>
                    <a:ln>
                      <a:noFill/>
                    </a:ln>
                  </pic:spPr>
                </pic:pic>
              </a:graphicData>
            </a:graphic>
          </wp:inline>
        </w:drawing>
      </w:r>
      <w:r>
        <w:rPr>
          <w:szCs w:val="21"/>
        </w:rPr>
        <w:t>图6</w:t>
      </w:r>
      <w:r>
        <w:rPr>
          <w:rFonts w:hint="eastAsia"/>
          <w:szCs w:val="21"/>
        </w:rPr>
        <w:t xml:space="preserve">.10 </w:t>
      </w:r>
      <w:r>
        <w:rPr>
          <w:szCs w:val="21"/>
        </w:rPr>
        <w:t>AI风险评估日志展示</w:t>
      </w:r>
    </w:p>
    <w:p w14:paraId="27679330">
      <w:pPr>
        <w:jc w:val="center"/>
        <w:rPr>
          <w:szCs w:val="21"/>
        </w:rPr>
      </w:pPr>
    </w:p>
    <w:p w14:paraId="4B865B7F">
      <w:pPr>
        <w:spacing w:after="120" w:line="400" w:lineRule="exact"/>
        <w:ind w:firstLine="480" w:firstLineChars="200"/>
        <w:rPr>
          <w:rFonts w:ascii="黑体" w:eastAsia="黑体"/>
          <w:sz w:val="30"/>
        </w:rPr>
      </w:pPr>
      <w:r>
        <w:rPr>
          <w:sz w:val="24"/>
        </w:rPr>
        <w:t>这一输出结果证明了AI能够综合技术指标进行复合型风险评估，而非</w:t>
      </w:r>
      <w:r>
        <w:rPr>
          <w:rFonts w:hint="eastAsia"/>
          <w:sz w:val="24"/>
        </w:rPr>
        <w:t>仅仅依赖K线对单只股票进行买卖</w:t>
      </w:r>
      <w:r>
        <w:rPr>
          <w:sz w:val="24"/>
        </w:rPr>
        <w:t>。其输出</w:t>
      </w:r>
      <w:r>
        <w:rPr>
          <w:rFonts w:hint="eastAsia"/>
          <w:sz w:val="24"/>
        </w:rPr>
        <w:t>的</w:t>
      </w:r>
      <w:r>
        <w:rPr>
          <w:sz w:val="24"/>
        </w:rPr>
        <w:t>风险</w:t>
      </w:r>
      <w:r>
        <w:rPr>
          <w:rFonts w:hint="eastAsia"/>
          <w:sz w:val="24"/>
        </w:rPr>
        <w:t>等级</w:t>
      </w:r>
      <w:r>
        <w:rPr>
          <w:sz w:val="24"/>
        </w:rPr>
        <w:t>建议，具备基本的</w:t>
      </w:r>
      <w:r>
        <w:rPr>
          <w:rFonts w:hint="eastAsia"/>
          <w:sz w:val="24"/>
        </w:rPr>
        <w:t>合理</w:t>
      </w:r>
      <w:r>
        <w:rPr>
          <w:sz w:val="24"/>
        </w:rPr>
        <w:t>逻辑，对使用者有一定的参考意义。</w:t>
      </w:r>
    </w:p>
    <w:p w14:paraId="7C7106C7">
      <w:pPr>
        <w:pStyle w:val="11"/>
        <w:spacing w:line="400" w:lineRule="exact"/>
        <w:outlineLvl w:val="1"/>
        <w:rPr>
          <w:rFonts w:ascii="黑体" w:eastAsia="黑体"/>
          <w:sz w:val="30"/>
        </w:rPr>
      </w:pPr>
      <w:bookmarkStart w:id="70" w:name="_Toc2435"/>
      <w:r>
        <w:rPr>
          <w:rFonts w:hint="eastAsia" w:ascii="黑体" w:eastAsia="黑体"/>
          <w:sz w:val="30"/>
        </w:rPr>
        <w:t>6.3 区块链斗兽场功能测试</w:t>
      </w:r>
      <w:bookmarkEnd w:id="70"/>
    </w:p>
    <w:p w14:paraId="171DF2DC">
      <w:pPr>
        <w:pStyle w:val="11"/>
        <w:spacing w:line="400" w:lineRule="exact"/>
        <w:outlineLvl w:val="2"/>
        <w:rPr>
          <w:rFonts w:ascii="黑体" w:eastAsia="黑体"/>
          <w:sz w:val="28"/>
          <w:szCs w:val="28"/>
        </w:rPr>
      </w:pPr>
      <w:bookmarkStart w:id="71" w:name="_Toc2239"/>
      <w:r>
        <w:rPr>
          <w:rFonts w:hint="eastAsia" w:ascii="黑体" w:eastAsia="黑体"/>
          <w:sz w:val="28"/>
          <w:szCs w:val="28"/>
        </w:rPr>
        <w:t>6.3.1 斗兽场配置与启动</w:t>
      </w:r>
      <w:bookmarkEnd w:id="71"/>
    </w:p>
    <w:p w14:paraId="72FAB16B">
      <w:pPr>
        <w:spacing w:line="400" w:lineRule="exact"/>
        <w:ind w:firstLine="480" w:firstLineChars="200"/>
        <w:rPr>
          <w:sz w:val="24"/>
        </w:rPr>
      </w:pPr>
      <w:r>
        <w:rPr>
          <w:sz w:val="24"/>
        </w:rPr>
        <w:t>使用者在斗兽场配置页面分别为三位AI选择模型与风险偏好。</w:t>
      </w:r>
      <w:r>
        <w:rPr>
          <w:rFonts w:hint="eastAsia"/>
          <w:sz w:val="24"/>
        </w:rPr>
        <w:t>配置页面如图6-11所示，用户可以在这里新增、删除AI交易员数量，配置每个AI的模型和风险偏好；’也可以配置三种测试代币的基础数量和总的回合轮数。</w:t>
      </w:r>
    </w:p>
    <w:p w14:paraId="16754B5D">
      <w:pPr>
        <w:spacing w:after="120" w:line="400" w:lineRule="exact"/>
        <w:ind w:firstLine="420" w:firstLineChars="200"/>
        <w:jc w:val="center"/>
        <w:rPr>
          <w:sz w:val="24"/>
        </w:rPr>
      </w:pPr>
      <w:r>
        <w:rPr>
          <w:rFonts w:hint="eastAsia" w:asciiTheme="majorEastAsia" w:hAnsiTheme="majorEastAsia" w:eastAsiaTheme="majorEastAsia" w:cstheme="majorEastAsia"/>
          <w:szCs w:val="21"/>
        </w:rPr>
        <w:t>表6.12 斗兽场测试配置</w:t>
      </w:r>
    </w:p>
    <w:tbl>
      <w:tblPr>
        <w:tblStyle w:val="23"/>
        <w:tblW w:w="871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269"/>
        <w:gridCol w:w="2110"/>
        <w:gridCol w:w="1479"/>
        <w:gridCol w:w="1285"/>
        <w:gridCol w:w="1285"/>
        <w:gridCol w:w="1286"/>
      </w:tblGrid>
      <w:tr w14:paraId="0DDE81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0" w:type="auto"/>
            <w:tcBorders>
              <w:top w:val="single" w:color="auto" w:sz="12" w:space="0"/>
              <w:left w:val="nil"/>
              <w:bottom w:val="nil"/>
              <w:right w:val="nil"/>
            </w:tcBorders>
            <w:tcMar>
              <w:top w:w="-1" w:type="dxa"/>
              <w:left w:w="108" w:type="dxa"/>
              <w:bottom w:w="-1" w:type="dxa"/>
              <w:right w:w="108" w:type="dxa"/>
            </w:tcMar>
            <w:vAlign w:val="center"/>
          </w:tcPr>
          <w:p w14:paraId="2CD8DB12">
            <w:pPr>
              <w:snapToGrid w:val="0"/>
              <w:spacing w:after="120" w:line="400" w:lineRule="exact"/>
              <w:jc w:val="center"/>
              <w:rPr>
                <w:b/>
                <w:sz w:val="24"/>
              </w:rPr>
            </w:pPr>
            <w:r>
              <w:rPr>
                <w:rFonts w:hint="eastAsia"/>
                <w:b/>
                <w:sz w:val="24"/>
              </w:rPr>
              <w:t>·</w:t>
            </w:r>
            <w:r>
              <w:rPr>
                <w:b/>
                <w:sz w:val="24"/>
              </w:rPr>
              <w:t>AI角色</w:t>
            </w:r>
          </w:p>
        </w:tc>
        <w:tc>
          <w:tcPr>
            <w:tcW w:w="0" w:type="auto"/>
            <w:tcBorders>
              <w:top w:val="single" w:color="auto" w:sz="12" w:space="0"/>
              <w:left w:val="nil"/>
              <w:bottom w:val="nil"/>
              <w:right w:val="nil"/>
            </w:tcBorders>
            <w:tcMar>
              <w:top w:w="-1" w:type="dxa"/>
              <w:left w:w="108" w:type="dxa"/>
              <w:bottom w:w="-1" w:type="dxa"/>
              <w:right w:w="108" w:type="dxa"/>
            </w:tcMar>
            <w:vAlign w:val="center"/>
          </w:tcPr>
          <w:p w14:paraId="1659026E">
            <w:pPr>
              <w:snapToGrid w:val="0"/>
              <w:spacing w:after="120" w:line="400" w:lineRule="exact"/>
              <w:jc w:val="center"/>
              <w:rPr>
                <w:b/>
                <w:sz w:val="24"/>
              </w:rPr>
            </w:pPr>
            <w:r>
              <w:rPr>
                <w:b/>
                <w:sz w:val="24"/>
              </w:rPr>
              <w:t>模型</w:t>
            </w:r>
          </w:p>
        </w:tc>
        <w:tc>
          <w:tcPr>
            <w:tcW w:w="0" w:type="auto"/>
            <w:tcBorders>
              <w:top w:val="single" w:color="auto" w:sz="12" w:space="0"/>
              <w:left w:val="nil"/>
              <w:bottom w:val="nil"/>
              <w:right w:val="nil"/>
            </w:tcBorders>
            <w:tcMar>
              <w:top w:w="-1" w:type="dxa"/>
              <w:left w:w="108" w:type="dxa"/>
              <w:bottom w:w="-1" w:type="dxa"/>
              <w:right w:w="108" w:type="dxa"/>
            </w:tcMar>
            <w:vAlign w:val="center"/>
          </w:tcPr>
          <w:p w14:paraId="6FBEF4F9">
            <w:pPr>
              <w:snapToGrid w:val="0"/>
              <w:spacing w:after="120" w:line="400" w:lineRule="exact"/>
              <w:jc w:val="center"/>
              <w:rPr>
                <w:b/>
                <w:sz w:val="24"/>
              </w:rPr>
            </w:pPr>
            <w:r>
              <w:rPr>
                <w:b/>
                <w:sz w:val="24"/>
              </w:rPr>
              <w:t>风险偏好</w:t>
            </w:r>
          </w:p>
        </w:tc>
        <w:tc>
          <w:tcPr>
            <w:tcW w:w="0" w:type="auto"/>
            <w:tcBorders>
              <w:top w:val="single" w:color="auto" w:sz="12" w:space="0"/>
              <w:left w:val="nil"/>
              <w:bottom w:val="nil"/>
              <w:right w:val="nil"/>
            </w:tcBorders>
            <w:tcMar>
              <w:top w:w="-1" w:type="dxa"/>
              <w:left w:w="108" w:type="dxa"/>
              <w:bottom w:w="-1" w:type="dxa"/>
              <w:right w:w="108" w:type="dxa"/>
            </w:tcMar>
            <w:vAlign w:val="center"/>
          </w:tcPr>
          <w:p w14:paraId="0BC8EB72">
            <w:pPr>
              <w:snapToGrid w:val="0"/>
              <w:spacing w:after="120" w:line="400" w:lineRule="exact"/>
              <w:jc w:val="center"/>
              <w:rPr>
                <w:b/>
                <w:sz w:val="24"/>
              </w:rPr>
            </w:pPr>
            <w:r>
              <w:rPr>
                <w:b/>
                <w:sz w:val="24"/>
              </w:rPr>
              <w:t>初始T1</w:t>
            </w:r>
          </w:p>
        </w:tc>
        <w:tc>
          <w:tcPr>
            <w:tcW w:w="0" w:type="auto"/>
            <w:tcBorders>
              <w:top w:val="single" w:color="auto" w:sz="12" w:space="0"/>
              <w:left w:val="nil"/>
              <w:bottom w:val="nil"/>
              <w:right w:val="nil"/>
            </w:tcBorders>
            <w:tcMar>
              <w:top w:w="-1" w:type="dxa"/>
              <w:left w:w="108" w:type="dxa"/>
              <w:bottom w:w="-1" w:type="dxa"/>
              <w:right w:w="108" w:type="dxa"/>
            </w:tcMar>
            <w:vAlign w:val="center"/>
          </w:tcPr>
          <w:p w14:paraId="35FD38F9">
            <w:pPr>
              <w:snapToGrid w:val="0"/>
              <w:spacing w:after="120" w:line="400" w:lineRule="exact"/>
              <w:jc w:val="center"/>
              <w:rPr>
                <w:b/>
                <w:sz w:val="24"/>
              </w:rPr>
            </w:pPr>
            <w:r>
              <w:rPr>
                <w:b/>
                <w:sz w:val="24"/>
              </w:rPr>
              <w:t>初始T2</w:t>
            </w:r>
          </w:p>
        </w:tc>
        <w:tc>
          <w:tcPr>
            <w:tcW w:w="1286" w:type="dxa"/>
            <w:tcBorders>
              <w:top w:val="single" w:color="auto" w:sz="12" w:space="0"/>
              <w:left w:val="nil"/>
              <w:bottom w:val="nil"/>
              <w:right w:val="nil"/>
            </w:tcBorders>
            <w:tcMar>
              <w:top w:w="-1" w:type="dxa"/>
              <w:left w:w="108" w:type="dxa"/>
              <w:bottom w:w="-1" w:type="dxa"/>
              <w:right w:w="108" w:type="dxa"/>
            </w:tcMar>
            <w:vAlign w:val="center"/>
          </w:tcPr>
          <w:p w14:paraId="4E7F8A03">
            <w:pPr>
              <w:snapToGrid w:val="0"/>
              <w:spacing w:after="120" w:line="400" w:lineRule="exact"/>
              <w:jc w:val="center"/>
              <w:rPr>
                <w:b/>
                <w:sz w:val="24"/>
              </w:rPr>
            </w:pPr>
            <w:r>
              <w:rPr>
                <w:b/>
                <w:sz w:val="24"/>
              </w:rPr>
              <w:t>初始T3</w:t>
            </w:r>
          </w:p>
        </w:tc>
      </w:tr>
      <w:tr w14:paraId="2FF84B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0" w:type="auto"/>
            <w:tcBorders>
              <w:top w:val="single" w:color="auto" w:sz="4" w:space="0"/>
              <w:left w:val="nil"/>
              <w:bottom w:val="nil"/>
              <w:right w:val="nil"/>
            </w:tcBorders>
            <w:tcMar>
              <w:top w:w="-1" w:type="dxa"/>
              <w:left w:w="108" w:type="dxa"/>
              <w:bottom w:w="-1" w:type="dxa"/>
              <w:right w:w="108" w:type="dxa"/>
            </w:tcMar>
            <w:vAlign w:val="center"/>
          </w:tcPr>
          <w:p w14:paraId="2C2C9149">
            <w:pPr>
              <w:snapToGrid w:val="0"/>
              <w:spacing w:after="120" w:line="400" w:lineRule="exact"/>
              <w:jc w:val="center"/>
              <w:rPr>
                <w:sz w:val="24"/>
              </w:rPr>
            </w:pPr>
            <w:r>
              <w:rPr>
                <w:sz w:val="24"/>
              </w:rPr>
              <w:t>AI-A</w:t>
            </w:r>
          </w:p>
        </w:tc>
        <w:tc>
          <w:tcPr>
            <w:tcW w:w="0" w:type="auto"/>
            <w:tcBorders>
              <w:top w:val="single" w:color="auto" w:sz="4" w:space="0"/>
              <w:left w:val="nil"/>
              <w:bottom w:val="nil"/>
              <w:right w:val="nil"/>
            </w:tcBorders>
            <w:tcMar>
              <w:top w:w="-1" w:type="dxa"/>
              <w:left w:w="108" w:type="dxa"/>
              <w:bottom w:w="-1" w:type="dxa"/>
              <w:right w:w="108" w:type="dxa"/>
            </w:tcMar>
            <w:vAlign w:val="center"/>
          </w:tcPr>
          <w:p w14:paraId="44CE6BF8">
            <w:pPr>
              <w:snapToGrid w:val="0"/>
              <w:spacing w:after="120" w:line="400" w:lineRule="exact"/>
              <w:jc w:val="center"/>
              <w:rPr>
                <w:sz w:val="24"/>
              </w:rPr>
            </w:pPr>
            <w:r>
              <w:rPr>
                <w:sz w:val="24"/>
              </w:rPr>
              <w:t>通义千问Max</w:t>
            </w:r>
          </w:p>
        </w:tc>
        <w:tc>
          <w:tcPr>
            <w:tcW w:w="0" w:type="auto"/>
            <w:tcBorders>
              <w:top w:val="single" w:color="auto" w:sz="4" w:space="0"/>
              <w:left w:val="nil"/>
              <w:bottom w:val="nil"/>
              <w:right w:val="nil"/>
            </w:tcBorders>
            <w:tcMar>
              <w:top w:w="-1" w:type="dxa"/>
              <w:left w:w="108" w:type="dxa"/>
              <w:bottom w:w="-1" w:type="dxa"/>
              <w:right w:w="108" w:type="dxa"/>
            </w:tcMar>
            <w:vAlign w:val="center"/>
          </w:tcPr>
          <w:p w14:paraId="3E10E9C0">
            <w:pPr>
              <w:snapToGrid w:val="0"/>
              <w:spacing w:after="120" w:line="400" w:lineRule="exact"/>
              <w:jc w:val="center"/>
              <w:rPr>
                <w:sz w:val="24"/>
              </w:rPr>
            </w:pPr>
            <w:r>
              <w:rPr>
                <w:sz w:val="24"/>
              </w:rPr>
              <w:t>保守</w:t>
            </w:r>
          </w:p>
        </w:tc>
        <w:tc>
          <w:tcPr>
            <w:tcW w:w="0" w:type="auto"/>
            <w:tcBorders>
              <w:top w:val="single" w:color="auto" w:sz="4" w:space="0"/>
              <w:left w:val="nil"/>
              <w:bottom w:val="nil"/>
              <w:right w:val="nil"/>
            </w:tcBorders>
            <w:tcMar>
              <w:top w:w="-1" w:type="dxa"/>
              <w:left w:w="108" w:type="dxa"/>
              <w:bottom w:w="-1" w:type="dxa"/>
              <w:right w:w="108" w:type="dxa"/>
            </w:tcMar>
            <w:vAlign w:val="center"/>
          </w:tcPr>
          <w:p w14:paraId="29E450BB">
            <w:pPr>
              <w:snapToGrid w:val="0"/>
              <w:spacing w:after="120" w:line="400" w:lineRule="exact"/>
              <w:jc w:val="center"/>
              <w:rPr>
                <w:sz w:val="24"/>
              </w:rPr>
            </w:pPr>
            <w:r>
              <w:rPr>
                <w:sz w:val="24"/>
              </w:rPr>
              <w:t>1,000</w:t>
            </w:r>
          </w:p>
        </w:tc>
        <w:tc>
          <w:tcPr>
            <w:tcW w:w="0" w:type="auto"/>
            <w:tcBorders>
              <w:top w:val="single" w:color="auto" w:sz="4" w:space="0"/>
              <w:left w:val="nil"/>
              <w:bottom w:val="nil"/>
              <w:right w:val="nil"/>
            </w:tcBorders>
            <w:tcMar>
              <w:top w:w="-1" w:type="dxa"/>
              <w:left w:w="108" w:type="dxa"/>
              <w:bottom w:w="-1" w:type="dxa"/>
              <w:right w:w="108" w:type="dxa"/>
            </w:tcMar>
            <w:vAlign w:val="center"/>
          </w:tcPr>
          <w:p w14:paraId="36F9D194">
            <w:pPr>
              <w:snapToGrid w:val="0"/>
              <w:spacing w:after="120" w:line="400" w:lineRule="exact"/>
              <w:jc w:val="center"/>
              <w:rPr>
                <w:sz w:val="24"/>
              </w:rPr>
            </w:pPr>
            <w:r>
              <w:rPr>
                <w:sz w:val="24"/>
              </w:rPr>
              <w:t>1,000</w:t>
            </w:r>
          </w:p>
        </w:tc>
        <w:tc>
          <w:tcPr>
            <w:tcW w:w="1286" w:type="dxa"/>
            <w:tcBorders>
              <w:top w:val="single" w:color="auto" w:sz="4" w:space="0"/>
              <w:left w:val="nil"/>
              <w:bottom w:val="nil"/>
              <w:right w:val="nil"/>
            </w:tcBorders>
            <w:tcMar>
              <w:top w:w="-1" w:type="dxa"/>
              <w:left w:w="108" w:type="dxa"/>
              <w:bottom w:w="-1" w:type="dxa"/>
              <w:right w:w="108" w:type="dxa"/>
            </w:tcMar>
            <w:vAlign w:val="center"/>
          </w:tcPr>
          <w:p w14:paraId="28E9E4B9">
            <w:pPr>
              <w:snapToGrid w:val="0"/>
              <w:spacing w:after="120" w:line="400" w:lineRule="exact"/>
              <w:jc w:val="center"/>
              <w:rPr>
                <w:sz w:val="24"/>
              </w:rPr>
            </w:pPr>
            <w:r>
              <w:rPr>
                <w:sz w:val="24"/>
              </w:rPr>
              <w:t>1,000</w:t>
            </w:r>
          </w:p>
        </w:tc>
      </w:tr>
      <w:tr w14:paraId="318514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08" w:type="dxa"/>
              <w:bottom w:w="-1" w:type="dxa"/>
              <w:right w:w="108" w:type="dxa"/>
            </w:tcMar>
            <w:vAlign w:val="center"/>
          </w:tcPr>
          <w:p w14:paraId="637158C0">
            <w:pPr>
              <w:snapToGrid w:val="0"/>
              <w:spacing w:after="120" w:line="400" w:lineRule="exact"/>
              <w:jc w:val="center"/>
              <w:rPr>
                <w:sz w:val="24"/>
              </w:rPr>
            </w:pPr>
            <w:r>
              <w:rPr>
                <w:sz w:val="24"/>
              </w:rPr>
              <w:t>AI-B</w:t>
            </w:r>
          </w:p>
        </w:tc>
        <w:tc>
          <w:tcPr>
            <w:tcW w:w="0" w:type="auto"/>
            <w:tcBorders>
              <w:top w:val="nil"/>
              <w:left w:val="nil"/>
              <w:bottom w:val="nil"/>
              <w:right w:val="nil"/>
            </w:tcBorders>
            <w:tcMar>
              <w:top w:w="-1" w:type="dxa"/>
              <w:left w:w="108" w:type="dxa"/>
              <w:bottom w:w="-1" w:type="dxa"/>
              <w:right w:w="108" w:type="dxa"/>
            </w:tcMar>
            <w:vAlign w:val="center"/>
          </w:tcPr>
          <w:p w14:paraId="0E66AFA5">
            <w:pPr>
              <w:snapToGrid w:val="0"/>
              <w:spacing w:after="120" w:line="400" w:lineRule="exact"/>
              <w:jc w:val="center"/>
              <w:rPr>
                <w:sz w:val="24"/>
              </w:rPr>
            </w:pPr>
            <w:r>
              <w:rPr>
                <w:sz w:val="24"/>
              </w:rPr>
              <w:t>ERNIE 5.0</w:t>
            </w:r>
          </w:p>
        </w:tc>
        <w:tc>
          <w:tcPr>
            <w:tcW w:w="0" w:type="auto"/>
            <w:tcBorders>
              <w:top w:val="nil"/>
              <w:left w:val="nil"/>
              <w:bottom w:val="nil"/>
              <w:right w:val="nil"/>
            </w:tcBorders>
            <w:tcMar>
              <w:top w:w="-1" w:type="dxa"/>
              <w:left w:w="108" w:type="dxa"/>
              <w:bottom w:w="-1" w:type="dxa"/>
              <w:right w:w="108" w:type="dxa"/>
            </w:tcMar>
            <w:vAlign w:val="center"/>
          </w:tcPr>
          <w:p w14:paraId="146D0404">
            <w:pPr>
              <w:snapToGrid w:val="0"/>
              <w:spacing w:after="120" w:line="400" w:lineRule="exact"/>
              <w:jc w:val="center"/>
              <w:rPr>
                <w:sz w:val="24"/>
              </w:rPr>
            </w:pPr>
            <w:r>
              <w:rPr>
                <w:sz w:val="24"/>
              </w:rPr>
              <w:t>适中</w:t>
            </w:r>
          </w:p>
        </w:tc>
        <w:tc>
          <w:tcPr>
            <w:tcW w:w="0" w:type="auto"/>
            <w:tcBorders>
              <w:top w:val="nil"/>
              <w:left w:val="nil"/>
              <w:bottom w:val="nil"/>
              <w:right w:val="nil"/>
            </w:tcBorders>
            <w:tcMar>
              <w:top w:w="-1" w:type="dxa"/>
              <w:left w:w="108" w:type="dxa"/>
              <w:bottom w:w="-1" w:type="dxa"/>
              <w:right w:w="108" w:type="dxa"/>
            </w:tcMar>
            <w:vAlign w:val="center"/>
          </w:tcPr>
          <w:p w14:paraId="353FD456">
            <w:pPr>
              <w:snapToGrid w:val="0"/>
              <w:spacing w:after="120" w:line="400" w:lineRule="exact"/>
              <w:jc w:val="center"/>
              <w:rPr>
                <w:sz w:val="24"/>
              </w:rPr>
            </w:pPr>
            <w:r>
              <w:rPr>
                <w:sz w:val="24"/>
              </w:rPr>
              <w:t>1,000</w:t>
            </w:r>
          </w:p>
        </w:tc>
        <w:tc>
          <w:tcPr>
            <w:tcW w:w="0" w:type="auto"/>
            <w:tcBorders>
              <w:top w:val="nil"/>
              <w:left w:val="nil"/>
              <w:bottom w:val="nil"/>
              <w:right w:val="nil"/>
            </w:tcBorders>
            <w:tcMar>
              <w:top w:w="-1" w:type="dxa"/>
              <w:left w:w="108" w:type="dxa"/>
              <w:bottom w:w="-1" w:type="dxa"/>
              <w:right w:w="108" w:type="dxa"/>
            </w:tcMar>
            <w:vAlign w:val="center"/>
          </w:tcPr>
          <w:p w14:paraId="6CC1BAA3">
            <w:pPr>
              <w:snapToGrid w:val="0"/>
              <w:spacing w:after="120" w:line="400" w:lineRule="exact"/>
              <w:jc w:val="center"/>
              <w:rPr>
                <w:sz w:val="24"/>
              </w:rPr>
            </w:pPr>
            <w:r>
              <w:rPr>
                <w:sz w:val="24"/>
              </w:rPr>
              <w:t>1,000</w:t>
            </w:r>
          </w:p>
        </w:tc>
        <w:tc>
          <w:tcPr>
            <w:tcW w:w="1286" w:type="dxa"/>
            <w:tcBorders>
              <w:top w:val="nil"/>
              <w:left w:val="nil"/>
              <w:bottom w:val="nil"/>
              <w:right w:val="nil"/>
            </w:tcBorders>
            <w:tcMar>
              <w:top w:w="-1" w:type="dxa"/>
              <w:left w:w="108" w:type="dxa"/>
              <w:bottom w:w="-1" w:type="dxa"/>
              <w:right w:w="108" w:type="dxa"/>
            </w:tcMar>
            <w:vAlign w:val="center"/>
          </w:tcPr>
          <w:p w14:paraId="5F21DF6C">
            <w:pPr>
              <w:snapToGrid w:val="0"/>
              <w:spacing w:after="120" w:line="400" w:lineRule="exact"/>
              <w:jc w:val="center"/>
              <w:rPr>
                <w:sz w:val="24"/>
              </w:rPr>
            </w:pPr>
            <w:r>
              <w:rPr>
                <w:sz w:val="24"/>
              </w:rPr>
              <w:t>1,000</w:t>
            </w:r>
          </w:p>
        </w:tc>
      </w:tr>
      <w:tr w14:paraId="102E63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1269" w:type="dxa"/>
            <w:tcBorders>
              <w:top w:val="nil"/>
              <w:left w:val="nil"/>
              <w:bottom w:val="single" w:color="auto" w:sz="12" w:space="0"/>
              <w:right w:val="nil"/>
            </w:tcBorders>
            <w:tcMar>
              <w:top w:w="-1" w:type="dxa"/>
              <w:left w:w="108" w:type="dxa"/>
              <w:bottom w:w="-1" w:type="dxa"/>
              <w:right w:w="108" w:type="dxa"/>
            </w:tcMar>
            <w:vAlign w:val="center"/>
          </w:tcPr>
          <w:p w14:paraId="597A7792">
            <w:pPr>
              <w:snapToGrid w:val="0"/>
              <w:spacing w:after="120" w:line="400" w:lineRule="exact"/>
              <w:jc w:val="center"/>
              <w:rPr>
                <w:sz w:val="24"/>
              </w:rPr>
            </w:pPr>
            <w:r>
              <w:rPr>
                <w:sz w:val="24"/>
              </w:rPr>
              <w:t>AI-C</w:t>
            </w:r>
          </w:p>
        </w:tc>
        <w:tc>
          <w:tcPr>
            <w:tcW w:w="2110" w:type="dxa"/>
            <w:tcBorders>
              <w:top w:val="nil"/>
              <w:left w:val="nil"/>
              <w:bottom w:val="single" w:color="auto" w:sz="12" w:space="0"/>
              <w:right w:val="nil"/>
            </w:tcBorders>
            <w:tcMar>
              <w:top w:w="-1" w:type="dxa"/>
              <w:left w:w="108" w:type="dxa"/>
              <w:bottom w:w="-1" w:type="dxa"/>
              <w:right w:w="108" w:type="dxa"/>
            </w:tcMar>
            <w:vAlign w:val="center"/>
          </w:tcPr>
          <w:p w14:paraId="4A4A0A1C">
            <w:pPr>
              <w:snapToGrid w:val="0"/>
              <w:spacing w:after="120" w:line="400" w:lineRule="exact"/>
              <w:jc w:val="center"/>
              <w:rPr>
                <w:sz w:val="24"/>
              </w:rPr>
            </w:pPr>
            <w:r>
              <w:rPr>
                <w:sz w:val="24"/>
              </w:rPr>
              <w:t>GPT-4o-mini</w:t>
            </w:r>
          </w:p>
        </w:tc>
        <w:tc>
          <w:tcPr>
            <w:tcW w:w="1479" w:type="dxa"/>
            <w:tcBorders>
              <w:top w:val="nil"/>
              <w:left w:val="nil"/>
              <w:bottom w:val="single" w:color="auto" w:sz="12" w:space="0"/>
              <w:right w:val="nil"/>
            </w:tcBorders>
            <w:tcMar>
              <w:top w:w="-1" w:type="dxa"/>
              <w:left w:w="108" w:type="dxa"/>
              <w:bottom w:w="-1" w:type="dxa"/>
              <w:right w:w="108" w:type="dxa"/>
            </w:tcMar>
            <w:vAlign w:val="center"/>
          </w:tcPr>
          <w:p w14:paraId="1572A77F">
            <w:pPr>
              <w:snapToGrid w:val="0"/>
              <w:spacing w:after="120" w:line="400" w:lineRule="exact"/>
              <w:jc w:val="center"/>
              <w:rPr>
                <w:sz w:val="24"/>
              </w:rPr>
            </w:pPr>
            <w:r>
              <w:rPr>
                <w:sz w:val="24"/>
              </w:rPr>
              <w:t>激进</w:t>
            </w:r>
          </w:p>
        </w:tc>
        <w:tc>
          <w:tcPr>
            <w:tcW w:w="1285" w:type="dxa"/>
            <w:tcBorders>
              <w:top w:val="nil"/>
              <w:left w:val="nil"/>
              <w:bottom w:val="single" w:color="auto" w:sz="12" w:space="0"/>
              <w:right w:val="nil"/>
            </w:tcBorders>
            <w:tcMar>
              <w:top w:w="-1" w:type="dxa"/>
              <w:left w:w="108" w:type="dxa"/>
              <w:bottom w:w="-1" w:type="dxa"/>
              <w:right w:w="108" w:type="dxa"/>
            </w:tcMar>
            <w:vAlign w:val="center"/>
          </w:tcPr>
          <w:p w14:paraId="6A906603">
            <w:pPr>
              <w:snapToGrid w:val="0"/>
              <w:spacing w:after="120" w:line="400" w:lineRule="exact"/>
              <w:jc w:val="center"/>
              <w:rPr>
                <w:sz w:val="24"/>
              </w:rPr>
            </w:pPr>
            <w:r>
              <w:rPr>
                <w:sz w:val="24"/>
              </w:rPr>
              <w:t>1,000</w:t>
            </w:r>
          </w:p>
        </w:tc>
        <w:tc>
          <w:tcPr>
            <w:tcW w:w="1285" w:type="dxa"/>
            <w:tcBorders>
              <w:top w:val="nil"/>
              <w:left w:val="nil"/>
              <w:bottom w:val="single" w:color="auto" w:sz="12" w:space="0"/>
              <w:right w:val="nil"/>
            </w:tcBorders>
            <w:tcMar>
              <w:top w:w="-1" w:type="dxa"/>
              <w:left w:w="108" w:type="dxa"/>
              <w:bottom w:w="-1" w:type="dxa"/>
              <w:right w:w="108" w:type="dxa"/>
            </w:tcMar>
            <w:vAlign w:val="center"/>
          </w:tcPr>
          <w:p w14:paraId="40A667BE">
            <w:pPr>
              <w:snapToGrid w:val="0"/>
              <w:spacing w:after="120" w:line="400" w:lineRule="exact"/>
              <w:jc w:val="center"/>
              <w:rPr>
                <w:sz w:val="24"/>
              </w:rPr>
            </w:pPr>
            <w:r>
              <w:rPr>
                <w:sz w:val="24"/>
              </w:rPr>
              <w:t>1,000</w:t>
            </w:r>
          </w:p>
        </w:tc>
        <w:tc>
          <w:tcPr>
            <w:tcW w:w="1286" w:type="dxa"/>
            <w:tcBorders>
              <w:top w:val="nil"/>
              <w:left w:val="nil"/>
              <w:bottom w:val="single" w:color="auto" w:sz="12" w:space="0"/>
              <w:right w:val="nil"/>
            </w:tcBorders>
            <w:tcMar>
              <w:top w:w="-1" w:type="dxa"/>
              <w:left w:w="108" w:type="dxa"/>
              <w:bottom w:w="-1" w:type="dxa"/>
              <w:right w:w="108" w:type="dxa"/>
            </w:tcMar>
            <w:vAlign w:val="center"/>
          </w:tcPr>
          <w:p w14:paraId="4AE6B805">
            <w:pPr>
              <w:snapToGrid w:val="0"/>
              <w:spacing w:after="120" w:line="400" w:lineRule="exact"/>
              <w:jc w:val="center"/>
              <w:rPr>
                <w:sz w:val="24"/>
              </w:rPr>
            </w:pPr>
            <w:r>
              <w:rPr>
                <w:sz w:val="24"/>
              </w:rPr>
              <w:t>1,000</w:t>
            </w:r>
          </w:p>
        </w:tc>
      </w:tr>
    </w:tbl>
    <w:p w14:paraId="5E9A84EC">
      <w:pPr>
        <w:spacing w:after="120" w:line="400" w:lineRule="exact"/>
        <w:ind w:firstLine="480" w:firstLineChars="200"/>
        <w:rPr>
          <w:sz w:val="24"/>
        </w:rPr>
      </w:pPr>
      <w:r>
        <w:rPr>
          <w:rFonts w:hint="eastAsia"/>
          <w:sz w:val="24"/>
        </w:rPr>
        <w:t>本次测试选用的测试模型、风险偏好和初始Token如表格6.12所示。</w:t>
      </w:r>
    </w:p>
    <w:p w14:paraId="68EA2919">
      <w:pPr>
        <w:jc w:val="center"/>
      </w:pPr>
      <w:r>
        <w:drawing>
          <wp:inline distT="0" distB="0" distL="114300" distR="114300">
            <wp:extent cx="5279390" cy="2676525"/>
            <wp:effectExtent l="0" t="0" r="0" b="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58"/>
                    <a:srcRect b="5217"/>
                    <a:stretch>
                      <a:fillRect/>
                    </a:stretch>
                  </pic:blipFill>
                  <pic:spPr>
                    <a:xfrm>
                      <a:off x="0" y="0"/>
                      <a:ext cx="5279390" cy="2676525"/>
                    </a:xfrm>
                    <a:prstGeom prst="rect">
                      <a:avLst/>
                    </a:prstGeom>
                    <a:noFill/>
                    <a:ln>
                      <a:noFill/>
                    </a:ln>
                  </pic:spPr>
                </pic:pic>
              </a:graphicData>
            </a:graphic>
          </wp:inline>
        </w:drawing>
      </w:r>
    </w:p>
    <w:p w14:paraId="7A379C57">
      <w:pPr>
        <w:spacing w:line="400" w:lineRule="exact"/>
        <w:ind w:firstLine="420" w:firstLineChars="200"/>
        <w:jc w:val="center"/>
        <w:rPr>
          <w:sz w:val="24"/>
        </w:rPr>
      </w:pPr>
      <w:r>
        <w:rPr>
          <w:szCs w:val="21"/>
        </w:rPr>
        <w:t>图6</w:t>
      </w:r>
      <w:r>
        <w:rPr>
          <w:rFonts w:hint="eastAsia"/>
          <w:szCs w:val="21"/>
        </w:rPr>
        <w:t>.11</w:t>
      </w:r>
      <w:r>
        <w:rPr>
          <w:szCs w:val="21"/>
        </w:rPr>
        <w:t xml:space="preserve"> 斗兽场配置页面</w:t>
      </w:r>
    </w:p>
    <w:p w14:paraId="4275A3E6">
      <w:pPr>
        <w:spacing w:after="120" w:line="400" w:lineRule="exact"/>
        <w:ind w:firstLine="480" w:firstLineChars="200"/>
        <w:rPr>
          <w:rFonts w:ascii="黑体" w:eastAsia="黑体"/>
          <w:sz w:val="32"/>
        </w:rPr>
      </w:pPr>
      <w:r>
        <w:rPr>
          <w:sz w:val="24"/>
        </w:rPr>
        <w:t>配置完成后点击启动，系统初始化三位AI的链上地址，向各地址转入初始代币，并在前端跳转至监控页面。</w:t>
      </w:r>
    </w:p>
    <w:p w14:paraId="361D96C8">
      <w:pPr>
        <w:spacing w:line="400" w:lineRule="exact"/>
        <w:outlineLvl w:val="2"/>
        <w:rPr>
          <w:rFonts w:ascii="黑体" w:eastAsia="黑体"/>
          <w:sz w:val="32"/>
        </w:rPr>
      </w:pPr>
      <w:bookmarkStart w:id="72" w:name="_Toc4085"/>
      <w:r>
        <w:rPr>
          <w:rFonts w:hint="eastAsia" w:ascii="黑体" w:hAnsi="黑体" w:eastAsia="黑体" w:cs="黑体"/>
          <w:sz w:val="28"/>
          <w:szCs w:val="28"/>
        </w:rPr>
        <w:t>6.3.2 博弈过程与资产变化</w:t>
      </w:r>
      <w:bookmarkEnd w:id="72"/>
    </w:p>
    <w:p w14:paraId="282E4389">
      <w:pPr>
        <w:spacing w:after="120" w:line="400" w:lineRule="exact"/>
        <w:ind w:firstLine="480" w:firstLineChars="200"/>
        <w:rPr>
          <w:sz w:val="24"/>
        </w:rPr>
      </w:pPr>
      <w:r>
        <w:rPr>
          <w:rFonts w:hint="eastAsia"/>
          <w:sz w:val="24"/>
        </w:rPr>
        <w:t>本次测试中，</w:t>
      </w:r>
      <w:r>
        <w:rPr>
          <w:sz w:val="24"/>
        </w:rPr>
        <w:t>斗兽场共运行10轮。第一轮中，三位AI并发读取市场数据后按思考速率排序，依次完成代币兑换决策。图6-</w:t>
      </w:r>
      <w:r>
        <w:rPr>
          <w:rFonts w:hint="eastAsia"/>
          <w:sz w:val="24"/>
        </w:rPr>
        <w:t>13</w:t>
      </w:r>
      <w:r>
        <w:rPr>
          <w:sz w:val="24"/>
        </w:rPr>
        <w:t>展示了10轮博弈中三位AI的资产总值（以SET折算）变化曲线。</w:t>
      </w:r>
    </w:p>
    <w:p w14:paraId="11E1A02F">
      <w:pPr>
        <w:jc w:val="center"/>
        <w:rPr>
          <w:sz w:val="24"/>
        </w:rPr>
      </w:pPr>
      <w:r>
        <w:drawing>
          <wp:inline distT="0" distB="0" distL="114300" distR="114300">
            <wp:extent cx="5394960" cy="2997835"/>
            <wp:effectExtent l="0" t="0" r="0" b="444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59"/>
                    <a:stretch>
                      <a:fillRect/>
                    </a:stretch>
                  </pic:blipFill>
                  <pic:spPr>
                    <a:xfrm>
                      <a:off x="0" y="0"/>
                      <a:ext cx="5394960" cy="2997835"/>
                    </a:xfrm>
                    <a:prstGeom prst="rect">
                      <a:avLst/>
                    </a:prstGeom>
                    <a:noFill/>
                    <a:ln>
                      <a:noFill/>
                    </a:ln>
                  </pic:spPr>
                </pic:pic>
              </a:graphicData>
            </a:graphic>
          </wp:inline>
        </w:drawing>
      </w:r>
    </w:p>
    <w:p w14:paraId="17CAF482">
      <w:pPr>
        <w:spacing w:after="120" w:line="400" w:lineRule="exact"/>
        <w:ind w:firstLine="420" w:firstLineChars="200"/>
        <w:jc w:val="center"/>
        <w:rPr>
          <w:szCs w:val="21"/>
        </w:rPr>
      </w:pPr>
      <w:r>
        <w:rPr>
          <w:szCs w:val="21"/>
        </w:rPr>
        <w:t>图6</w:t>
      </w:r>
      <w:r>
        <w:rPr>
          <w:rFonts w:hint="eastAsia"/>
          <w:szCs w:val="21"/>
        </w:rPr>
        <w:t>.13</w:t>
      </w:r>
      <w:r>
        <w:rPr>
          <w:szCs w:val="21"/>
        </w:rPr>
        <w:t xml:space="preserve"> 斗兽场资产总值变化曲线</w:t>
      </w:r>
    </w:p>
    <w:p w14:paraId="6012D300">
      <w:pPr>
        <w:spacing w:line="400" w:lineRule="exact"/>
        <w:outlineLvl w:val="2"/>
        <w:rPr>
          <w:rFonts w:ascii="黑体" w:eastAsia="黑体"/>
          <w:sz w:val="32"/>
        </w:rPr>
      </w:pPr>
      <w:bookmarkStart w:id="73" w:name="_Toc27076"/>
      <w:r>
        <w:rPr>
          <w:rFonts w:hint="eastAsia" w:ascii="黑体" w:hAnsi="黑体" w:eastAsia="黑体" w:cs="黑体"/>
          <w:sz w:val="28"/>
          <w:szCs w:val="28"/>
        </w:rPr>
        <w:t>6.3.3 决策日志与链上记录</w:t>
      </w:r>
      <w:bookmarkEnd w:id="73"/>
    </w:p>
    <w:p w14:paraId="4D35948B">
      <w:pPr>
        <w:spacing w:line="400" w:lineRule="exact"/>
        <w:ind w:firstLine="480" w:firstLineChars="200"/>
      </w:pPr>
      <w:r>
        <w:rPr>
          <w:sz w:val="24"/>
        </w:rPr>
        <w:t>每轮博弈结束后，系统记录AI的决策理由与操作内容，并在前端日志区域展示。同时，测试链上发生的每笔转账均被记录</w:t>
      </w:r>
      <w:r>
        <w:rPr>
          <w:rFonts w:hint="eastAsia"/>
          <w:sz w:val="24"/>
        </w:rPr>
        <w:t>。</w:t>
      </w:r>
    </w:p>
    <w:p w14:paraId="1B9087C4">
      <w:pPr>
        <w:jc w:val="center"/>
        <w:rPr>
          <w:rFonts w:ascii="黑体" w:eastAsia="黑体"/>
          <w:sz w:val="32"/>
        </w:rPr>
      </w:pPr>
      <w:r>
        <w:drawing>
          <wp:inline distT="0" distB="0" distL="114300" distR="114300">
            <wp:extent cx="3864610" cy="2673350"/>
            <wp:effectExtent l="0" t="0" r="2540" b="12700"/>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60"/>
                    <a:stretch>
                      <a:fillRect/>
                    </a:stretch>
                  </pic:blipFill>
                  <pic:spPr>
                    <a:xfrm>
                      <a:off x="0" y="0"/>
                      <a:ext cx="3864610" cy="2673350"/>
                    </a:xfrm>
                    <a:prstGeom prst="rect">
                      <a:avLst/>
                    </a:prstGeom>
                    <a:noFill/>
                    <a:ln>
                      <a:noFill/>
                    </a:ln>
                  </pic:spPr>
                </pic:pic>
              </a:graphicData>
            </a:graphic>
          </wp:inline>
        </w:drawing>
      </w:r>
    </w:p>
    <w:p w14:paraId="12B539EE">
      <w:pPr>
        <w:spacing w:line="400" w:lineRule="exact"/>
        <w:ind w:firstLine="420" w:firstLineChars="200"/>
        <w:jc w:val="center"/>
        <w:rPr>
          <w:szCs w:val="21"/>
        </w:rPr>
      </w:pPr>
      <w:r>
        <w:rPr>
          <w:szCs w:val="21"/>
        </w:rPr>
        <w:t>图6</w:t>
      </w:r>
      <w:r>
        <w:rPr>
          <w:rFonts w:hint="eastAsia"/>
          <w:szCs w:val="21"/>
        </w:rPr>
        <w:t>.14</w:t>
      </w:r>
      <w:r>
        <w:rPr>
          <w:szCs w:val="21"/>
        </w:rPr>
        <w:t xml:space="preserve"> 斗兽场决策日志</w:t>
      </w:r>
    </w:p>
    <w:p w14:paraId="4D7C1D20">
      <w:pPr>
        <w:spacing w:line="400" w:lineRule="exact"/>
        <w:ind w:firstLine="420" w:firstLineChars="200"/>
        <w:jc w:val="center"/>
        <w:rPr>
          <w:szCs w:val="21"/>
        </w:rPr>
      </w:pPr>
    </w:p>
    <w:p w14:paraId="2D764146">
      <w:pPr>
        <w:ind w:firstLine="480"/>
        <w:jc w:val="left"/>
        <w:rPr>
          <w:sz w:val="24"/>
        </w:rPr>
      </w:pPr>
      <w:r>
        <w:rPr>
          <w:rFonts w:hint="eastAsia"/>
          <w:sz w:val="24"/>
        </w:rPr>
        <w:t>图6.15展示的是链上交易记录，包含了每次交易从Agent地址流向管理员地址，再从管理员地址流回Agent地址的交易日志。</w:t>
      </w:r>
    </w:p>
    <w:p w14:paraId="2CB2DC71">
      <w:pPr>
        <w:ind w:firstLine="480"/>
        <w:jc w:val="left"/>
        <w:rPr>
          <w:sz w:val="24"/>
          <w:lang w:val="en-IE"/>
        </w:rPr>
      </w:pPr>
    </w:p>
    <w:p w14:paraId="64BFB5DD">
      <w:pPr>
        <w:jc w:val="center"/>
        <w:rPr>
          <w:rFonts w:ascii="黑体" w:eastAsia="黑体"/>
          <w:sz w:val="32"/>
        </w:rPr>
      </w:pPr>
      <w:r>
        <w:drawing>
          <wp:inline distT="0" distB="0" distL="114300" distR="114300">
            <wp:extent cx="4320540" cy="2970530"/>
            <wp:effectExtent l="0" t="0" r="3810" b="1270"/>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61"/>
                    <a:stretch>
                      <a:fillRect/>
                    </a:stretch>
                  </pic:blipFill>
                  <pic:spPr>
                    <a:xfrm>
                      <a:off x="0" y="0"/>
                      <a:ext cx="4320540" cy="2970530"/>
                    </a:xfrm>
                    <a:prstGeom prst="rect">
                      <a:avLst/>
                    </a:prstGeom>
                    <a:noFill/>
                    <a:ln>
                      <a:noFill/>
                    </a:ln>
                  </pic:spPr>
                </pic:pic>
              </a:graphicData>
            </a:graphic>
          </wp:inline>
        </w:drawing>
      </w:r>
    </w:p>
    <w:p w14:paraId="29B0BED2">
      <w:pPr>
        <w:spacing w:after="120" w:line="400" w:lineRule="exact"/>
        <w:ind w:firstLine="420" w:firstLineChars="200"/>
        <w:jc w:val="center"/>
        <w:rPr>
          <w:szCs w:val="21"/>
        </w:rPr>
      </w:pPr>
      <w:r>
        <w:rPr>
          <w:szCs w:val="21"/>
        </w:rPr>
        <w:t>图6</w:t>
      </w:r>
      <w:r>
        <w:rPr>
          <w:rFonts w:hint="eastAsia"/>
          <w:szCs w:val="21"/>
        </w:rPr>
        <w:t>.15</w:t>
      </w:r>
      <w:r>
        <w:rPr>
          <w:szCs w:val="21"/>
        </w:rPr>
        <w:t xml:space="preserve"> 链上交易记录</w:t>
      </w:r>
    </w:p>
    <w:p w14:paraId="7C954877">
      <w:pPr>
        <w:spacing w:after="120" w:line="400" w:lineRule="exact"/>
        <w:ind w:firstLine="420" w:firstLineChars="200"/>
        <w:jc w:val="center"/>
        <w:rPr>
          <w:szCs w:val="21"/>
        </w:rPr>
      </w:pPr>
    </w:p>
    <w:p w14:paraId="0609F6B1">
      <w:pPr>
        <w:spacing w:after="120" w:line="400" w:lineRule="exact"/>
        <w:ind w:firstLine="480" w:firstLineChars="200"/>
        <w:rPr>
          <w:rFonts w:ascii="黑体" w:eastAsia="黑体"/>
          <w:sz w:val="32"/>
        </w:rPr>
      </w:pPr>
      <w:r>
        <w:rPr>
          <w:sz w:val="24"/>
        </w:rPr>
        <w:t>A</w:t>
      </w:r>
      <w:r>
        <w:rPr>
          <w:rFonts w:hint="eastAsia"/>
          <w:sz w:val="24"/>
        </w:rPr>
        <w:t>gent</w:t>
      </w:r>
      <w:r>
        <w:rPr>
          <w:sz w:val="24"/>
        </w:rPr>
        <w:t>在观察到前两位A</w:t>
      </w:r>
      <w:r>
        <w:rPr>
          <w:rFonts w:hint="eastAsia"/>
          <w:sz w:val="24"/>
        </w:rPr>
        <w:t>gent</w:t>
      </w:r>
      <w:r>
        <w:rPr>
          <w:sz w:val="24"/>
        </w:rPr>
        <w:t>操作引发的价格变动后，基于保守策略</w:t>
      </w:r>
      <w:r>
        <w:rPr>
          <w:rFonts w:hint="eastAsia"/>
          <w:sz w:val="24"/>
        </w:rPr>
        <w:t>选择了轻仓跟入</w:t>
      </w:r>
      <w:r>
        <w:rPr>
          <w:sz w:val="24"/>
        </w:rPr>
        <w:t>，这验证了二次决策机制的有效性——后序Agent能够对前序操作引发的市场变化做出反应。</w:t>
      </w:r>
    </w:p>
    <w:p w14:paraId="4749A8B6">
      <w:pPr>
        <w:pStyle w:val="11"/>
        <w:spacing w:line="400" w:lineRule="exact"/>
        <w:outlineLvl w:val="1"/>
        <w:rPr>
          <w:rFonts w:ascii="黑体" w:eastAsia="黑体"/>
          <w:sz w:val="30"/>
        </w:rPr>
      </w:pPr>
      <w:bookmarkStart w:id="74" w:name="_Toc21360"/>
      <w:r>
        <w:rPr>
          <w:rFonts w:hint="eastAsia" w:ascii="黑体" w:eastAsia="黑体"/>
          <w:sz w:val="30"/>
        </w:rPr>
        <w:t>6.4 本章小结</w:t>
      </w:r>
      <w:bookmarkEnd w:id="74"/>
    </w:p>
    <w:p w14:paraId="6FDA21BC">
      <w:pPr>
        <w:spacing w:after="120" w:line="400" w:lineRule="exact"/>
        <w:ind w:firstLine="480" w:firstLineChars="200"/>
        <w:rPr>
          <w:rFonts w:ascii="黑体" w:eastAsia="黑体"/>
          <w:sz w:val="32"/>
        </w:rPr>
      </w:pPr>
      <w:r>
        <w:rPr>
          <w:sz w:val="24"/>
        </w:rPr>
        <w:t>本章对系统的两个核心功能模块进行了测试与展示。股票辅助交易场景中，不同风险偏好的AI在相同市场条件下给出了差异化的决策，</w:t>
      </w:r>
      <w:r>
        <w:rPr>
          <w:rFonts w:hint="eastAsia"/>
          <w:sz w:val="24"/>
        </w:rPr>
        <w:t>AI对市场的分析和风险评估能够对用户起到一定的参考作用；</w:t>
      </w:r>
      <w:r>
        <w:rPr>
          <w:sz w:val="24"/>
        </w:rPr>
        <w:t>区块链斗兽场中，三位AI在10轮博弈中呈现出与各自偏好相符的资产变化曲线。整体而言，系统各模块运行稳定，达到了预期的设计目标。</w:t>
      </w:r>
    </w:p>
    <w:p w14:paraId="1E4D1E6A">
      <w:pPr>
        <w:spacing w:line="400" w:lineRule="exact"/>
        <w:jc w:val="center"/>
        <w:outlineLvl w:val="0"/>
        <w:rPr>
          <w:rFonts w:ascii="黑体" w:eastAsia="黑体"/>
          <w:sz w:val="32"/>
        </w:rPr>
      </w:pPr>
    </w:p>
    <w:p w14:paraId="0F947864">
      <w:pPr>
        <w:spacing w:line="400" w:lineRule="exact"/>
        <w:jc w:val="center"/>
        <w:outlineLvl w:val="0"/>
        <w:rPr>
          <w:rFonts w:ascii="黑体" w:eastAsia="黑体"/>
          <w:sz w:val="32"/>
        </w:rPr>
        <w:sectPr>
          <w:pgSz w:w="11906" w:h="16838"/>
          <w:pgMar w:top="1701" w:right="1418" w:bottom="1418" w:left="1418" w:header="907" w:footer="851" w:gutter="567"/>
          <w:cols w:space="720" w:num="1"/>
          <w:docGrid w:type="lines" w:linePitch="312" w:charSpace="0"/>
        </w:sectPr>
      </w:pPr>
    </w:p>
    <w:p w14:paraId="4DDB4A6D">
      <w:pPr>
        <w:spacing w:line="400" w:lineRule="exact"/>
        <w:jc w:val="center"/>
        <w:outlineLvl w:val="0"/>
        <w:rPr>
          <w:rFonts w:ascii="黑体" w:eastAsia="黑体"/>
          <w:sz w:val="32"/>
        </w:rPr>
      </w:pPr>
    </w:p>
    <w:p w14:paraId="70C316FB">
      <w:pPr>
        <w:spacing w:line="400" w:lineRule="exact"/>
        <w:jc w:val="center"/>
        <w:outlineLvl w:val="0"/>
        <w:rPr>
          <w:rFonts w:ascii="黑体" w:eastAsia="黑体"/>
          <w:sz w:val="32"/>
        </w:rPr>
      </w:pPr>
      <w:bookmarkStart w:id="75" w:name="_Toc8403"/>
      <w:r>
        <w:rPr>
          <w:rFonts w:hint="eastAsia" w:ascii="黑体" w:eastAsia="黑体"/>
          <w:sz w:val="32"/>
        </w:rPr>
        <w:t>7 总结与展望</w:t>
      </w:r>
      <w:bookmarkEnd w:id="75"/>
    </w:p>
    <w:p w14:paraId="07557DCB">
      <w:pPr>
        <w:spacing w:line="400" w:lineRule="exact"/>
        <w:jc w:val="center"/>
        <w:rPr>
          <w:rFonts w:ascii="黑体" w:eastAsia="黑体"/>
          <w:sz w:val="32"/>
        </w:rPr>
      </w:pPr>
    </w:p>
    <w:p w14:paraId="75C789B8">
      <w:pPr>
        <w:spacing w:line="400" w:lineRule="exact"/>
        <w:outlineLvl w:val="1"/>
        <w:rPr>
          <w:rFonts w:hint="eastAsia" w:ascii="黑体" w:hAnsi="黑体" w:eastAsia="黑体" w:cs="黑体"/>
          <w:sz w:val="28"/>
          <w:szCs w:val="28"/>
        </w:rPr>
      </w:pPr>
      <w:bookmarkStart w:id="76" w:name="_Toc2659"/>
      <w:r>
        <w:rPr>
          <w:rFonts w:hint="eastAsia" w:ascii="黑体" w:hAnsi="黑体" w:eastAsia="黑体" w:cs="黑体"/>
          <w:sz w:val="28"/>
          <w:szCs w:val="28"/>
        </w:rPr>
        <w:t>7.1本文工作总结</w:t>
      </w:r>
      <w:bookmarkEnd w:id="76"/>
    </w:p>
    <w:p w14:paraId="02FB41CC">
      <w:pPr>
        <w:spacing w:line="400" w:lineRule="exact"/>
        <w:ind w:firstLine="480" w:firstLineChars="200"/>
        <w:rPr>
          <w:sz w:val="24"/>
        </w:rPr>
      </w:pPr>
      <w:r>
        <w:rPr>
          <w:rFonts w:hint="eastAsia"/>
          <w:sz w:val="24"/>
        </w:rPr>
        <w:t>本课题构建了一个面向大模型交易行为模拟的复合系统：本系统搭建了真实股票行情与链上代币博弈两种场景，实现了多Agent的并发决策、工具调用与资产结算的完整闭环。其核心工作可概括为以下三点：</w:t>
      </w:r>
    </w:p>
    <w:p w14:paraId="7C17DC96">
      <w:pPr>
        <w:spacing w:line="400" w:lineRule="exact"/>
        <w:ind w:firstLine="480" w:firstLineChars="200"/>
        <w:rPr>
          <w:sz w:val="24"/>
        </w:rPr>
      </w:pPr>
      <w:r>
        <w:rPr>
          <w:rFonts w:hint="eastAsia"/>
          <w:sz w:val="24"/>
        </w:rPr>
        <w:t>其一，深度集成LangChain4j框架与SpringBoot脚手架，以@Tool注解将Java方法提供给Agent使用，并用AiServices代理封装各种模型，使不同厂家的大模型能够在Java生态下调用统一的工具接口并行运作。</w:t>
      </w:r>
    </w:p>
    <w:p w14:paraId="3A767083">
      <w:pPr>
        <w:spacing w:line="400" w:lineRule="exact"/>
        <w:ind w:firstLine="480" w:firstLineChars="200"/>
        <w:rPr>
          <w:sz w:val="24"/>
        </w:rPr>
      </w:pPr>
      <w:r>
        <w:rPr>
          <w:rFonts w:hint="eastAsia"/>
          <w:sz w:val="24"/>
        </w:rPr>
        <w:t>其二，笔者设计了一套链下定价、链上交易的代币博弈机制。三种ERC-20代币的兑换价格由线性冲击公式驱动，该设计将GasFee、流动性深度等复杂变量从系统中剥离，使得笔者不用实现一整个uniswap交易所就能实现链上交易功能，也能够让用户更专注于Agent的推理过程。</w:t>
      </w:r>
    </w:p>
    <w:p w14:paraId="6CC73278">
      <w:pPr>
        <w:spacing w:line="400" w:lineRule="exact"/>
        <w:ind w:firstLine="480" w:firstLineChars="200"/>
        <w:rPr>
          <w:sz w:val="24"/>
        </w:rPr>
      </w:pPr>
      <w:r>
        <w:rPr>
          <w:rFonts w:hint="eastAsia"/>
          <w:sz w:val="24"/>
        </w:rPr>
        <w:t xml:space="preserve">其三，在斗兽场模块中引入了基于思考速率竞争机制。三位代理并发读取数据后，按思考速率排序依次执行交易，并且在二次决策中，后序者可观察到前序操作引发的价格变动。这一设计模拟了真实的交易情况，让程序一次仅执行一笔交易，这既解决了最复杂的线程安全问题，同时也让AI之间产生了博弈。 </w:t>
      </w:r>
    </w:p>
    <w:p w14:paraId="30E8207A">
      <w:pPr>
        <w:pStyle w:val="11"/>
        <w:outlineLvl w:val="1"/>
        <w:rPr>
          <w:rFonts w:ascii="黑体" w:eastAsia="黑体"/>
          <w:sz w:val="30"/>
        </w:rPr>
      </w:pPr>
      <w:bookmarkStart w:id="77" w:name="_Toc17846"/>
      <w:r>
        <w:rPr>
          <w:rFonts w:hint="eastAsia" w:ascii="黑体" w:eastAsia="黑体"/>
          <w:sz w:val="30"/>
        </w:rPr>
        <w:t>7.2 不足与改进方向</w:t>
      </w:r>
      <w:bookmarkEnd w:id="77"/>
    </w:p>
    <w:p w14:paraId="5432BDF6">
      <w:pPr>
        <w:spacing w:line="400" w:lineRule="exact"/>
        <w:ind w:firstLine="480" w:firstLineChars="200"/>
        <w:rPr>
          <w:sz w:val="24"/>
        </w:rPr>
      </w:pPr>
      <w:r>
        <w:rPr>
          <w:rFonts w:hint="eastAsia"/>
          <w:sz w:val="24"/>
        </w:rPr>
        <w:t>现在的系统仍然存在着几项实质性的局限，这些局限点都会影响模拟交易的表现与可推广性。</w:t>
      </w:r>
    </w:p>
    <w:p w14:paraId="39AE77CF">
      <w:pPr>
        <w:spacing w:line="400" w:lineRule="exact"/>
        <w:ind w:firstLine="480" w:firstLineChars="200"/>
        <w:rPr>
          <w:sz w:val="24"/>
        </w:rPr>
      </w:pPr>
      <w:r>
        <w:rPr>
          <w:rFonts w:hint="eastAsia"/>
          <w:sz w:val="24"/>
        </w:rPr>
        <w:t>行情数据的局限。Alpha Vantage的免费API存在限额的情况，无法支撑真实场景下的高频调用，且股票列表配置在本地，不支持动态扩展。后续笔者会调研更多数据源厂商或按需购买API资源，并且将本地配置迭代至线上的配置中心，实现在线扩展股票列表和其他配置。</w:t>
      </w:r>
    </w:p>
    <w:p w14:paraId="75371A2F">
      <w:pPr>
        <w:spacing w:line="400" w:lineRule="exact"/>
        <w:ind w:firstLine="480" w:firstLineChars="200"/>
        <w:rPr>
          <w:sz w:val="24"/>
        </w:rPr>
      </w:pPr>
      <w:r>
        <w:rPr>
          <w:rFonts w:hint="eastAsia"/>
          <w:sz w:val="24"/>
        </w:rPr>
        <w:t>简单的定价模型。真实的去中心化交易所使用恒定乘积公式进行定价，该计算方式会产生非线性的滑点，而本系统使用的线性冲击公式则忽略了真实交易中的非线性滑点，也未引入Gas竞拍、区块确认延迟等链上细节。改进方向是将定价逻辑迁移至链上，实现类似uniswap的交易所功能，使用自动做市商对Token定价，或者使用链上真实的历史价格数据，使定价机制更贴近实际市场的微观情况。</w:t>
      </w:r>
    </w:p>
    <w:p w14:paraId="5DF4830B">
      <w:pPr>
        <w:spacing w:line="400" w:lineRule="exact"/>
        <w:ind w:firstLine="480" w:firstLineChars="200"/>
        <w:rPr>
          <w:sz w:val="24"/>
        </w:rPr>
      </w:pPr>
      <w:r>
        <w:rPr>
          <w:rFonts w:hint="eastAsia"/>
          <w:sz w:val="24"/>
        </w:rPr>
        <w:t>工具集较为单一。当前Agent仅能够通过观测k线图，调用最简单的buy/sell功能，而在真实市场中，往往有很多数据之外的信息能够成为交易决策的重要参考，这些信息同样也是Agent重要的博弈因素。所以笔者后续计划引入更多种类的工具，比如：新闻查询工具、情绪分析工具等等，并且对Agent在信息权限和工具集上进行差异化配置，以呈现出工具和信息差对决策的关键作用。</w:t>
      </w:r>
    </w:p>
    <w:p w14:paraId="08543483">
      <w:pPr>
        <w:spacing w:line="400" w:lineRule="exact"/>
        <w:ind w:firstLine="480" w:firstLineChars="200"/>
        <w:rPr>
          <w:sz w:val="24"/>
        </w:rPr>
      </w:pPr>
      <w:r>
        <w:rPr>
          <w:rFonts w:hint="eastAsia"/>
          <w:sz w:val="24"/>
        </w:rPr>
        <w:t>试验功能不足。 评价指标单一，仅以资产作为评价参考，没有考虑到夏普比率、最大回撤等风险调整后指标；试验操作繁琐，不支持同一配置下的重复试验和统计，回归测试需要手动记录结果。后续计划调研更多绩效指标，集成多维度评价体系，并在实际使用后，对操作交互进行迭代，适配更多场景下的试验需求。</w:t>
      </w:r>
    </w:p>
    <w:p w14:paraId="216F2E34">
      <w:pPr>
        <w:spacing w:line="400" w:lineRule="exact"/>
        <w:ind w:firstLine="480" w:firstLineChars="200"/>
        <w:rPr>
          <w:sz w:val="24"/>
        </w:rPr>
      </w:pPr>
      <w:r>
        <w:rPr>
          <w:rFonts w:hint="eastAsia"/>
          <w:sz w:val="24"/>
        </w:rPr>
        <w:t>上述不足指明了本系统从“可用”向“可靠”演进的努力方向。后续若能继续迭代，本系统有望为大语言模型运用在金融场景的最佳实践。</w:t>
      </w:r>
    </w:p>
    <w:p w14:paraId="414C459A">
      <w:pPr>
        <w:spacing w:line="400" w:lineRule="exact"/>
        <w:rPr>
          <w:rFonts w:hint="eastAsia" w:ascii="宋体" w:hAnsi="宋体"/>
        </w:rPr>
        <w:sectPr>
          <w:headerReference r:id="rId21" w:type="default"/>
          <w:pgSz w:w="11906" w:h="16838"/>
          <w:pgMar w:top="1701" w:right="1418" w:bottom="1418" w:left="1418" w:header="907" w:footer="851" w:gutter="567"/>
          <w:cols w:space="720" w:num="1"/>
          <w:docGrid w:type="lines" w:linePitch="312" w:charSpace="0"/>
        </w:sectPr>
      </w:pPr>
    </w:p>
    <w:p w14:paraId="2616EE14">
      <w:pPr>
        <w:jc w:val="center"/>
        <w:rPr>
          <w:rFonts w:ascii="黑体" w:eastAsia="黑体"/>
          <w:sz w:val="32"/>
          <w:szCs w:val="32"/>
        </w:rPr>
      </w:pPr>
      <w:bookmarkStart w:id="78" w:name="_Toc498921861"/>
      <w:bookmarkStart w:id="79" w:name="_Toc498095667"/>
      <w:bookmarkStart w:id="80" w:name="_Toc498760167"/>
      <w:r>
        <w:rPr>
          <w:rFonts w:hint="eastAsia" w:ascii="黑体" w:eastAsia="黑体"/>
          <w:sz w:val="32"/>
          <w:szCs w:val="32"/>
        </w:rPr>
        <w:t>参 考 文 献</w:t>
      </w:r>
      <w:bookmarkEnd w:id="78"/>
      <w:bookmarkEnd w:id="79"/>
      <w:bookmarkEnd w:id="80"/>
    </w:p>
    <w:p w14:paraId="3870D0B2">
      <w:pPr>
        <w:jc w:val="center"/>
        <w:rPr>
          <w:rFonts w:ascii="黑体" w:eastAsia="黑体"/>
          <w:sz w:val="32"/>
          <w:szCs w:val="32"/>
        </w:rPr>
      </w:pPr>
    </w:p>
    <w:p w14:paraId="3BA9547D">
      <w:pPr>
        <w:wordWrap w:val="0"/>
        <w:spacing w:line="400" w:lineRule="exact"/>
        <w:rPr>
          <w:szCs w:val="21"/>
        </w:rPr>
      </w:pPr>
      <w:r>
        <w:rPr>
          <w:rFonts w:hint="eastAsia"/>
          <w:szCs w:val="21"/>
        </w:rPr>
        <w:t>[1] Hedge funds battle to turn ChatGPT from intern to analyst[N/OL]. Bloomberg, 2024 [2026-05-04]. https://www.ndtvprofit.com/technology/hedge-funds-battle-to-turn-chatgpt-from-intern-to-analyst-9991449.</w:t>
      </w:r>
    </w:p>
    <w:p w14:paraId="749FCBE3">
      <w:pPr>
        <w:wordWrap w:val="0"/>
        <w:spacing w:line="400" w:lineRule="exact"/>
        <w:rPr>
          <w:szCs w:val="21"/>
        </w:rPr>
      </w:pPr>
      <w:r>
        <w:rPr>
          <w:rFonts w:hint="eastAsia"/>
          <w:szCs w:val="21"/>
        </w:rPr>
        <w:t>[2] EVANS B. Bridgewater starts $2 billion fund that uses machine learning for decision-making and will include models from OpenAI, Anthropic and Perplexity[N/OL]. Fortune, 2024-07-01 [2026-05-04]. https://fortune.com/2024/07/01/bridgewater-2-billion-fund-machine-learning-decision-making-openai-anthropic-perplexity/.</w:t>
      </w:r>
    </w:p>
    <w:p w14:paraId="643BAD99">
      <w:pPr>
        <w:wordWrap w:val="0"/>
        <w:spacing w:line="400" w:lineRule="exact"/>
        <w:rPr>
          <w:szCs w:val="21"/>
        </w:rPr>
      </w:pPr>
      <w:r>
        <w:rPr>
          <w:rFonts w:hint="eastAsia"/>
          <w:szCs w:val="21"/>
        </w:rPr>
        <w:t>[3] SON H. JPMorgan is developing a ChatGPT-like AI service that gives investment advice[N/OL]. CNBC, 2023-05-25 [2026-05-04]. https://www.cnbc.com/2023/05/25/jpmorgan-develops-a-chatgpt-like-ai-service-that-gives-investment-advice.html.</w:t>
      </w:r>
    </w:p>
    <w:p w14:paraId="02D4FBE2">
      <w:pPr>
        <w:wordWrap w:val="0"/>
        <w:spacing w:line="400" w:lineRule="exact"/>
        <w:rPr>
          <w:szCs w:val="21"/>
        </w:rPr>
      </w:pPr>
      <w:r>
        <w:rPr>
          <w:rFonts w:hint="eastAsia"/>
          <w:szCs w:val="21"/>
        </w:rPr>
        <w:t>[4] BLOCKWORKS. The 5 biggest DeFi hacks of 2023[EB/OL]. (2023-12-22) [2026-05-04]. https://blockworks.co/news/biggest-defi-hacks-2023.</w:t>
      </w:r>
    </w:p>
    <w:p w14:paraId="42848595">
      <w:pPr>
        <w:wordWrap w:val="0"/>
        <w:spacing w:line="400" w:lineRule="exact"/>
        <w:rPr>
          <w:szCs w:val="21"/>
        </w:rPr>
      </w:pPr>
      <w:r>
        <w:rPr>
          <w:rFonts w:hint="eastAsia"/>
          <w:szCs w:val="21"/>
        </w:rPr>
        <w:t>[5] YANG H, LIU X Y, WANG C D. FinGPT: open-source financial large language models[EB/OL]. arXiv:2306.06031, 2023 [2026-05-04]. https://arxiv.org/abs/2306.06031.</w:t>
      </w:r>
    </w:p>
    <w:p w14:paraId="42245EB1">
      <w:pPr>
        <w:wordWrap w:val="0"/>
        <w:spacing w:line="400" w:lineRule="exact"/>
        <w:rPr>
          <w:szCs w:val="21"/>
        </w:rPr>
      </w:pPr>
      <w:r>
        <w:rPr>
          <w:rFonts w:hint="eastAsia"/>
          <w:szCs w:val="21"/>
        </w:rPr>
        <w:t>[6] LI Y, YU Y, LI H, et al. TradingGPT: multi-agent system with layered memory and distinct characters for enhanced financial trading performance[EB/OL]. arXiv:2309.03736, 2023 [2026-05-04]. https://arxiv.org/abs/2309.03736.</w:t>
      </w:r>
    </w:p>
    <w:p w14:paraId="057A6FE9">
      <w:pPr>
        <w:wordWrap w:val="0"/>
        <w:spacing w:line="400" w:lineRule="exact"/>
        <w:rPr>
          <w:szCs w:val="21"/>
        </w:rPr>
      </w:pPr>
      <w:r>
        <w:rPr>
          <w:rFonts w:hint="eastAsia"/>
          <w:szCs w:val="21"/>
        </w:rPr>
        <w:t>[7] JAVARE P, ROY S. SlipSwap: reduce the slippage that is incurred during the swap of tokens using algorithmic analysis[C]//2021 23rd ACM/IEEE International Workshop on System Level Interconnect Prediction (SLIP). Rotterdam: IEEE, 2021.</w:t>
      </w:r>
    </w:p>
    <w:p w14:paraId="27D8EB5B">
      <w:pPr>
        <w:wordWrap w:val="0"/>
        <w:spacing w:line="400" w:lineRule="exact"/>
        <w:rPr>
          <w:szCs w:val="21"/>
        </w:rPr>
      </w:pPr>
      <w:r>
        <w:rPr>
          <w:rFonts w:hint="eastAsia"/>
          <w:szCs w:val="21"/>
        </w:rPr>
        <w:t>[8] STRUCHKOV I, LUKASHIN A, KUZNETSOV B, et al. Agent-based modeling of blockchain decentralized financial protocols[C]//29th Conference of Open Innovations Association (FRUCT 2021). Tampere, Finland: IEEE, 2021: 337-343. DOI:10.23919/FRUCT52173.2021.9435601.</w:t>
      </w:r>
    </w:p>
    <w:p w14:paraId="7D351C15">
      <w:pPr>
        <w:wordWrap w:val="0"/>
        <w:spacing w:line="400" w:lineRule="exact"/>
        <w:rPr>
          <w:szCs w:val="21"/>
        </w:rPr>
      </w:pPr>
      <w:r>
        <w:rPr>
          <w:rFonts w:hint="eastAsia"/>
          <w:szCs w:val="21"/>
        </w:rPr>
        <w:t>[9] ZHANG C, LIU X Y, JIN M Y, et al. When AI meets finance (StockAgent): large language model-based stock trading in simulated real-world environments[EB/OL]. (2024-07-15) [2026-05-04]. https://arxiv.org/abs/2407.18957.</w:t>
      </w:r>
    </w:p>
    <w:p w14:paraId="6C49F7A5">
      <w:pPr>
        <w:wordWrap w:val="0"/>
        <w:spacing w:line="400" w:lineRule="exact"/>
        <w:rPr>
          <w:szCs w:val="21"/>
        </w:rPr>
      </w:pPr>
      <w:r>
        <w:rPr>
          <w:rFonts w:hint="eastAsia"/>
          <w:szCs w:val="21"/>
        </w:rPr>
        <w:t>[10] 何杉杉，周雅兰，郭宇阳. 基于LSTM和DDPG的股票交易决策算法[J/OL]. 南京大学学报(自然科学)，2024，60(6)：940-953 [2026-05-04]. DOI:10.13232/j.cnki.jnju.2024.06.006.</w:t>
      </w:r>
    </w:p>
    <w:p w14:paraId="0755CFDE">
      <w:pPr>
        <w:wordWrap w:val="0"/>
        <w:spacing w:line="400" w:lineRule="exact"/>
        <w:rPr>
          <w:szCs w:val="21"/>
        </w:rPr>
      </w:pPr>
      <w:r>
        <w:rPr>
          <w:rFonts w:hint="eastAsia"/>
          <w:szCs w:val="21"/>
        </w:rPr>
        <w:t>[11] Pivotal Software. Spring Boot documentation[EB/OL]. [2026-05-04]. https://spring.io/projects/spring-boot.</w:t>
      </w:r>
    </w:p>
    <w:p w14:paraId="40F9F2DA">
      <w:pPr>
        <w:wordWrap w:val="0"/>
        <w:spacing w:line="400" w:lineRule="exact"/>
        <w:rPr>
          <w:szCs w:val="21"/>
        </w:rPr>
      </w:pPr>
      <w:r>
        <w:rPr>
          <w:rFonts w:hint="eastAsia"/>
          <w:szCs w:val="21"/>
        </w:rPr>
        <w:t>[12] YOU Y X. Vue 3 documentation[EB/OL]. [2026-05-04]. https://vuejs.org/.</w:t>
      </w:r>
    </w:p>
    <w:p w14:paraId="2BD76388">
      <w:pPr>
        <w:wordWrap w:val="0"/>
        <w:spacing w:line="400" w:lineRule="exact"/>
        <w:rPr>
          <w:szCs w:val="21"/>
        </w:rPr>
      </w:pPr>
      <w:r>
        <w:rPr>
          <w:rFonts w:hint="eastAsia"/>
          <w:szCs w:val="21"/>
        </w:rPr>
        <w:t>[13] Alpha Vantage Inc. Alpha Vantage API documentation[EB/OL]. [2026-05-04]. https://www.alphavantage.co/documentation/.</w:t>
      </w:r>
    </w:p>
    <w:p w14:paraId="4DE1185A">
      <w:pPr>
        <w:wordWrap w:val="0"/>
        <w:spacing w:line="400" w:lineRule="exact"/>
        <w:rPr>
          <w:szCs w:val="21"/>
        </w:rPr>
      </w:pPr>
      <w:r>
        <w:rPr>
          <w:rFonts w:hint="eastAsia"/>
          <w:szCs w:val="21"/>
        </w:rPr>
        <w:t>[14] LangChain4j. LangChain4j documentation[EB/OL]. [2026-05-04]. https://docs.langchain4j.dev/.</w:t>
      </w:r>
    </w:p>
    <w:p w14:paraId="6B3D58BF">
      <w:pPr>
        <w:wordWrap w:val="0"/>
        <w:spacing w:line="400" w:lineRule="exact"/>
        <w:rPr>
          <w:szCs w:val="21"/>
        </w:rPr>
      </w:pPr>
      <w:r>
        <w:rPr>
          <w:rFonts w:hint="eastAsia"/>
          <w:szCs w:val="21"/>
        </w:rPr>
        <w:t>[15] VOGELSTELLER F, BUTERIN V. ERC-20: token standard[EB/OL]. Ethereum Improvement Proposals, no. 20, 2015-11-19 [2026-05-04]. https://eips.ethereum.org/EIPS/eip-20.</w:t>
      </w:r>
    </w:p>
    <w:p w14:paraId="5353DA8D">
      <w:pPr>
        <w:wordWrap w:val="0"/>
        <w:spacing w:line="400" w:lineRule="exact"/>
        <w:rPr>
          <w:szCs w:val="21"/>
        </w:rPr>
      </w:pPr>
      <w:r>
        <w:rPr>
          <w:rFonts w:hint="eastAsia"/>
          <w:szCs w:val="21"/>
        </w:rPr>
        <w:t>[16] Web3j. Web3j documentation[EB/OL]. [2026-05-04]. https://docs.web3j.io/.</w:t>
      </w:r>
    </w:p>
    <w:p w14:paraId="32D39246">
      <w:pPr>
        <w:wordWrap w:val="0"/>
        <w:spacing w:line="400" w:lineRule="exact"/>
        <w:rPr>
          <w:szCs w:val="21"/>
        </w:rPr>
      </w:pPr>
      <w:r>
        <w:rPr>
          <w:rFonts w:hint="eastAsia"/>
          <w:szCs w:val="21"/>
        </w:rPr>
        <w:t>[17] Truffle Suite. Ganache documentation[EB/OL]. [2026-05-04]. https://trufflesuite.com/docs/ganache/.</w:t>
      </w:r>
    </w:p>
    <w:p w14:paraId="06FA2DE9">
      <w:pPr>
        <w:wordWrap w:val="0"/>
        <w:spacing w:line="400" w:lineRule="exact"/>
        <w:rPr>
          <w:szCs w:val="21"/>
        </w:rPr>
      </w:pPr>
      <w:r>
        <w:rPr>
          <w:rFonts w:hint="eastAsia"/>
          <w:szCs w:val="21"/>
        </w:rPr>
        <w:t>[18] The Apache Software Foundation. Apache Commons Math user guide[EB/OL]. [2026-05-04]. https://commons.apache.org/proper/commons-math/.</w:t>
      </w:r>
    </w:p>
    <w:p w14:paraId="3ED1C514">
      <w:pPr>
        <w:wordWrap w:val="0"/>
        <w:spacing w:line="400" w:lineRule="exact"/>
        <w:rPr>
          <w:szCs w:val="21"/>
        </w:rPr>
      </w:pPr>
      <w:r>
        <w:rPr>
          <w:rFonts w:hint="eastAsia"/>
          <w:szCs w:val="21"/>
        </w:rPr>
        <w:t>[19] OpenAI. GPT-4o mini model documentation[EB/OL]. [2026-05-04]. https://platform.openai.com/docs/models/gpt-4o-mini.</w:t>
      </w:r>
    </w:p>
    <w:p w14:paraId="0D7B00A1">
      <w:pPr>
        <w:spacing w:line="400" w:lineRule="exact"/>
        <w:jc w:val="left"/>
        <w:rPr>
          <w:szCs w:val="21"/>
        </w:rPr>
      </w:pPr>
    </w:p>
    <w:p w14:paraId="13883195">
      <w:pPr>
        <w:spacing w:line="400" w:lineRule="exact"/>
        <w:ind w:left="420" w:hanging="420" w:hangingChars="200"/>
        <w:jc w:val="left"/>
        <w:rPr>
          <w:szCs w:val="21"/>
        </w:rPr>
      </w:pPr>
    </w:p>
    <w:p w14:paraId="6AE2E6F6">
      <w:pPr>
        <w:spacing w:line="400" w:lineRule="exact"/>
        <w:jc w:val="left"/>
        <w:sectPr>
          <w:headerReference r:id="rId22" w:type="default"/>
          <w:pgSz w:w="11906" w:h="16838"/>
          <w:pgMar w:top="1701" w:right="1418" w:bottom="1418" w:left="1418" w:header="907" w:footer="851" w:gutter="567"/>
          <w:cols w:space="720" w:num="1"/>
          <w:docGrid w:type="lines" w:linePitch="312" w:charSpace="0"/>
        </w:sectPr>
      </w:pPr>
    </w:p>
    <w:p w14:paraId="1DC3504C">
      <w:pPr>
        <w:spacing w:line="400" w:lineRule="exact"/>
        <w:jc w:val="left"/>
        <w:rPr>
          <w:rFonts w:hint="eastAsia" w:ascii="宋体" w:hAnsi="宋体"/>
          <w:sz w:val="24"/>
        </w:rPr>
      </w:pPr>
    </w:p>
    <w:p w14:paraId="68EC40DC">
      <w:pPr>
        <w:spacing w:line="400" w:lineRule="exact"/>
        <w:jc w:val="center"/>
        <w:outlineLvl w:val="0"/>
        <w:rPr>
          <w:rFonts w:hint="eastAsia" w:ascii="黑体" w:hAnsi="黑体" w:eastAsia="黑体"/>
          <w:sz w:val="32"/>
          <w:szCs w:val="32"/>
        </w:rPr>
      </w:pPr>
      <w:bookmarkStart w:id="81" w:name="_Toc9251"/>
      <w:r>
        <w:rPr>
          <w:rFonts w:hint="eastAsia" w:ascii="黑体" w:hAnsi="黑体" w:eastAsia="黑体"/>
          <w:sz w:val="32"/>
          <w:szCs w:val="32"/>
        </w:rPr>
        <w:t>致  谢</w:t>
      </w:r>
      <w:bookmarkEnd w:id="81"/>
    </w:p>
    <w:p w14:paraId="4A811C2D">
      <w:pPr>
        <w:spacing w:line="400" w:lineRule="exact"/>
        <w:jc w:val="center"/>
        <w:outlineLvl w:val="0"/>
        <w:rPr>
          <w:rFonts w:hint="eastAsia" w:ascii="黑体" w:hAnsi="黑体" w:eastAsia="黑体"/>
          <w:sz w:val="32"/>
          <w:szCs w:val="32"/>
        </w:rPr>
      </w:pPr>
    </w:p>
    <w:p w14:paraId="5622C589">
      <w:pPr>
        <w:spacing w:line="400" w:lineRule="exact"/>
        <w:ind w:firstLine="480" w:firstLineChars="200"/>
        <w:jc w:val="left"/>
        <w:rPr>
          <w:rFonts w:hint="eastAsia" w:ascii="宋体" w:hAnsi="宋体"/>
          <w:sz w:val="24"/>
        </w:rPr>
      </w:pPr>
      <w:r>
        <w:rPr>
          <w:rFonts w:hint="eastAsia" w:ascii="宋体" w:hAnsi="宋体"/>
          <w:sz w:val="24"/>
        </w:rPr>
        <w:t>时光荏苒，大学四年的学习即将落下帷幕。本毕业设计的完成，不仅是对我大学四年所学的总结，更离不开在此期间给予我帮助的和支持的老师、同学和家人。</w:t>
      </w:r>
    </w:p>
    <w:p w14:paraId="0F00F4C9">
      <w:pPr>
        <w:spacing w:line="400" w:lineRule="exact"/>
        <w:ind w:firstLine="480" w:firstLineChars="200"/>
        <w:jc w:val="left"/>
        <w:rPr>
          <w:rFonts w:hint="eastAsia" w:ascii="宋体" w:hAnsi="宋体" w:cs="宋体"/>
          <w:sz w:val="24"/>
        </w:rPr>
      </w:pPr>
      <w:r>
        <w:rPr>
          <w:rFonts w:hint="eastAsia" w:ascii="宋体" w:hAnsi="宋体"/>
          <w:sz w:val="24"/>
        </w:rPr>
        <w:t>首先我要真挚感谢我的指导老师桑军，</w:t>
      </w:r>
      <w:r>
        <w:rPr>
          <w:rFonts w:ascii="宋体" w:hAnsi="宋体" w:cs="宋体"/>
          <w:sz w:val="24"/>
        </w:rPr>
        <w:t>在论文的选题与撰写过程中</w:t>
      </w:r>
      <w:r>
        <w:rPr>
          <w:rFonts w:hint="eastAsia" w:ascii="宋体" w:hAnsi="宋体" w:cs="宋体"/>
          <w:sz w:val="24"/>
        </w:rPr>
        <w:t>，桑军</w:t>
      </w:r>
      <w:r>
        <w:rPr>
          <w:rFonts w:ascii="宋体" w:hAnsi="宋体" w:cs="宋体"/>
          <w:sz w:val="24"/>
        </w:rPr>
        <w:t>老师给予了宏观方向上的建议。其严谨的学术作风和对专业领域的深刻理解，为我开展系统研发工作提供了重要的参考。在此，向老师表达诚挚的敬意</w:t>
      </w:r>
      <w:r>
        <w:rPr>
          <w:rFonts w:hint="eastAsia" w:ascii="宋体" w:hAnsi="宋体" w:cs="宋体"/>
          <w:sz w:val="24"/>
        </w:rPr>
        <w:t>。</w:t>
      </w:r>
    </w:p>
    <w:p w14:paraId="32BB7898">
      <w:pPr>
        <w:spacing w:line="400" w:lineRule="exact"/>
        <w:ind w:firstLine="480" w:firstLineChars="200"/>
        <w:jc w:val="left"/>
        <w:rPr>
          <w:rFonts w:hint="eastAsia" w:ascii="宋体" w:hAnsi="宋体" w:cs="宋体"/>
          <w:sz w:val="24"/>
        </w:rPr>
      </w:pPr>
      <w:r>
        <w:rPr>
          <w:rFonts w:hint="eastAsia" w:ascii="宋体" w:hAnsi="宋体" w:cs="宋体"/>
          <w:sz w:val="24"/>
        </w:rPr>
        <w:t>其次，我要感谢我的同学们，他们在我专业知识学习和就业方向上起到了非常大的帮助，我们共同探讨技术难题，大家的建议帮助我克服工作中的困难。</w:t>
      </w:r>
    </w:p>
    <w:p w14:paraId="5D0E3430">
      <w:pPr>
        <w:spacing w:line="400" w:lineRule="exact"/>
        <w:ind w:firstLine="480" w:firstLineChars="200"/>
        <w:jc w:val="left"/>
        <w:rPr>
          <w:rFonts w:hint="eastAsia" w:ascii="宋体" w:hAnsi="宋体" w:cs="宋体"/>
          <w:sz w:val="24"/>
          <w:lang w:val="en-IE"/>
        </w:rPr>
      </w:pPr>
      <w:r>
        <w:rPr>
          <w:rFonts w:hint="eastAsia" w:ascii="宋体" w:hAnsi="宋体" w:cs="宋体"/>
          <w:sz w:val="24"/>
        </w:rPr>
        <w:t>最后我要向我的家人表达最深切的谢意。</w:t>
      </w:r>
      <w:r>
        <w:rPr>
          <w:rFonts w:ascii="宋体" w:hAnsi="宋体" w:cs="宋体"/>
          <w:sz w:val="24"/>
        </w:rPr>
        <w:t>感谢</w:t>
      </w:r>
      <w:r>
        <w:rPr>
          <w:rFonts w:hint="eastAsia" w:ascii="宋体" w:hAnsi="宋体" w:cs="宋体"/>
          <w:sz w:val="24"/>
        </w:rPr>
        <w:t>你们从我幼时起就</w:t>
      </w:r>
      <w:r>
        <w:rPr>
          <w:rFonts w:ascii="宋体" w:hAnsi="宋体" w:cs="宋体"/>
          <w:sz w:val="24"/>
        </w:rPr>
        <w:t>在学业上无条件</w:t>
      </w:r>
      <w:r>
        <w:rPr>
          <w:rFonts w:hint="eastAsia" w:ascii="宋体" w:hAnsi="宋体" w:cs="宋体"/>
          <w:sz w:val="24"/>
        </w:rPr>
        <w:t>地</w:t>
      </w:r>
      <w:r>
        <w:rPr>
          <w:rFonts w:ascii="宋体" w:hAnsi="宋体" w:cs="宋体"/>
          <w:sz w:val="24"/>
        </w:rPr>
        <w:t>支持与理解</w:t>
      </w:r>
      <w:r>
        <w:rPr>
          <w:rFonts w:hint="eastAsia" w:ascii="宋体" w:hAnsi="宋体" w:cs="宋体"/>
          <w:sz w:val="24"/>
        </w:rPr>
        <w:t>我</w:t>
      </w:r>
      <w:r>
        <w:rPr>
          <w:rFonts w:ascii="宋体" w:hAnsi="宋体" w:cs="宋体"/>
          <w:sz w:val="24"/>
        </w:rPr>
        <w:t>，让我能够全身心地投入到学习中</w:t>
      </w:r>
      <w:r>
        <w:rPr>
          <w:rFonts w:hint="eastAsia" w:ascii="宋体" w:hAnsi="宋体" w:cs="宋体"/>
          <w:sz w:val="24"/>
        </w:rPr>
        <w:t>；感谢你们在我本科期间，支持我选择的职业道路，相信我的决定。</w:t>
      </w:r>
    </w:p>
    <w:p w14:paraId="04F4EE88">
      <w:pPr>
        <w:spacing w:line="400" w:lineRule="exact"/>
        <w:ind w:firstLine="480" w:firstLineChars="200"/>
        <w:jc w:val="left"/>
        <w:rPr>
          <w:rFonts w:hint="eastAsia" w:ascii="宋体" w:hAnsi="宋体" w:cs="宋体"/>
          <w:sz w:val="24"/>
        </w:rPr>
      </w:pPr>
      <w:r>
        <w:rPr>
          <w:rFonts w:ascii="宋体" w:hAnsi="宋体" w:cs="宋体"/>
          <w:sz w:val="24"/>
        </w:rPr>
        <w:t>由于本人水平有限，论文中难免存在疏漏之处，恳请各位评审老师批评指正</w:t>
      </w:r>
      <w:r>
        <w:rPr>
          <w:rFonts w:hint="eastAsia" w:ascii="宋体" w:hAnsi="宋体" w:cs="宋体"/>
          <w:sz w:val="24"/>
        </w:rPr>
        <w:t>。</w:t>
      </w:r>
    </w:p>
    <w:p w14:paraId="436F89C2">
      <w:pPr>
        <w:spacing w:line="400" w:lineRule="exact"/>
        <w:jc w:val="left"/>
        <w:rPr>
          <w:rFonts w:hint="eastAsia" w:ascii="宋体" w:hAnsi="宋体"/>
          <w:sz w:val="24"/>
        </w:rPr>
      </w:pPr>
    </w:p>
    <w:p w14:paraId="2904B3B7">
      <w:pPr>
        <w:spacing w:line="400" w:lineRule="exact"/>
        <w:jc w:val="left"/>
        <w:rPr>
          <w:rFonts w:hint="eastAsia" w:ascii="宋体" w:hAnsi="宋体"/>
          <w:sz w:val="24"/>
        </w:rPr>
      </w:pPr>
    </w:p>
    <w:p w14:paraId="346F3DF6">
      <w:pPr>
        <w:spacing w:line="400" w:lineRule="exact"/>
        <w:jc w:val="left"/>
        <w:rPr>
          <w:rFonts w:hint="eastAsia" w:ascii="宋体" w:hAnsi="宋体"/>
          <w:sz w:val="24"/>
        </w:rPr>
      </w:pPr>
    </w:p>
    <w:p w14:paraId="2AA8CEF9">
      <w:pPr>
        <w:spacing w:line="400" w:lineRule="exact"/>
        <w:jc w:val="left"/>
        <w:sectPr>
          <w:headerReference r:id="rId23" w:type="default"/>
          <w:pgSz w:w="11906" w:h="16838"/>
          <w:pgMar w:top="1701" w:right="1418" w:bottom="1418" w:left="1418" w:header="907" w:footer="851" w:gutter="567"/>
          <w:cols w:space="720" w:num="1"/>
          <w:docGrid w:type="lines" w:linePitch="312" w:charSpace="0"/>
        </w:sectPr>
      </w:pPr>
      <w:r>
        <w:rPr>
          <w:rFonts w:hint="eastAsia"/>
        </w:rPr>
        <w:t xml:space="preserve">   </w:t>
      </w:r>
    </w:p>
    <w:p w14:paraId="291900AC">
      <w:pPr>
        <w:spacing w:line="400" w:lineRule="exact"/>
      </w:pPr>
    </w:p>
    <w:p w14:paraId="3F3B94A3">
      <w:pPr>
        <w:spacing w:line="400" w:lineRule="exact"/>
        <w:jc w:val="center"/>
        <w:outlineLvl w:val="0"/>
        <w:rPr>
          <w:rFonts w:hint="eastAsia" w:ascii="黑体" w:hAnsi="黑体" w:eastAsia="黑体"/>
          <w:sz w:val="32"/>
          <w:szCs w:val="32"/>
        </w:rPr>
      </w:pPr>
      <w:bookmarkStart w:id="82" w:name="_Toc11868"/>
      <w:r>
        <w:rPr>
          <w:rFonts w:hint="eastAsia" w:ascii="黑体" w:hAnsi="黑体" w:eastAsia="黑体"/>
          <w:sz w:val="32"/>
          <w:szCs w:val="32"/>
        </w:rPr>
        <w:t>原创性声明</w:t>
      </w:r>
      <w:bookmarkEnd w:id="82"/>
    </w:p>
    <w:p w14:paraId="6BC1F5FF">
      <w:pPr>
        <w:spacing w:line="400" w:lineRule="exact"/>
        <w:jc w:val="left"/>
        <w:rPr>
          <w:rFonts w:hint="eastAsia" w:ascii="黑体" w:hAnsi="黑体" w:eastAsia="黑体"/>
          <w:sz w:val="32"/>
          <w:szCs w:val="32"/>
        </w:rPr>
      </w:pPr>
    </w:p>
    <w:p w14:paraId="0B072E1A">
      <w:pPr>
        <w:spacing w:line="400" w:lineRule="exact"/>
        <w:ind w:firstLine="360" w:firstLineChars="150"/>
        <w:jc w:val="left"/>
        <w:rPr>
          <w:rFonts w:hint="eastAsia" w:ascii="宋体" w:hAnsi="宋体"/>
          <w:sz w:val="24"/>
        </w:rPr>
      </w:pPr>
      <w:r>
        <w:rPr>
          <w:rFonts w:hint="eastAsia" w:ascii="宋体" w:hAnsi="宋体"/>
          <w:sz w:val="24"/>
        </w:rPr>
        <w:t>郑重声明：所呈交的论文（设计）《</w:t>
      </w:r>
      <w:r>
        <w:rPr>
          <w:rFonts w:hint="eastAsia" w:ascii="宋体" w:hAnsi="宋体"/>
          <w:sz w:val="24"/>
          <w:u w:val="single"/>
        </w:rPr>
        <w:t xml:space="preserve">                                   </w:t>
      </w:r>
      <w:r>
        <w:rPr>
          <w:rFonts w:hint="eastAsia" w:ascii="宋体" w:hAnsi="宋体"/>
          <w:sz w:val="24"/>
        </w:rPr>
        <w:t>》，是本人在导师的指导下，独立进行研究取得的成果。除论文（设计）中已经标注引用的内容外，本论文（设计）不包含其他人或集体已经发表或撰写过的作品成果。对本文的研究做出贡献的个人和集体，均已在文中以明确方式标明。本人完全意识到本声明的法律后果，并承诺因本声明而产生的法律结果由本人承担。</w:t>
      </w:r>
    </w:p>
    <w:p w14:paraId="2D8055AB">
      <w:pPr>
        <w:spacing w:line="400" w:lineRule="exact"/>
        <w:jc w:val="left"/>
        <w:rPr>
          <w:rFonts w:hint="eastAsia" w:ascii="宋体" w:hAnsi="宋体"/>
          <w:sz w:val="24"/>
        </w:rPr>
      </w:pPr>
    </w:p>
    <w:p w14:paraId="2F6339C5">
      <w:pPr>
        <w:spacing w:line="400" w:lineRule="exact"/>
        <w:jc w:val="left"/>
        <w:rPr>
          <w:rFonts w:hint="eastAsia" w:ascii="宋体" w:hAnsi="宋体"/>
          <w:sz w:val="24"/>
        </w:rPr>
      </w:pPr>
    </w:p>
    <w:p w14:paraId="0CABFA55">
      <w:pPr>
        <w:spacing w:line="600" w:lineRule="exact"/>
        <w:jc w:val="left"/>
        <w:rPr>
          <w:rFonts w:hint="eastAsia" w:ascii="宋体" w:hAnsi="宋体"/>
          <w:sz w:val="24"/>
        </w:rPr>
      </w:pPr>
      <w:r>
        <w:rPr>
          <w:rFonts w:hint="eastAsia" w:ascii="宋体" w:hAnsi="宋体"/>
          <w:sz w:val="24"/>
        </w:rPr>
        <w:t>论文（设计）作者签名：</w:t>
      </w:r>
      <w:r>
        <w:rPr>
          <w:rFonts w:hint="eastAsia" w:ascii="宋体" w:hAnsi="宋体"/>
          <w:sz w:val="24"/>
          <w:u w:val="single"/>
        </w:rPr>
        <w:t xml:space="preserve">                 </w:t>
      </w:r>
      <w:r>
        <w:rPr>
          <w:rFonts w:hint="eastAsia" w:ascii="宋体" w:hAnsi="宋体"/>
          <w:sz w:val="24"/>
        </w:rPr>
        <w:t xml:space="preserve">        </w:t>
      </w:r>
    </w:p>
    <w:p w14:paraId="3CAF5876">
      <w:pPr>
        <w:spacing w:line="600" w:lineRule="exact"/>
        <w:jc w:val="left"/>
        <w:rPr>
          <w:rFonts w:hint="eastAsia" w:ascii="宋体" w:hAnsi="宋体"/>
          <w:sz w:val="24"/>
        </w:rPr>
      </w:pPr>
      <w:r>
        <w:rPr>
          <w:rFonts w:hint="eastAsia" w:ascii="宋体" w:hAnsi="宋体"/>
          <w:sz w:val="24"/>
        </w:rPr>
        <w:t xml:space="preserve">日期： </w:t>
      </w:r>
      <w:r>
        <w:rPr>
          <w:rFonts w:hint="eastAsia" w:ascii="宋体" w:hAnsi="宋体"/>
          <w:sz w:val="24"/>
          <w:u w:val="single"/>
        </w:rPr>
        <w:t xml:space="preserve">              </w:t>
      </w:r>
      <w:r>
        <w:rPr>
          <w:rFonts w:hint="eastAsia" w:ascii="宋体" w:hAnsi="宋体"/>
          <w:sz w:val="24"/>
        </w:rPr>
        <w:t xml:space="preserve"> </w:t>
      </w:r>
    </w:p>
    <w:p w14:paraId="2DE16895">
      <w:pPr>
        <w:spacing w:line="600" w:lineRule="exact"/>
        <w:jc w:val="left"/>
        <w:rPr>
          <w:rFonts w:hint="eastAsia" w:ascii="宋体" w:hAnsi="宋体"/>
          <w:sz w:val="24"/>
        </w:rPr>
      </w:pPr>
    </w:p>
    <w:p w14:paraId="3B75DB12">
      <w:pPr>
        <w:spacing w:line="400" w:lineRule="exact"/>
        <w:jc w:val="left"/>
        <w:rPr>
          <w:rFonts w:hint="eastAsia" w:ascii="宋体" w:hAnsi="宋体"/>
          <w:sz w:val="24"/>
        </w:rPr>
      </w:pPr>
    </w:p>
    <w:p w14:paraId="33620B32">
      <w:pPr>
        <w:spacing w:line="400" w:lineRule="exact"/>
        <w:jc w:val="left"/>
        <w:rPr>
          <w:rFonts w:hint="eastAsia" w:ascii="宋体" w:hAnsi="宋体"/>
          <w:sz w:val="24"/>
        </w:rPr>
      </w:pPr>
    </w:p>
    <w:p w14:paraId="535445D8">
      <w:pPr>
        <w:spacing w:line="400" w:lineRule="exact"/>
        <w:jc w:val="center"/>
        <w:outlineLvl w:val="0"/>
        <w:rPr>
          <w:rFonts w:hint="eastAsia" w:ascii="黑体" w:hAnsi="黑体" w:eastAsia="黑体"/>
          <w:sz w:val="32"/>
          <w:szCs w:val="32"/>
        </w:rPr>
      </w:pPr>
      <w:bookmarkStart w:id="83" w:name="_Toc23334"/>
      <w:r>
        <w:rPr>
          <w:rFonts w:hint="eastAsia" w:ascii="黑体" w:hAnsi="黑体" w:eastAsia="黑体"/>
          <w:sz w:val="32"/>
          <w:szCs w:val="32"/>
        </w:rPr>
        <w:t>使用授权书</w:t>
      </w:r>
      <w:bookmarkEnd w:id="83"/>
    </w:p>
    <w:p w14:paraId="630850A6">
      <w:pPr>
        <w:spacing w:line="400" w:lineRule="exact"/>
        <w:jc w:val="center"/>
        <w:rPr>
          <w:rFonts w:hint="eastAsia" w:ascii="黑体" w:hAnsi="黑体" w:eastAsia="黑体"/>
          <w:sz w:val="32"/>
          <w:szCs w:val="32"/>
        </w:rPr>
      </w:pPr>
    </w:p>
    <w:p w14:paraId="510AE0B2">
      <w:pPr>
        <w:tabs>
          <w:tab w:val="left" w:pos="426"/>
        </w:tabs>
        <w:spacing w:line="400" w:lineRule="exact"/>
        <w:ind w:firstLine="480" w:firstLineChars="200"/>
        <w:jc w:val="left"/>
        <w:rPr>
          <w:rFonts w:hint="eastAsia" w:ascii="宋体" w:hAnsi="宋体"/>
          <w:sz w:val="24"/>
        </w:rPr>
      </w:pPr>
      <w:r>
        <w:rPr>
          <w:rFonts w:hint="eastAsia" w:ascii="宋体" w:hAnsi="宋体"/>
          <w:sz w:val="24"/>
        </w:rPr>
        <w:t>本论文（设计）作者完全了解学校有关保留、使用论文（设计）的规定，同意学校保留并向国家有关部门或机构送交论文（设计）复印件和电子版，允许论文（设计）被查阅和借阅。本人授权重庆大学将本论文（设计）的全部或部分内容编入有关数据库进行检索，可以采用影印、缩印或扫描等复制方式保存和汇编本论文（设计）。</w:t>
      </w:r>
    </w:p>
    <w:p w14:paraId="295AF830">
      <w:pPr>
        <w:spacing w:line="400" w:lineRule="exact"/>
        <w:jc w:val="left"/>
        <w:rPr>
          <w:rFonts w:hint="eastAsia" w:ascii="宋体" w:hAnsi="宋体"/>
          <w:sz w:val="24"/>
        </w:rPr>
      </w:pPr>
    </w:p>
    <w:p w14:paraId="21F01604">
      <w:pPr>
        <w:spacing w:line="400" w:lineRule="exact"/>
        <w:jc w:val="left"/>
        <w:rPr>
          <w:rFonts w:hint="eastAsia" w:ascii="宋体" w:hAnsi="宋体"/>
          <w:sz w:val="24"/>
        </w:rPr>
      </w:pPr>
      <w:r>
        <w:rPr>
          <w:rFonts w:hint="eastAsia" w:ascii="宋体" w:hAnsi="宋体"/>
          <w:sz w:val="24"/>
        </w:rPr>
        <w:t>本论文（设计）属于：</w:t>
      </w:r>
    </w:p>
    <w:p w14:paraId="1289635C">
      <w:pPr>
        <w:spacing w:line="400" w:lineRule="exact"/>
        <w:ind w:firstLine="600" w:firstLineChars="250"/>
        <w:jc w:val="left"/>
        <w:rPr>
          <w:rFonts w:hint="eastAsia" w:ascii="宋体" w:hAnsi="宋体"/>
          <w:sz w:val="24"/>
        </w:rPr>
      </w:pPr>
      <w:r>
        <w:rPr>
          <w:rFonts w:hint="eastAsia" w:ascii="宋体" w:hAnsi="宋体"/>
          <w:sz w:val="24"/>
        </w:rPr>
        <w:t>保  密 □  在</w:t>
      </w:r>
      <w:r>
        <w:rPr>
          <w:rFonts w:hint="eastAsia" w:ascii="宋体" w:hAnsi="宋体"/>
          <w:sz w:val="24"/>
          <w:u w:val="single"/>
        </w:rPr>
        <w:t xml:space="preserve">    </w:t>
      </w:r>
      <w:r>
        <w:rPr>
          <w:rFonts w:hint="eastAsia" w:ascii="宋体" w:hAnsi="宋体"/>
          <w:sz w:val="24"/>
        </w:rPr>
        <w:t>年解密后适用本授权书</w:t>
      </w:r>
    </w:p>
    <w:p w14:paraId="3BB573F9">
      <w:pPr>
        <w:spacing w:line="400" w:lineRule="exact"/>
        <w:ind w:firstLine="600" w:firstLineChars="250"/>
        <w:jc w:val="left"/>
        <w:rPr>
          <w:rFonts w:hint="eastAsia" w:ascii="宋体" w:hAnsi="宋体"/>
          <w:sz w:val="24"/>
        </w:rPr>
      </w:pPr>
      <w:r>
        <w:rPr>
          <w:rFonts w:hint="eastAsia" w:ascii="宋体" w:hAnsi="宋体"/>
          <w:sz w:val="24"/>
        </w:rPr>
        <w:t>不保密 □</w:t>
      </w:r>
    </w:p>
    <w:p w14:paraId="3B2EF019">
      <w:pPr>
        <w:spacing w:line="400" w:lineRule="exact"/>
        <w:jc w:val="left"/>
        <w:rPr>
          <w:rFonts w:hint="eastAsia" w:ascii="宋体" w:hAnsi="宋体"/>
          <w:sz w:val="24"/>
        </w:rPr>
      </w:pPr>
    </w:p>
    <w:p w14:paraId="12BDC45B">
      <w:pPr>
        <w:spacing w:line="400" w:lineRule="exact"/>
        <w:jc w:val="left"/>
        <w:rPr>
          <w:rFonts w:hint="eastAsia" w:ascii="宋体" w:hAnsi="宋体"/>
          <w:sz w:val="24"/>
        </w:rPr>
      </w:pPr>
    </w:p>
    <w:p w14:paraId="15227F4C">
      <w:pPr>
        <w:spacing w:line="600" w:lineRule="exact"/>
        <w:jc w:val="left"/>
        <w:rPr>
          <w:rFonts w:hint="eastAsia" w:ascii="宋体" w:hAnsi="宋体"/>
          <w:sz w:val="24"/>
          <w:u w:val="single"/>
        </w:rPr>
      </w:pPr>
      <w:r>
        <w:rPr>
          <w:rFonts w:hint="eastAsia" w:ascii="宋体" w:hAnsi="宋体"/>
          <w:sz w:val="24"/>
        </w:rPr>
        <w:t>论文（设计）作者签名：</w:t>
      </w:r>
      <w:r>
        <w:rPr>
          <w:rFonts w:hint="eastAsia" w:ascii="宋体" w:hAnsi="宋体"/>
          <w:sz w:val="24"/>
          <w:u w:val="single"/>
        </w:rPr>
        <w:t xml:space="preserve">               </w:t>
      </w:r>
      <w:r>
        <w:rPr>
          <w:rFonts w:hint="eastAsia" w:ascii="宋体" w:hAnsi="宋体"/>
          <w:sz w:val="24"/>
        </w:rPr>
        <w:t xml:space="preserve">    指导教师签名：</w:t>
      </w:r>
      <w:r>
        <w:rPr>
          <w:rFonts w:hint="eastAsia" w:ascii="宋体" w:hAnsi="宋体"/>
          <w:sz w:val="24"/>
          <w:u w:val="single"/>
        </w:rPr>
        <w:t xml:space="preserve">               </w:t>
      </w:r>
    </w:p>
    <w:p w14:paraId="677A4ED7">
      <w:pPr>
        <w:spacing w:line="600" w:lineRule="exact"/>
        <w:jc w:val="left"/>
        <w:rPr>
          <w:rFonts w:hint="eastAsia" w:ascii="宋体" w:hAnsi="宋体"/>
          <w:sz w:val="24"/>
          <w:u w:val="single"/>
        </w:rPr>
      </w:pPr>
      <w:r>
        <w:rPr>
          <w:rFonts w:hint="eastAsia" w:ascii="宋体" w:hAnsi="宋体"/>
          <w:sz w:val="24"/>
        </w:rPr>
        <w:t>日期：</w:t>
      </w:r>
      <w:r>
        <w:rPr>
          <w:rFonts w:hint="eastAsia" w:ascii="宋体" w:hAnsi="宋体"/>
          <w:sz w:val="24"/>
          <w:u w:val="single"/>
        </w:rPr>
        <w:t xml:space="preserve">              </w:t>
      </w:r>
      <w:r>
        <w:rPr>
          <w:rFonts w:hint="eastAsia" w:ascii="宋体" w:hAnsi="宋体"/>
          <w:sz w:val="24"/>
        </w:rPr>
        <w:t xml:space="preserve">                     日期：</w:t>
      </w:r>
      <w:r>
        <w:rPr>
          <w:rFonts w:hint="eastAsia" w:ascii="宋体" w:hAnsi="宋体"/>
          <w:sz w:val="24"/>
          <w:u w:val="single"/>
        </w:rPr>
        <w:t xml:space="preserve">              </w:t>
      </w:r>
    </w:p>
    <w:p w14:paraId="1535E9D8">
      <w:pPr>
        <w:spacing w:line="400" w:lineRule="exact"/>
      </w:pPr>
    </w:p>
    <w:sectPr>
      <w:headerReference r:id="rId24" w:type="default"/>
      <w:footerReference r:id="rId25" w:type="default"/>
      <w:pgSz w:w="11906" w:h="16838"/>
      <w:pgMar w:top="1701" w:right="1418" w:bottom="1418" w:left="1418" w:header="907" w:footer="851" w:gutter="567"/>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un Sang" w:date="2026-05-13T11:57:00Z" w:initials="">
    <w:p w14:paraId="3170AF76">
      <w:pPr>
        <w:pStyle w:val="7"/>
      </w:pPr>
      <w:r>
        <w:rPr>
          <w:rFonts w:hint="eastAsia"/>
        </w:rPr>
        <w:t>题目没有修改？</w:t>
      </w:r>
    </w:p>
    <w:p w14:paraId="70DBF235">
      <w:pPr>
        <w:pStyle w:val="7"/>
        <w:rPr>
          <w:rFonts w:hint="eastAsia"/>
        </w:rPr>
      </w:pPr>
      <w:r>
        <w:rPr>
          <w:rFonts w:hint="eastAsia"/>
        </w:rPr>
        <w:t>整篇论文全靠第5章凑篇幅，这样是不行的。细化需求分析和设计部分。实现部分应该简化！！！</w:t>
      </w:r>
    </w:p>
  </w:comment>
  <w:comment w:id="1" w:author="Jun Sang" w:date="2026-05-14T21:51:00Z" w:initials="">
    <w:p w14:paraId="44117C32">
      <w:pPr>
        <w:pStyle w:val="7"/>
        <w:rPr>
          <w:rFonts w:hint="eastAsia"/>
        </w:rPr>
      </w:pPr>
      <w:r>
        <w:rPr>
          <w:rFonts w:hint="eastAsia"/>
        </w:rPr>
        <w:t>做事极其不认真，为什么这里没有系统名称？难道要我一个一个指出来？到底是你在做毕业设计？还是我在做毕业设计？最后拿毕业证的是你还是我？自己要对自己负责！！！</w:t>
      </w:r>
    </w:p>
  </w:comment>
  <w:comment w:id="2" w:author="Jun Sang" w:date="2026-05-13T12:32:00Z" w:initials="">
    <w:p w14:paraId="466E8C52">
      <w:pPr>
        <w:pStyle w:val="7"/>
      </w:pPr>
      <w:r>
        <w:rPr>
          <w:rFonts w:hint="eastAsia"/>
        </w:rPr>
        <w:t>上一章你已经给了模块划分（照说应该在这里给出，上一章只提有哪些功能需求），这里应该是各个模块的设计，包括各种图示及相应的文字描述。</w:t>
      </w:r>
    </w:p>
  </w:comment>
  <w:comment w:id="3" w:author="Jun Sang" w:date="2026-05-14T21:52:00Z" w:initials="">
    <w:p w14:paraId="1710396B">
      <w:pPr>
        <w:pStyle w:val="7"/>
        <w:rPr>
          <w:rFonts w:hint="eastAsia"/>
        </w:rPr>
      </w:pPr>
      <w:r>
        <w:rPr>
          <w:rFonts w:hint="eastAsia"/>
        </w:rPr>
        <w:t>各模块的设计流程图呢？</w:t>
      </w:r>
    </w:p>
  </w:comment>
  <w:comment w:id="4" w:author="Jun Sang" w:date="2026-05-13T12:34:00Z" w:initials="">
    <w:p w14:paraId="5A97134E">
      <w:pPr>
        <w:pStyle w:val="7"/>
        <w:rPr>
          <w:rFonts w:hint="eastAsia"/>
        </w:rPr>
      </w:pPr>
      <w:r>
        <w:rPr>
          <w:rFonts w:hint="eastAsia"/>
        </w:rPr>
        <w:t>E-R图呢？一般要放在具体数据表前面，单独一个小节！！！</w:t>
      </w:r>
    </w:p>
  </w:comment>
  <w:comment w:id="5" w:author="Jun Sang" w:date="2026-05-14T21:53:00Z" w:initials="">
    <w:p w14:paraId="5509D549">
      <w:pPr>
        <w:pStyle w:val="7"/>
        <w:rPr>
          <w:rFonts w:hint="eastAsia"/>
        </w:rPr>
      </w:pPr>
      <w:r>
        <w:rPr>
          <w:rFonts w:hint="eastAsia"/>
        </w:rPr>
        <w:t>逻辑性很差！！！放在这里是什么原因？这是具体的数据表吗？</w:t>
      </w:r>
    </w:p>
  </w:comment>
  <w:comment w:id="6" w:author="Jun Sang" w:date="2026-05-13T12:35:00Z" w:initials="">
    <w:p w14:paraId="547BBC70">
      <w:pPr>
        <w:pStyle w:val="7"/>
      </w:pPr>
      <w:r>
        <w:rPr>
          <w:rFonts w:hint="eastAsia"/>
        </w:rPr>
        <w:t>设计放在上一章，这章只是系统实现。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0DBF235" w15:done="0"/>
  <w15:commentEx w15:paraId="44117C32" w15:done="0"/>
  <w15:commentEx w15:paraId="466E8C52" w15:done="0"/>
  <w15:commentEx w15:paraId="1710396B" w15:done="0"/>
  <w15:commentEx w15:paraId="5A97134E" w15:done="0"/>
  <w15:commentEx w15:paraId="5509D549" w15:done="1"/>
  <w15:commentEx w15:paraId="547BBC7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ˎ̥">
    <w:altName w:val="Times New Roman"/>
    <w:panose1 w:val="00000000000000000000"/>
    <w:charset w:val="00"/>
    <w:family w:val="roman"/>
    <w:pitch w:val="default"/>
    <w:sig w:usb0="00000000" w:usb1="00000000" w:usb2="00000000" w:usb3="00000000" w:csb0="00040001"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5699E">
    <w:pPr>
      <w:pStyle w:val="14"/>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E6D00">
    <w:pPr>
      <w:pStyle w:val="14"/>
      <w:rPr>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C811F">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8E1E3">
    <w:pPr>
      <w:pStyle w:val="14"/>
      <w:rPr>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0877A">
    <w:pPr>
      <w:pStyle w:val="14"/>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52</w:t>
    </w:r>
    <w:r>
      <w:rPr>
        <w:rStyle w:val="28"/>
      </w:rPr>
      <w:fldChar w:fldCharType="end"/>
    </w:r>
    <w:r>
      <w:rPr>
        <w:rStyle w:val="28"/>
        <w:rFonts w:hint="eastAsia"/>
      </w:rPr>
      <w:t xml:space="preserve"> </w:t>
    </w:r>
  </w:p>
  <w:p w14:paraId="370A1FD3">
    <w:pPr>
      <w:pStyle w:val="14"/>
      <w:jc w:val="center"/>
      <w:rPr>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8EC7E">
    <w:pPr>
      <w:pStyle w:val="14"/>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52</w:t>
    </w:r>
    <w:r>
      <w:rPr>
        <w:rStyle w:val="28"/>
      </w:rPr>
      <w:fldChar w:fldCharType="end"/>
    </w:r>
    <w:r>
      <w:rPr>
        <w:rStyle w:val="28"/>
        <w:rFonts w:hint="eastAsia"/>
      </w:rPr>
      <w:t xml:space="preserve"> </w:t>
    </w:r>
  </w:p>
  <w:p w14:paraId="0EB55A9E">
    <w:pPr>
      <w:pStyle w:val="14"/>
      <w:jc w:val="center"/>
      <w:rPr>
        <w:szCs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94125">
    <w:pPr>
      <w:pStyle w:val="14"/>
      <w:rPr>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E0AFC">
    <w:pPr>
      <w:pStyle w:val="15"/>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FB941">
    <w:pPr>
      <w:pStyle w:val="15"/>
      <w:jc w:val="both"/>
    </w:pPr>
    <w:r>
      <w:rPr>
        <w:rFonts w:hint="eastAsia"/>
      </w:rPr>
      <w:t>重庆大学本科学生毕业论文（设计）                                                          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1CF62">
    <w:pPr>
      <w:pStyle w:val="15"/>
      <w:jc w:val="both"/>
    </w:pPr>
    <w:r>
      <w:rPr>
        <w:rFonts w:hint="eastAsia"/>
      </w:rPr>
      <w:t>重庆大学本科学生毕业论文（设计）                                                          目录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57D09">
    <w:pPr>
      <w:pStyle w:val="15"/>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1B52A">
    <w:pPr>
      <w:pStyle w:val="15"/>
      <w:jc w:val="both"/>
    </w:pPr>
    <w:r>
      <w:rPr>
        <w:rFonts w:hint="eastAsia"/>
      </w:rPr>
      <w:t>重庆大学本科学生毕业论文（设计）                                            系统详细设计与实现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AA687">
    <w:pPr>
      <w:pStyle w:val="15"/>
      <w:jc w:val="both"/>
    </w:pPr>
    <w:r>
      <w:rPr>
        <w:rFonts w:hint="eastAsia"/>
      </w:rPr>
      <w:t>重庆大学本科学生毕业论文（设计）                                                          绪论</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F4C74">
    <w:pPr>
      <w:pStyle w:val="15"/>
      <w:jc w:val="both"/>
    </w:pPr>
    <w:r>
      <w:rPr>
        <w:rFonts w:hint="eastAsia"/>
      </w:rPr>
      <w:t>重庆大学本科学生毕业论文（设计）                                            相关理论与关键技术</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58D26">
    <w:pPr>
      <w:pStyle w:val="15"/>
      <w:jc w:val="both"/>
    </w:pPr>
    <w:r>
      <w:rPr>
        <w:rFonts w:hint="eastAsia"/>
      </w:rPr>
      <w:t>重庆大学本科学生毕业论文（设计）                                                  系统需求分析</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434B2">
    <w:pPr>
      <w:pStyle w:val="15"/>
      <w:jc w:val="both"/>
    </w:pPr>
    <w:r>
      <w:rPr>
        <w:rFonts w:hint="eastAsia"/>
      </w:rPr>
      <w:t>重庆大学本科学生毕业论文（设计）                                                      系统设计</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0C9A5">
    <w:pPr>
      <w:pStyle w:val="15"/>
      <w:jc w:val="both"/>
    </w:pPr>
    <w:r>
      <w:rPr>
        <w:rFonts w:hint="eastAsia"/>
      </w:rPr>
      <w:t>重庆大学本科学生毕业论文（设计）                                             系统详细设计与实现</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4E437">
    <w:pPr>
      <w:pStyle w:val="15"/>
      <w:jc w:val="both"/>
    </w:pPr>
    <w:r>
      <w:rPr>
        <w:rFonts w:hint="eastAsia"/>
      </w:rPr>
      <w:t>重庆大学本科学生毕业论文（设计）                                                    总结与展望</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E6261">
    <w:pPr>
      <w:pStyle w:val="15"/>
      <w:jc w:val="both"/>
      <w:rPr>
        <w:lang w:val="en-IE"/>
      </w:rPr>
    </w:pPr>
    <w:r>
      <w:rPr>
        <w:rFonts w:hint="eastAsia"/>
      </w:rPr>
      <w:t xml:space="preserve">重庆大学本科学生毕业论文（设计）                                          </w:t>
    </w:r>
    <w:r>
      <w:rPr>
        <w:rFonts w:hint="eastAsia"/>
      </w:rPr>
      <w:tab/>
    </w:r>
    <w:r>
      <w:rPr>
        <w:rFonts w:hint="eastAsia"/>
      </w:rPr>
      <w:t xml:space="preserve">            参考文献</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7CCBF">
    <w:pPr>
      <w:pStyle w:val="15"/>
      <w:jc w:val="both"/>
    </w:pPr>
    <w:r>
      <w:rPr>
        <w:rFonts w:hint="eastAsia"/>
      </w:rPr>
      <w:t>重庆大学本科学生毕业论文（设计）                                                         致谢</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1DDDB"/>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un Sang">
    <w15:presenceInfo w15:providerId="Windows Live" w15:userId="02e87371d4f864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jMzQ4ZWZmM2Q1NzA5YWJhMDYyZTc2MWE1ZjgyNTEifQ=="/>
  </w:docVars>
  <w:rsids>
    <w:rsidRoot w:val="001B6EA2"/>
    <w:rsid w:val="00002CA5"/>
    <w:rsid w:val="0001080A"/>
    <w:rsid w:val="000117B3"/>
    <w:rsid w:val="00012261"/>
    <w:rsid w:val="0001246A"/>
    <w:rsid w:val="00016A80"/>
    <w:rsid w:val="00016BD6"/>
    <w:rsid w:val="000214B7"/>
    <w:rsid w:val="00025CCC"/>
    <w:rsid w:val="00033DF5"/>
    <w:rsid w:val="0003623B"/>
    <w:rsid w:val="00036C19"/>
    <w:rsid w:val="00050CE1"/>
    <w:rsid w:val="0005245C"/>
    <w:rsid w:val="000615B7"/>
    <w:rsid w:val="000654D0"/>
    <w:rsid w:val="00067621"/>
    <w:rsid w:val="000773AE"/>
    <w:rsid w:val="000779D7"/>
    <w:rsid w:val="000A607D"/>
    <w:rsid w:val="000A719B"/>
    <w:rsid w:val="000B0F1A"/>
    <w:rsid w:val="000B1753"/>
    <w:rsid w:val="000B75FD"/>
    <w:rsid w:val="000C110B"/>
    <w:rsid w:val="000C3E93"/>
    <w:rsid w:val="000C636B"/>
    <w:rsid w:val="000D7AE9"/>
    <w:rsid w:val="000E49C4"/>
    <w:rsid w:val="000F446E"/>
    <w:rsid w:val="000F582E"/>
    <w:rsid w:val="000F71F9"/>
    <w:rsid w:val="00105ADB"/>
    <w:rsid w:val="00110B94"/>
    <w:rsid w:val="00115F90"/>
    <w:rsid w:val="0012238B"/>
    <w:rsid w:val="0012375A"/>
    <w:rsid w:val="00131C64"/>
    <w:rsid w:val="00135850"/>
    <w:rsid w:val="00137235"/>
    <w:rsid w:val="00144B9C"/>
    <w:rsid w:val="00147DD4"/>
    <w:rsid w:val="0015352D"/>
    <w:rsid w:val="0015471E"/>
    <w:rsid w:val="00154A8C"/>
    <w:rsid w:val="00160279"/>
    <w:rsid w:val="00161854"/>
    <w:rsid w:val="00165097"/>
    <w:rsid w:val="00166D95"/>
    <w:rsid w:val="00170306"/>
    <w:rsid w:val="00171601"/>
    <w:rsid w:val="00172856"/>
    <w:rsid w:val="00174A41"/>
    <w:rsid w:val="00175E75"/>
    <w:rsid w:val="00176EF3"/>
    <w:rsid w:val="0018332C"/>
    <w:rsid w:val="00183810"/>
    <w:rsid w:val="00185841"/>
    <w:rsid w:val="00192516"/>
    <w:rsid w:val="00195C29"/>
    <w:rsid w:val="00197E60"/>
    <w:rsid w:val="001A6B7B"/>
    <w:rsid w:val="001B4372"/>
    <w:rsid w:val="001B6EA2"/>
    <w:rsid w:val="001C08B4"/>
    <w:rsid w:val="001C3216"/>
    <w:rsid w:val="001C5069"/>
    <w:rsid w:val="001C68FC"/>
    <w:rsid w:val="001D2FCD"/>
    <w:rsid w:val="001D43EB"/>
    <w:rsid w:val="001D7519"/>
    <w:rsid w:val="001E3A3B"/>
    <w:rsid w:val="001E4955"/>
    <w:rsid w:val="001E7E29"/>
    <w:rsid w:val="00200638"/>
    <w:rsid w:val="00206C84"/>
    <w:rsid w:val="00207610"/>
    <w:rsid w:val="00211C13"/>
    <w:rsid w:val="0022555E"/>
    <w:rsid w:val="002256B9"/>
    <w:rsid w:val="00226939"/>
    <w:rsid w:val="00230B95"/>
    <w:rsid w:val="002369F7"/>
    <w:rsid w:val="00250082"/>
    <w:rsid w:val="00255AA3"/>
    <w:rsid w:val="002709EA"/>
    <w:rsid w:val="00272962"/>
    <w:rsid w:val="00274D49"/>
    <w:rsid w:val="00284D23"/>
    <w:rsid w:val="002A4AF7"/>
    <w:rsid w:val="002B0DB7"/>
    <w:rsid w:val="002B1D21"/>
    <w:rsid w:val="002C000F"/>
    <w:rsid w:val="002C0CC9"/>
    <w:rsid w:val="002C1E08"/>
    <w:rsid w:val="002C564E"/>
    <w:rsid w:val="002C693E"/>
    <w:rsid w:val="002D2DF8"/>
    <w:rsid w:val="002E724D"/>
    <w:rsid w:val="002E7602"/>
    <w:rsid w:val="002F09FA"/>
    <w:rsid w:val="002F394A"/>
    <w:rsid w:val="002F40A3"/>
    <w:rsid w:val="002F5662"/>
    <w:rsid w:val="002F6062"/>
    <w:rsid w:val="002F60A2"/>
    <w:rsid w:val="00301CA4"/>
    <w:rsid w:val="003060A1"/>
    <w:rsid w:val="0031093D"/>
    <w:rsid w:val="00314E4E"/>
    <w:rsid w:val="0031672E"/>
    <w:rsid w:val="00336C1E"/>
    <w:rsid w:val="003453B7"/>
    <w:rsid w:val="0035521C"/>
    <w:rsid w:val="0035543F"/>
    <w:rsid w:val="00360BBA"/>
    <w:rsid w:val="0036259C"/>
    <w:rsid w:val="003640E2"/>
    <w:rsid w:val="00364460"/>
    <w:rsid w:val="00364E38"/>
    <w:rsid w:val="00365364"/>
    <w:rsid w:val="00377115"/>
    <w:rsid w:val="00377560"/>
    <w:rsid w:val="00385059"/>
    <w:rsid w:val="003907FA"/>
    <w:rsid w:val="00391548"/>
    <w:rsid w:val="00392511"/>
    <w:rsid w:val="00395D59"/>
    <w:rsid w:val="003B5290"/>
    <w:rsid w:val="003C3BE6"/>
    <w:rsid w:val="003C4909"/>
    <w:rsid w:val="003D1314"/>
    <w:rsid w:val="003D2B06"/>
    <w:rsid w:val="003D4CC3"/>
    <w:rsid w:val="003D6BB6"/>
    <w:rsid w:val="003E10A5"/>
    <w:rsid w:val="003E3F65"/>
    <w:rsid w:val="003F5140"/>
    <w:rsid w:val="003F6FB3"/>
    <w:rsid w:val="00400805"/>
    <w:rsid w:val="00402486"/>
    <w:rsid w:val="00414A53"/>
    <w:rsid w:val="00415DCE"/>
    <w:rsid w:val="0041794F"/>
    <w:rsid w:val="0043326A"/>
    <w:rsid w:val="00433366"/>
    <w:rsid w:val="004357C3"/>
    <w:rsid w:val="004408F2"/>
    <w:rsid w:val="004416A1"/>
    <w:rsid w:val="0045753D"/>
    <w:rsid w:val="004579D2"/>
    <w:rsid w:val="004657AE"/>
    <w:rsid w:val="004663E0"/>
    <w:rsid w:val="00466B61"/>
    <w:rsid w:val="004762DE"/>
    <w:rsid w:val="004762F7"/>
    <w:rsid w:val="0047703E"/>
    <w:rsid w:val="004A0A3C"/>
    <w:rsid w:val="004A0BEE"/>
    <w:rsid w:val="004A22A0"/>
    <w:rsid w:val="004A4761"/>
    <w:rsid w:val="004B3D0A"/>
    <w:rsid w:val="004B5B72"/>
    <w:rsid w:val="004B62B6"/>
    <w:rsid w:val="004B7F74"/>
    <w:rsid w:val="004C78AB"/>
    <w:rsid w:val="004D0F90"/>
    <w:rsid w:val="004D2DB4"/>
    <w:rsid w:val="005047CA"/>
    <w:rsid w:val="00505A84"/>
    <w:rsid w:val="0051260A"/>
    <w:rsid w:val="005202D3"/>
    <w:rsid w:val="00524905"/>
    <w:rsid w:val="00524E15"/>
    <w:rsid w:val="005264FB"/>
    <w:rsid w:val="0053537C"/>
    <w:rsid w:val="0054175A"/>
    <w:rsid w:val="00541E4E"/>
    <w:rsid w:val="00544641"/>
    <w:rsid w:val="00556DCD"/>
    <w:rsid w:val="0056668E"/>
    <w:rsid w:val="00582DF4"/>
    <w:rsid w:val="00584E4A"/>
    <w:rsid w:val="00585ECD"/>
    <w:rsid w:val="005964A3"/>
    <w:rsid w:val="005A0F8C"/>
    <w:rsid w:val="005B04A9"/>
    <w:rsid w:val="005B0564"/>
    <w:rsid w:val="005B08FE"/>
    <w:rsid w:val="005B7A74"/>
    <w:rsid w:val="005D105D"/>
    <w:rsid w:val="005E1541"/>
    <w:rsid w:val="005E25FD"/>
    <w:rsid w:val="005E5A0A"/>
    <w:rsid w:val="005F0AAA"/>
    <w:rsid w:val="005F2470"/>
    <w:rsid w:val="005F491D"/>
    <w:rsid w:val="00602AAE"/>
    <w:rsid w:val="00604F42"/>
    <w:rsid w:val="00620598"/>
    <w:rsid w:val="00621473"/>
    <w:rsid w:val="006221D4"/>
    <w:rsid w:val="00632B48"/>
    <w:rsid w:val="0063750C"/>
    <w:rsid w:val="006414FF"/>
    <w:rsid w:val="006421A9"/>
    <w:rsid w:val="006426A3"/>
    <w:rsid w:val="006427E4"/>
    <w:rsid w:val="00642A18"/>
    <w:rsid w:val="00643493"/>
    <w:rsid w:val="00643C9C"/>
    <w:rsid w:val="00644F6E"/>
    <w:rsid w:val="00646F07"/>
    <w:rsid w:val="00655A0B"/>
    <w:rsid w:val="00655FA6"/>
    <w:rsid w:val="006615EF"/>
    <w:rsid w:val="0066199B"/>
    <w:rsid w:val="00662075"/>
    <w:rsid w:val="00662D81"/>
    <w:rsid w:val="00663851"/>
    <w:rsid w:val="00667D05"/>
    <w:rsid w:val="00674635"/>
    <w:rsid w:val="006746DD"/>
    <w:rsid w:val="00675EBD"/>
    <w:rsid w:val="00681BBE"/>
    <w:rsid w:val="00687244"/>
    <w:rsid w:val="006965CA"/>
    <w:rsid w:val="00697AFD"/>
    <w:rsid w:val="00697DD5"/>
    <w:rsid w:val="006A051E"/>
    <w:rsid w:val="006A16EF"/>
    <w:rsid w:val="006C2737"/>
    <w:rsid w:val="006D0A92"/>
    <w:rsid w:val="006D1071"/>
    <w:rsid w:val="006D40C2"/>
    <w:rsid w:val="006D7398"/>
    <w:rsid w:val="006E2D1C"/>
    <w:rsid w:val="0070160D"/>
    <w:rsid w:val="00706F7E"/>
    <w:rsid w:val="00711F4F"/>
    <w:rsid w:val="007168AE"/>
    <w:rsid w:val="0071747B"/>
    <w:rsid w:val="00720A14"/>
    <w:rsid w:val="00726EAC"/>
    <w:rsid w:val="007323BD"/>
    <w:rsid w:val="00732CE1"/>
    <w:rsid w:val="0073623B"/>
    <w:rsid w:val="0073749E"/>
    <w:rsid w:val="00740FB1"/>
    <w:rsid w:val="007505D8"/>
    <w:rsid w:val="00754D1B"/>
    <w:rsid w:val="007556FE"/>
    <w:rsid w:val="007624C9"/>
    <w:rsid w:val="00763B7D"/>
    <w:rsid w:val="0078023A"/>
    <w:rsid w:val="00780B8D"/>
    <w:rsid w:val="00784899"/>
    <w:rsid w:val="00787075"/>
    <w:rsid w:val="00790BAE"/>
    <w:rsid w:val="00795609"/>
    <w:rsid w:val="00795D22"/>
    <w:rsid w:val="007977FE"/>
    <w:rsid w:val="00797800"/>
    <w:rsid w:val="007B4E94"/>
    <w:rsid w:val="007D6365"/>
    <w:rsid w:val="007E07E5"/>
    <w:rsid w:val="007E160E"/>
    <w:rsid w:val="007F2F4C"/>
    <w:rsid w:val="00801D83"/>
    <w:rsid w:val="00805819"/>
    <w:rsid w:val="00814D1B"/>
    <w:rsid w:val="00817894"/>
    <w:rsid w:val="008210D3"/>
    <w:rsid w:val="00823819"/>
    <w:rsid w:val="00825728"/>
    <w:rsid w:val="0083241D"/>
    <w:rsid w:val="00834764"/>
    <w:rsid w:val="00843888"/>
    <w:rsid w:val="00844172"/>
    <w:rsid w:val="008467BB"/>
    <w:rsid w:val="0084684B"/>
    <w:rsid w:val="00853FCE"/>
    <w:rsid w:val="00866A02"/>
    <w:rsid w:val="00871BF4"/>
    <w:rsid w:val="00884D7C"/>
    <w:rsid w:val="0089187F"/>
    <w:rsid w:val="00892A64"/>
    <w:rsid w:val="00893581"/>
    <w:rsid w:val="008A5A52"/>
    <w:rsid w:val="008B01FF"/>
    <w:rsid w:val="008B4FC2"/>
    <w:rsid w:val="008B79A4"/>
    <w:rsid w:val="008E1CC7"/>
    <w:rsid w:val="008F76DE"/>
    <w:rsid w:val="00911BB5"/>
    <w:rsid w:val="0091452D"/>
    <w:rsid w:val="009146F4"/>
    <w:rsid w:val="009238C0"/>
    <w:rsid w:val="009345F9"/>
    <w:rsid w:val="009358D1"/>
    <w:rsid w:val="0094587A"/>
    <w:rsid w:val="0095575F"/>
    <w:rsid w:val="009631AB"/>
    <w:rsid w:val="009819E0"/>
    <w:rsid w:val="009823D9"/>
    <w:rsid w:val="00991468"/>
    <w:rsid w:val="009914A7"/>
    <w:rsid w:val="009A223B"/>
    <w:rsid w:val="009A6AAE"/>
    <w:rsid w:val="009B32EF"/>
    <w:rsid w:val="009B5136"/>
    <w:rsid w:val="009B6104"/>
    <w:rsid w:val="009B6821"/>
    <w:rsid w:val="009C06A8"/>
    <w:rsid w:val="009C241E"/>
    <w:rsid w:val="009D79F5"/>
    <w:rsid w:val="00A02123"/>
    <w:rsid w:val="00A03147"/>
    <w:rsid w:val="00A04FCC"/>
    <w:rsid w:val="00A06281"/>
    <w:rsid w:val="00A11176"/>
    <w:rsid w:val="00A14B2F"/>
    <w:rsid w:val="00A236CB"/>
    <w:rsid w:val="00A50373"/>
    <w:rsid w:val="00A530FC"/>
    <w:rsid w:val="00A532C8"/>
    <w:rsid w:val="00A620B4"/>
    <w:rsid w:val="00A62EE3"/>
    <w:rsid w:val="00A64337"/>
    <w:rsid w:val="00A66769"/>
    <w:rsid w:val="00A678F8"/>
    <w:rsid w:val="00A70A45"/>
    <w:rsid w:val="00A72EF5"/>
    <w:rsid w:val="00A73AFD"/>
    <w:rsid w:val="00A75123"/>
    <w:rsid w:val="00A80F7E"/>
    <w:rsid w:val="00A81F21"/>
    <w:rsid w:val="00A925A3"/>
    <w:rsid w:val="00A94A12"/>
    <w:rsid w:val="00AA1DA7"/>
    <w:rsid w:val="00AA3FB6"/>
    <w:rsid w:val="00AA71B9"/>
    <w:rsid w:val="00AB08F5"/>
    <w:rsid w:val="00AC150E"/>
    <w:rsid w:val="00AD0D7E"/>
    <w:rsid w:val="00AD5F72"/>
    <w:rsid w:val="00AE04C3"/>
    <w:rsid w:val="00AE1243"/>
    <w:rsid w:val="00AF6DEF"/>
    <w:rsid w:val="00B04D7C"/>
    <w:rsid w:val="00B061E5"/>
    <w:rsid w:val="00B06F10"/>
    <w:rsid w:val="00B11404"/>
    <w:rsid w:val="00B11A3D"/>
    <w:rsid w:val="00B11EEE"/>
    <w:rsid w:val="00B12B59"/>
    <w:rsid w:val="00B20038"/>
    <w:rsid w:val="00B211F5"/>
    <w:rsid w:val="00B24B32"/>
    <w:rsid w:val="00B30F81"/>
    <w:rsid w:val="00B3351B"/>
    <w:rsid w:val="00B337B1"/>
    <w:rsid w:val="00B338F2"/>
    <w:rsid w:val="00B40891"/>
    <w:rsid w:val="00B41C24"/>
    <w:rsid w:val="00B661A8"/>
    <w:rsid w:val="00B66A31"/>
    <w:rsid w:val="00B71E33"/>
    <w:rsid w:val="00B758E6"/>
    <w:rsid w:val="00B77D98"/>
    <w:rsid w:val="00B8342B"/>
    <w:rsid w:val="00B83FF4"/>
    <w:rsid w:val="00B8660D"/>
    <w:rsid w:val="00B917F8"/>
    <w:rsid w:val="00B92842"/>
    <w:rsid w:val="00B92E3B"/>
    <w:rsid w:val="00B93728"/>
    <w:rsid w:val="00BB4F18"/>
    <w:rsid w:val="00BB76D9"/>
    <w:rsid w:val="00BC6499"/>
    <w:rsid w:val="00BD1AA5"/>
    <w:rsid w:val="00BD6B51"/>
    <w:rsid w:val="00BD7063"/>
    <w:rsid w:val="00BE1EC9"/>
    <w:rsid w:val="00BE4697"/>
    <w:rsid w:val="00BF015A"/>
    <w:rsid w:val="00BF509E"/>
    <w:rsid w:val="00BF697D"/>
    <w:rsid w:val="00C007A0"/>
    <w:rsid w:val="00C01EC2"/>
    <w:rsid w:val="00C1411B"/>
    <w:rsid w:val="00C21855"/>
    <w:rsid w:val="00C44DA3"/>
    <w:rsid w:val="00C4551D"/>
    <w:rsid w:val="00C616F7"/>
    <w:rsid w:val="00C71845"/>
    <w:rsid w:val="00C73784"/>
    <w:rsid w:val="00C73F41"/>
    <w:rsid w:val="00C75D17"/>
    <w:rsid w:val="00C77CD2"/>
    <w:rsid w:val="00C82504"/>
    <w:rsid w:val="00C86339"/>
    <w:rsid w:val="00C90D40"/>
    <w:rsid w:val="00C91781"/>
    <w:rsid w:val="00CA2A87"/>
    <w:rsid w:val="00CA6AC0"/>
    <w:rsid w:val="00CB00DC"/>
    <w:rsid w:val="00CB1F55"/>
    <w:rsid w:val="00CB48A1"/>
    <w:rsid w:val="00CC53F7"/>
    <w:rsid w:val="00CC56B9"/>
    <w:rsid w:val="00CC65BE"/>
    <w:rsid w:val="00CC7212"/>
    <w:rsid w:val="00CD2952"/>
    <w:rsid w:val="00CD3161"/>
    <w:rsid w:val="00CD4D10"/>
    <w:rsid w:val="00CE3E3C"/>
    <w:rsid w:val="00CE558D"/>
    <w:rsid w:val="00CF49BF"/>
    <w:rsid w:val="00D02ADD"/>
    <w:rsid w:val="00D02F8F"/>
    <w:rsid w:val="00D04955"/>
    <w:rsid w:val="00D106C4"/>
    <w:rsid w:val="00D14439"/>
    <w:rsid w:val="00D31F7F"/>
    <w:rsid w:val="00D3308A"/>
    <w:rsid w:val="00D471E8"/>
    <w:rsid w:val="00D5139E"/>
    <w:rsid w:val="00D575B1"/>
    <w:rsid w:val="00D63982"/>
    <w:rsid w:val="00D63F36"/>
    <w:rsid w:val="00D65AE5"/>
    <w:rsid w:val="00D66062"/>
    <w:rsid w:val="00D67941"/>
    <w:rsid w:val="00D705D8"/>
    <w:rsid w:val="00D714EF"/>
    <w:rsid w:val="00D72F09"/>
    <w:rsid w:val="00D768AA"/>
    <w:rsid w:val="00D82ACA"/>
    <w:rsid w:val="00D82B07"/>
    <w:rsid w:val="00D8438B"/>
    <w:rsid w:val="00D87A31"/>
    <w:rsid w:val="00D94026"/>
    <w:rsid w:val="00DA2306"/>
    <w:rsid w:val="00DB5E63"/>
    <w:rsid w:val="00DB77DD"/>
    <w:rsid w:val="00DC2282"/>
    <w:rsid w:val="00DC3295"/>
    <w:rsid w:val="00DD5C6A"/>
    <w:rsid w:val="00DE2C58"/>
    <w:rsid w:val="00DE48B2"/>
    <w:rsid w:val="00DE4BE5"/>
    <w:rsid w:val="00DF3DB3"/>
    <w:rsid w:val="00DF69DA"/>
    <w:rsid w:val="00E01448"/>
    <w:rsid w:val="00E031EB"/>
    <w:rsid w:val="00E30AC0"/>
    <w:rsid w:val="00E4388C"/>
    <w:rsid w:val="00E440DF"/>
    <w:rsid w:val="00E56045"/>
    <w:rsid w:val="00E63292"/>
    <w:rsid w:val="00E8063C"/>
    <w:rsid w:val="00E8132C"/>
    <w:rsid w:val="00E82270"/>
    <w:rsid w:val="00E87878"/>
    <w:rsid w:val="00E92205"/>
    <w:rsid w:val="00EA092F"/>
    <w:rsid w:val="00EA44B4"/>
    <w:rsid w:val="00EA776B"/>
    <w:rsid w:val="00EB1613"/>
    <w:rsid w:val="00EB5B72"/>
    <w:rsid w:val="00EB7D86"/>
    <w:rsid w:val="00EC40BA"/>
    <w:rsid w:val="00ED0E4C"/>
    <w:rsid w:val="00ED68D4"/>
    <w:rsid w:val="00EF1E81"/>
    <w:rsid w:val="00F04399"/>
    <w:rsid w:val="00F06CA1"/>
    <w:rsid w:val="00F110AB"/>
    <w:rsid w:val="00F13EB6"/>
    <w:rsid w:val="00F16B92"/>
    <w:rsid w:val="00F27E59"/>
    <w:rsid w:val="00F36560"/>
    <w:rsid w:val="00F40AF6"/>
    <w:rsid w:val="00F41145"/>
    <w:rsid w:val="00F62BCA"/>
    <w:rsid w:val="00F63BB2"/>
    <w:rsid w:val="00F65377"/>
    <w:rsid w:val="00F90AC7"/>
    <w:rsid w:val="00F94679"/>
    <w:rsid w:val="00F96769"/>
    <w:rsid w:val="00FB31B7"/>
    <w:rsid w:val="00FB3611"/>
    <w:rsid w:val="00FC5D9D"/>
    <w:rsid w:val="00FD1FD1"/>
    <w:rsid w:val="00FD2CFE"/>
    <w:rsid w:val="00FD3204"/>
    <w:rsid w:val="00FE2D48"/>
    <w:rsid w:val="00FE4E3F"/>
    <w:rsid w:val="00FE5895"/>
    <w:rsid w:val="00FE7F6B"/>
    <w:rsid w:val="00FF6ABD"/>
    <w:rsid w:val="00FF71BF"/>
    <w:rsid w:val="010941FC"/>
    <w:rsid w:val="068B64DC"/>
    <w:rsid w:val="09F2218D"/>
    <w:rsid w:val="0C401B8D"/>
    <w:rsid w:val="0FCE30BA"/>
    <w:rsid w:val="13054DB2"/>
    <w:rsid w:val="15A5668D"/>
    <w:rsid w:val="1739327C"/>
    <w:rsid w:val="1CD974D1"/>
    <w:rsid w:val="1E8D4CF5"/>
    <w:rsid w:val="1FDC333E"/>
    <w:rsid w:val="230B0C06"/>
    <w:rsid w:val="27DA63B5"/>
    <w:rsid w:val="30B90DDA"/>
    <w:rsid w:val="3C0F3B36"/>
    <w:rsid w:val="3D0E6D74"/>
    <w:rsid w:val="43941F8B"/>
    <w:rsid w:val="45EA3D6D"/>
    <w:rsid w:val="46395220"/>
    <w:rsid w:val="488A2F2C"/>
    <w:rsid w:val="52560826"/>
    <w:rsid w:val="54CC50CB"/>
    <w:rsid w:val="561D791A"/>
    <w:rsid w:val="56467909"/>
    <w:rsid w:val="58E9101C"/>
    <w:rsid w:val="60847615"/>
    <w:rsid w:val="64B03429"/>
    <w:rsid w:val="64D47AD1"/>
    <w:rsid w:val="654100A2"/>
    <w:rsid w:val="6B054AC4"/>
    <w:rsid w:val="6DB060FC"/>
    <w:rsid w:val="6E501766"/>
    <w:rsid w:val="6F255735"/>
    <w:rsid w:val="70ED6C1B"/>
    <w:rsid w:val="72724810"/>
    <w:rsid w:val="74C4118F"/>
    <w:rsid w:val="7BE93551"/>
    <w:rsid w:val="7E7D2037"/>
    <w:rsid w:val="7EF96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outlineLvl w:val="0"/>
    </w:pPr>
    <w:rPr>
      <w:sz w:val="32"/>
      <w:szCs w:val="20"/>
    </w:rPr>
  </w:style>
  <w:style w:type="paragraph" w:styleId="3">
    <w:name w:val="heading 2"/>
    <w:basedOn w:val="1"/>
    <w:next w:val="1"/>
    <w:qFormat/>
    <w:uiPriority w:val="0"/>
    <w:pPr>
      <w:keepNext/>
      <w:ind w:firstLine="2875"/>
      <w:outlineLvl w:val="1"/>
    </w:pPr>
    <w:rPr>
      <w:rFonts w:eastAsia="楷体_GB2312"/>
      <w:sz w:val="28"/>
    </w:rPr>
  </w:style>
  <w:style w:type="paragraph" w:styleId="4">
    <w:name w:val="heading 3"/>
    <w:basedOn w:val="1"/>
    <w:next w:val="1"/>
    <w:qFormat/>
    <w:uiPriority w:val="0"/>
    <w:pPr>
      <w:keepNext/>
      <w:jc w:val="center"/>
      <w:outlineLvl w:val="2"/>
    </w:pPr>
    <w:rPr>
      <w:rFonts w:eastAsia="楷体_GB2312"/>
      <w:b/>
      <w:bCs/>
      <w:sz w:val="32"/>
    </w:rPr>
  </w:style>
  <w:style w:type="paragraph" w:styleId="5">
    <w:name w:val="heading 4"/>
    <w:basedOn w:val="1"/>
    <w:next w:val="1"/>
    <w:semiHidden/>
    <w:unhideWhenUsed/>
    <w:qFormat/>
    <w:uiPriority w:val="0"/>
    <w:pPr>
      <w:keepNext/>
      <w:keepLines/>
      <w:spacing w:before="280" w:after="290" w:line="372" w:lineRule="auto"/>
      <w:outlineLvl w:val="3"/>
    </w:pPr>
    <w:rPr>
      <w:rFonts w:ascii="Arial" w:hAnsi="Arial" w:eastAsia="黑体"/>
      <w:b/>
      <w:sz w:val="28"/>
    </w:rPr>
  </w:style>
  <w:style w:type="character" w:default="1" w:styleId="25">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2"/>
    <w:qFormat/>
    <w:uiPriority w:val="0"/>
    <w:pPr>
      <w:jc w:val="left"/>
    </w:pPr>
  </w:style>
  <w:style w:type="paragraph" w:styleId="8">
    <w:name w:val="Body Text"/>
    <w:basedOn w:val="1"/>
    <w:qFormat/>
    <w:uiPriority w:val="0"/>
    <w:pPr>
      <w:spacing w:before="240"/>
      <w:jc w:val="center"/>
    </w:pPr>
    <w:rPr>
      <w:sz w:val="32"/>
      <w:szCs w:val="20"/>
    </w:rPr>
  </w:style>
  <w:style w:type="paragraph" w:styleId="9">
    <w:name w:val="Body Text Indent"/>
    <w:basedOn w:val="1"/>
    <w:qFormat/>
    <w:uiPriority w:val="0"/>
    <w:pPr>
      <w:spacing w:before="240"/>
      <w:ind w:firstLine="484" w:firstLineChars="205"/>
    </w:pPr>
    <w:rPr>
      <w:rFonts w:ascii="宋体" w:hAnsi="宋体"/>
      <w:sz w:val="24"/>
    </w:rPr>
  </w:style>
  <w:style w:type="paragraph" w:styleId="10">
    <w:name w:val="toc 3"/>
    <w:basedOn w:val="1"/>
    <w:next w:val="1"/>
    <w:qFormat/>
    <w:uiPriority w:val="0"/>
    <w:pPr>
      <w:ind w:left="840" w:leftChars="400"/>
    </w:pPr>
  </w:style>
  <w:style w:type="paragraph" w:styleId="11">
    <w:name w:val="Plain Text"/>
    <w:basedOn w:val="1"/>
    <w:qFormat/>
    <w:uiPriority w:val="0"/>
    <w:rPr>
      <w:rFonts w:ascii="宋体" w:hAnsi="Courier New"/>
    </w:rPr>
  </w:style>
  <w:style w:type="paragraph" w:styleId="12">
    <w:name w:val="endnote text"/>
    <w:basedOn w:val="1"/>
    <w:qFormat/>
    <w:uiPriority w:val="0"/>
    <w:pPr>
      <w:snapToGrid w:val="0"/>
      <w:jc w:val="left"/>
    </w:pPr>
  </w:style>
  <w:style w:type="paragraph" w:styleId="13">
    <w:name w:val="Balloon Text"/>
    <w:basedOn w:val="1"/>
    <w:link w:val="33"/>
    <w:qFormat/>
    <w:uiPriority w:val="0"/>
    <w:rPr>
      <w:sz w:val="18"/>
      <w:szCs w:val="18"/>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Body Text 2"/>
    <w:basedOn w:val="1"/>
    <w:qFormat/>
    <w:uiPriority w:val="0"/>
    <w:pPr>
      <w:jc w:val="center"/>
    </w:pPr>
    <w:rPr>
      <w:rFonts w:eastAsia="黑体"/>
      <w:sz w:val="44"/>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20">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1">
    <w:name w:val="Title"/>
    <w:basedOn w:val="1"/>
    <w:qFormat/>
    <w:uiPriority w:val="0"/>
    <w:pPr>
      <w:ind w:firstLine="630" w:firstLineChars="200"/>
      <w:jc w:val="center"/>
    </w:pPr>
    <w:rPr>
      <w:b/>
      <w:bCs/>
      <w:sz w:val="32"/>
    </w:rPr>
  </w:style>
  <w:style w:type="paragraph" w:styleId="22">
    <w:name w:val="annotation subject"/>
    <w:basedOn w:val="7"/>
    <w:next w:val="7"/>
    <w:link w:val="34"/>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character" w:styleId="27">
    <w:name w:val="endnote reference"/>
    <w:basedOn w:val="25"/>
    <w:qFormat/>
    <w:uiPriority w:val="0"/>
    <w:rPr>
      <w:vertAlign w:val="superscript"/>
    </w:rPr>
  </w:style>
  <w:style w:type="character" w:styleId="28">
    <w:name w:val="page number"/>
    <w:basedOn w:val="25"/>
    <w:qFormat/>
    <w:uiPriority w:val="0"/>
  </w:style>
  <w:style w:type="character" w:styleId="29">
    <w:name w:val="Hyperlink"/>
    <w:qFormat/>
    <w:uiPriority w:val="0"/>
    <w:rPr>
      <w:color w:val="0000FF"/>
      <w:u w:val="single"/>
    </w:rPr>
  </w:style>
  <w:style w:type="character" w:styleId="30">
    <w:name w:val="HTML Code"/>
    <w:basedOn w:val="25"/>
    <w:qFormat/>
    <w:uiPriority w:val="0"/>
    <w:rPr>
      <w:rFonts w:ascii="Courier New" w:hAnsi="Courier New"/>
      <w:sz w:val="20"/>
    </w:rPr>
  </w:style>
  <w:style w:type="character" w:styleId="31">
    <w:name w:val="annotation reference"/>
    <w:qFormat/>
    <w:uiPriority w:val="0"/>
    <w:rPr>
      <w:sz w:val="21"/>
      <w:szCs w:val="21"/>
    </w:rPr>
  </w:style>
  <w:style w:type="character" w:customStyle="1" w:styleId="32">
    <w:name w:val="批注文字 字符"/>
    <w:link w:val="7"/>
    <w:qFormat/>
    <w:uiPriority w:val="0"/>
    <w:rPr>
      <w:kern w:val="2"/>
      <w:sz w:val="21"/>
      <w:szCs w:val="24"/>
    </w:rPr>
  </w:style>
  <w:style w:type="character" w:customStyle="1" w:styleId="33">
    <w:name w:val="批注框文本 字符"/>
    <w:link w:val="13"/>
    <w:qFormat/>
    <w:uiPriority w:val="0"/>
    <w:rPr>
      <w:kern w:val="2"/>
      <w:sz w:val="18"/>
      <w:szCs w:val="18"/>
    </w:rPr>
  </w:style>
  <w:style w:type="character" w:customStyle="1" w:styleId="34">
    <w:name w:val="批注主题 字符"/>
    <w:link w:val="22"/>
    <w:qFormat/>
    <w:uiPriority w:val="0"/>
    <w:rPr>
      <w:b/>
      <w:bCs/>
      <w:kern w:val="2"/>
      <w:sz w:val="21"/>
      <w:szCs w:val="24"/>
    </w:rPr>
  </w:style>
  <w:style w:type="character" w:customStyle="1" w:styleId="35">
    <w:name w:val="apple-converted-space"/>
    <w:qFormat/>
    <w:uiPriority w:val="0"/>
  </w:style>
  <w:style w:type="paragraph" w:customStyle="1" w:styleId="36">
    <w:name w:val="AMDisplayEquation"/>
    <w:basedOn w:val="1"/>
    <w:next w:val="1"/>
    <w:qFormat/>
    <w:uiPriority w:val="0"/>
    <w:pPr>
      <w:tabs>
        <w:tab w:val="center" w:pos="4160"/>
        <w:tab w:val="right" w:pos="8300"/>
      </w:tabs>
    </w:pPr>
  </w:style>
  <w:style w:type="paragraph" w:customStyle="1" w:styleId="37">
    <w:name w:val="WPSOffice手动目录 1"/>
    <w:qFormat/>
    <w:uiPriority w:val="0"/>
    <w:rPr>
      <w:rFonts w:ascii="Times New Roman" w:hAnsi="Times New Roman" w:eastAsia="宋体" w:cs="Times New Roman"/>
      <w:lang w:val="en-US" w:eastAsia="zh-CN" w:bidi="ar-SA"/>
    </w:rPr>
  </w:style>
  <w:style w:type="paragraph" w:customStyle="1" w:styleId="3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9">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40">
    <w:name w:val="10"/>
    <w:basedOn w:val="25"/>
    <w:qFormat/>
    <w:uiPriority w:val="0"/>
    <w:rPr>
      <w:rFonts w:hint="default" w:ascii="Times New Roman" w:hAnsi="Times New Roman" w:cs="Times New Roman"/>
    </w:rPr>
  </w:style>
  <w:style w:type="character" w:customStyle="1" w:styleId="41">
    <w:name w:val="15"/>
    <w:basedOn w:val="25"/>
    <w:qFormat/>
    <w:uiPriority w:val="0"/>
    <w:rPr>
      <w:rFonts w:hint="default" w:ascii="Times New Roman" w:hAnsi="Times New Roman" w:cs="Times New Roman"/>
    </w:rPr>
  </w:style>
  <w:style w:type="paragraph" w:customStyle="1" w:styleId="42">
    <w:name w:val="修订1"/>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4" Type="http://schemas.microsoft.com/office/2011/relationships/people" Target="people.xml"/><Relationship Id="rId63" Type="http://schemas.openxmlformats.org/officeDocument/2006/relationships/fontTable" Target="fontTable.xml"/><Relationship Id="rId62" Type="http://schemas.openxmlformats.org/officeDocument/2006/relationships/customXml" Target="../customXml/item1.xml"/><Relationship Id="rId61" Type="http://schemas.openxmlformats.org/officeDocument/2006/relationships/image" Target="media/image35.png"/><Relationship Id="rId60" Type="http://schemas.openxmlformats.org/officeDocument/2006/relationships/image" Target="media/image34.png"/><Relationship Id="rId6" Type="http://schemas.openxmlformats.org/officeDocument/2006/relationships/header" Target="header2.xml"/><Relationship Id="rId59" Type="http://schemas.openxmlformats.org/officeDocument/2006/relationships/image" Target="media/image33.png"/><Relationship Id="rId58" Type="http://schemas.openxmlformats.org/officeDocument/2006/relationships/image" Target="media/image32.png"/><Relationship Id="rId57" Type="http://schemas.openxmlformats.org/officeDocument/2006/relationships/image" Target="media/image31.png"/><Relationship Id="rId56" Type="http://schemas.openxmlformats.org/officeDocument/2006/relationships/image" Target="media/image30.pn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header" Target="header1.xml"/><Relationship Id="rId49" Type="http://schemas.openxmlformats.org/officeDocument/2006/relationships/image" Target="media/image23.png"/><Relationship Id="rId48" Type="http://schemas.openxmlformats.org/officeDocument/2006/relationships/image" Target="media/image22.svg"/><Relationship Id="rId47" Type="http://schemas.openxmlformats.org/officeDocument/2006/relationships/image" Target="media/image21.png"/><Relationship Id="rId46" Type="http://schemas.openxmlformats.org/officeDocument/2006/relationships/image" Target="media/image20.png"/><Relationship Id="rId45" Type="http://schemas.openxmlformats.org/officeDocument/2006/relationships/image" Target="media/image19.png"/><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png"/><Relationship Id="rId40" Type="http://schemas.openxmlformats.org/officeDocument/2006/relationships/image" Target="media/image14.png"/><Relationship Id="rId4" Type="http://schemas.microsoft.com/office/2011/relationships/commentsExtended" Target="commentsExtended.xml"/><Relationship Id="rId39" Type="http://schemas.openxmlformats.org/officeDocument/2006/relationships/image" Target="media/image13.svg"/><Relationship Id="rId38" Type="http://schemas.openxmlformats.org/officeDocument/2006/relationships/image" Target="media/image12.png"/><Relationship Id="rId37" Type="http://schemas.openxmlformats.org/officeDocument/2006/relationships/image" Target="media/image11.svg"/><Relationship Id="rId36" Type="http://schemas.openxmlformats.org/officeDocument/2006/relationships/image" Target="media/image10.png"/><Relationship Id="rId35" Type="http://schemas.openxmlformats.org/officeDocument/2006/relationships/image" Target="media/image9.svg"/><Relationship Id="rId34" Type="http://schemas.openxmlformats.org/officeDocument/2006/relationships/image" Target="media/image8.png"/><Relationship Id="rId33" Type="http://schemas.openxmlformats.org/officeDocument/2006/relationships/image" Target="media/image7.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4.jpeg"/><Relationship Id="rId3" Type="http://schemas.openxmlformats.org/officeDocument/2006/relationships/comments" Target="comments.xml"/><Relationship Id="rId29" Type="http://schemas.openxmlformats.org/officeDocument/2006/relationships/image" Target="media/image3.jpeg"/><Relationship Id="rId28" Type="http://schemas.openxmlformats.org/officeDocument/2006/relationships/image" Target="media/image2.jpeg"/><Relationship Id="rId27" Type="http://schemas.openxmlformats.org/officeDocument/2006/relationships/image" Target="media/image1.jpeg"/><Relationship Id="rId26" Type="http://schemas.openxmlformats.org/officeDocument/2006/relationships/theme" Target="theme/theme1.xml"/><Relationship Id="rId25" Type="http://schemas.openxmlformats.org/officeDocument/2006/relationships/footer" Target="footer7.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ZWYQ</Company>
  <Pages>57</Pages>
  <Words>11107</Words>
  <Characters>14978</Characters>
  <Lines>1091</Lines>
  <Paragraphs>893</Paragraphs>
  <TotalTime>59</TotalTime>
  <ScaleCrop>false</ScaleCrop>
  <LinksUpToDate>false</LinksUpToDate>
  <CharactersWithSpaces>15548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2023-11-13T01:56:00Z</dcterms:created>
  <dc:creator>匿名用户</dc:creator>
  <cp:lastModifiedBy>huxingzhou</cp:lastModifiedBy>
  <cp:lastPrinted>2023-11-29T01:18:00Z</cp:lastPrinted>
  <dcterms:modified xsi:type="dcterms:W3CDTF">2026-05-14T15:26:50Z</dcterms:modified>
  <dc:title>重庆大学本科学生毕业设计（论文）</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FEEA3E9A0D2744C694D250C8C8C135AD_13</vt:lpwstr>
  </property>
  <property fmtid="{D5CDD505-2E9C-101B-9397-08002B2CF9AE}" pid="4" name="KSOTemplateDocerSaveRecord">
    <vt:lpwstr>eyJoZGlkIjoiOTVlZjA4OTM2MzdiOTYxZGFmMWUzOTkzMzZmYmZmYmYifQ==</vt:lpwstr>
  </property>
</Properties>
</file>