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40" w:righ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hasło: rush </w:t>
      </w:r>
    </w:p>
    <w:tbl>
      <w:tblPr>
        <w:tblStyle w:val="Table1"/>
        <w:tblW w:w="1189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65"/>
        <w:gridCol w:w="2775"/>
        <w:gridCol w:w="1755"/>
        <w:tblGridChange w:id="0">
          <w:tblGrid>
            <w:gridCol w:w="7365"/>
            <w:gridCol w:w="2775"/>
            <w:gridCol w:w="1755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SCREEN Z PYTANIEM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PRZEPISANE PYTANIE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ODPOWIEDŹ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2235200"/>
                  <wp:effectExtent b="0" l="0" r="0" t="0"/>
                  <wp:docPr id="41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 systemie QNX od wersji 6 dostępne są algorytmy szeregowania wątków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ABE</w:t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  <w:t xml:space="preserve">QNX Neutrino zapewnia trzy algorytmy szeregowania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wątków: FIFO (ang. FIFO scheduling), karuzelowy (ang.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round-robin scheduling) i sporadyczny (ang. sporadic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scheduling).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ABE imo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81075" cy="228600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381375" cy="2114550"/>
                  <wp:effectExtent b="0" l="0" r="0" t="0"/>
                  <wp:docPr id="43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114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 QNX gwarantuje atomowość operacji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dodawanie wartości; odejmowanie wartości; czyszczenie bitów; ustawianie bitów; dopełnienie bitów.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Wszystkie!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wszystkie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91025" cy="2314575"/>
                  <wp:effectExtent b="0" l="0" r="0" t="0"/>
                  <wp:docPr id="42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314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Architektura menadżera zasobów obowiązkowo zawiera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bb c d?</w:t>
              <w:br w:type="textWrapping"/>
              <w:t xml:space="preserve">slajd 197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 c 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19325" cy="1438275"/>
                  <wp:effectExtent b="0" l="0" r="0" t="0"/>
                  <wp:docPr id="2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438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Jądro systemu QNX jest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c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“System operacyjny oparty na mikrojądrze jest zbudowany tak, że zawiera mikrojądro z minimalną ilością usług. “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2184400"/>
                  <wp:effectExtent b="0" l="0" r="0" t="0"/>
                  <wp:docPr id="2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18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Klasy systemów czasu rzeczywistego, ze względu na dotrzymanie terminów 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c,a,e</w:t>
            </w:r>
          </w:p>
        </w:tc>
      </w:tr>
      <w:tr>
        <w:trPr>
          <w:trHeight w:val="4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05275" cy="2362200"/>
                  <wp:effectExtent b="0" l="0" r="0" t="0"/>
                  <wp:docPr id="29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Rodzaje komunikatów wysyłanych do menadżerów zasobów to:</w:t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– Komunikaty połączeniowe.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– Komunikaty I/O.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05250" cy="1952625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1952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Własności systemów SMP 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c,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d, e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slajd 134</w:t>
              <w:br w:type="textWrapping"/>
              <w:br w:type="textWrapping"/>
              <w:t xml:space="preserve">cde?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86225" cy="2152650"/>
                  <wp:effectExtent b="0" l="0" r="0" t="0"/>
                  <wp:docPr id="44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152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Menadżer procesów zarządza: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a, d, e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procesami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pamiecia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sciezkami dostepu,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47975" cy="2009775"/>
                  <wp:effectExtent b="0" l="0" r="0" t="0"/>
                  <wp:docPr id="3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009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Wg. POSIX sygnały adresowane są do: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c, b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slajd 99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1955800"/>
                  <wp:effectExtent b="0" l="0" r="0" t="0"/>
                  <wp:docPr id="3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Synchronizację wątków uruchomienia na różnych węzłach sieci umożliwiają: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d?,e,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slajd 63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33850" cy="2152650"/>
                  <wp:effectExtent b="0" l="0" r="0" t="0"/>
                  <wp:docPr id="2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152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Polityki QoS w sieci QNet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b,c,d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1816100"/>
                  <wp:effectExtent b="0" l="0" r="0" t="0"/>
                  <wp:docPr id="40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Sygnały czasu rzeczywistego w porównaniu z sygnałami tradycyjnymi wg standardów POSIX: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a,c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48125" cy="2019300"/>
                  <wp:effectExtent b="0" l="0" r="0" t="0"/>
                  <wp:docPr id="35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 jądrze systemu QNX zostały zaimplementowane mechanizmy IPC: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c,b,d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1739900"/>
                  <wp:effectExtent b="0" l="0" r="0" t="0"/>
                  <wp:docPr id="3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Podstawowe własności komunikatów synchronicznych 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synchronicznosc i kopiowanie czyli c i e w prezentacji jest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12700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Właściwości programowego watchdoga: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a,b ??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slajd 164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43375" cy="2371725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2371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Systemy RTOS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A, C, 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1790700"/>
                  <wp:effectExtent b="0" l="0" r="0" t="0"/>
                  <wp:docPr id="46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zgodnie z przyjętymi definicjami system czasu rzeczywistego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100291" cy="1576388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291" cy="1576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 czasu rzeczywistego w którym przekroczenie terminu powoduje poważne , a naw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2171700"/>
                  <wp:effectExtent b="0" l="0" r="0" t="0"/>
                  <wp:docPr id="3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synchronizację wątków uruchomionych na różnych węzłach sieci umożliwiają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 100%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nie wiem czy tylko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bariery tez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67175" cy="1895475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1895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Mechanizm pamięci dzielonej udostępniany jest przez: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12446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Systemy czasu rzeczywistego, w którym przekroczenie terminy powoduje poważne, a nawet katastrofalne skutki(zagrożenie życia lub zdrowia, zniszczenie lub uszkodzenie urządzeń) 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1600200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Właściwości programowego watchdoga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było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slajd 164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43425" cy="1498600"/>
                  <wp:effectExtent b="0" l="0" r="0" t="0"/>
                  <wp:docPr id="38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Które z wymienionych mechanizmów zaimplementowane są bezpośrednio w jądrze systemu QNX: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HELPHELP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a,b,e?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+1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 też chyba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tylko?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 też</w:t>
              <w:br w:type="textWrapping"/>
              <w:br w:type="textWrapping"/>
              <w:t xml:space="preserve">slajd 81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ind w:left="-144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865.0" w:type="dxa"/>
        <w:jc w:val="left"/>
        <w:tblInd w:w="-13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40"/>
        <w:gridCol w:w="2625"/>
        <w:gridCol w:w="1800"/>
        <w:tblGridChange w:id="0">
          <w:tblGrid>
            <w:gridCol w:w="7440"/>
            <w:gridCol w:w="2625"/>
            <w:gridCol w:w="18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91050" cy="1270000"/>
                  <wp:effectExtent b="0" l="0" r="0" t="0"/>
                  <wp:docPr id="2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Klasy systemów czasu rzeczywistego, ze względu na dotrzymywanie terminów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było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91050" cy="1397000"/>
                  <wp:effectExtent b="0" l="0" r="0" t="0"/>
                  <wp:docPr id="39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Systemy czasu rzeczywistego w porównaniu z sygnałami tradycyjnymi wg standardów POSIX: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 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46500" cy="2857500"/>
                  <wp:effectExtent b="0" l="0" r="0" t="0"/>
                  <wp:docPr id="1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Podstawowe własności komunikatów synchronicznych 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 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2095500"/>
                  <wp:effectExtent b="0" l="0" r="0" t="0"/>
                  <wp:docPr id="3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Sygnały czasu rzeczywistego w porównaniu z sygnałami tradycyjnymi wg standardów POSIX: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2349500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 systemie QNX od wersji 6 dostępne są algorytmy szeregowania wątków: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20828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 czasu rzeczywistego, w którym przekroczenie terminu powoduje poważne, a nawet katastrofalne skutki (zagrożenia życia lub zdrowia, zniszczenie lub uszkodzenie urządzeń) 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1739900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Mechanizm pamięci dzielonej uruchamiany jest przez: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2120900"/>
                  <wp:effectExtent b="0" l="0" r="0" t="0"/>
                  <wp:docPr id="1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Synchronizacjęwątków uruchomionych na różnych węzłach sieci umożliwiają: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2222500"/>
                  <wp:effectExtent b="0" l="0" r="0" t="0"/>
                  <wp:docPr id="47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Rodzaje komunikatów wysyłanych do menadżerów zasobów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2324100"/>
                  <wp:effectExtent b="0" l="0" r="0" t="0"/>
                  <wp:docPr id="2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810000" cy="2082800"/>
                  <wp:effectExtent b="0" l="0" r="0" t="0"/>
                  <wp:docPr id="45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Systemy RTOS to: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Które z wymienionycKh mechanizmów zaimp,ementowa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20828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810000" cy="1612900"/>
                  <wp:effectExtent b="0" l="0" r="0" t="0"/>
                  <wp:docPr id="2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Menadżer procesów zarządza: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Jądro systemu QNX jest: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1701800"/>
                  <wp:effectExtent b="0" l="0" r="0" t="0"/>
                  <wp:docPr id="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Wg. POSIX sygnały adresowane są do: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1854200"/>
                  <wp:effectExtent b="0" l="0" r="0" t="0"/>
                  <wp:docPr id="9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Zgodnie z przyjętymi definicjami systemu czasu rzeczywistego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1816100"/>
                  <wp:effectExtent b="0" l="0" r="0" t="0"/>
                  <wp:docPr id="32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810000" cy="2044700"/>
                  <wp:effectExtent b="0" l="0" r="0" t="0"/>
                  <wp:docPr id="19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 QNX gwarantuje atomowść operacji:</w:t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br w:type="textWrapping"/>
              <w:t xml:space="preserve">Właściwości programowego watchdaga: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173990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Mechanizm pamięci dzielonej udostępniany jest przez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menadżer procesów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biblioteki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2438400"/>
                  <wp:effectExtent b="0" l="0" r="0" t="0"/>
                  <wp:docPr id="25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Klasy systemów czasu rzeczywistego, ze względu na dotrzymywanie terminów: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2006600"/>
                  <wp:effectExtent b="0" l="0" r="0" t="0"/>
                  <wp:docPr id="7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własności systemów smp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9650" cy="546100"/>
                  <wp:effectExtent b="0" l="0" r="0" t="0"/>
                  <wp:docPr id="37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10000" cy="20447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ind w:left="-144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89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85"/>
        <w:gridCol w:w="2565"/>
        <w:gridCol w:w="1845"/>
        <w:tblGridChange w:id="0">
          <w:tblGrid>
            <w:gridCol w:w="7485"/>
            <w:gridCol w:w="2565"/>
            <w:gridCol w:w="18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-144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89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70"/>
        <w:gridCol w:w="2535"/>
        <w:gridCol w:w="1890"/>
        <w:tblGridChange w:id="0">
          <w:tblGrid>
            <w:gridCol w:w="7470"/>
            <w:gridCol w:w="2535"/>
            <w:gridCol w:w="18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-144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189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70"/>
        <w:gridCol w:w="2535"/>
        <w:gridCol w:w="1890"/>
        <w:tblGridChange w:id="0">
          <w:tblGrid>
            <w:gridCol w:w="7470"/>
            <w:gridCol w:w="2535"/>
            <w:gridCol w:w="18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-144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189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85"/>
        <w:gridCol w:w="2535"/>
        <w:gridCol w:w="1875"/>
        <w:tblGridChange w:id="0">
          <w:tblGrid>
            <w:gridCol w:w="7485"/>
            <w:gridCol w:w="2535"/>
            <w:gridCol w:w="18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7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-144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189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85"/>
        <w:gridCol w:w="2520"/>
        <w:gridCol w:w="1890"/>
        <w:tblGridChange w:id="0">
          <w:tblGrid>
            <w:gridCol w:w="7485"/>
            <w:gridCol w:w="2520"/>
            <w:gridCol w:w="18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6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-144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1909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9.6666666666665"/>
        <w:gridCol w:w="3969.6666666666665"/>
        <w:gridCol w:w="3969.6666666666665"/>
        <w:tblGridChange w:id="0">
          <w:tblGrid>
            <w:gridCol w:w="3969.6666666666665"/>
            <w:gridCol w:w="3969.6666666666665"/>
            <w:gridCol w:w="396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5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-144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1909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9.6666666666665"/>
        <w:gridCol w:w="3969.6666666666665"/>
        <w:gridCol w:w="3969.6666666666665"/>
        <w:tblGridChange w:id="0">
          <w:tblGrid>
            <w:gridCol w:w="3969.6666666666665"/>
            <w:gridCol w:w="3969.6666666666665"/>
            <w:gridCol w:w="396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4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-144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1909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9.6666666666665"/>
        <w:gridCol w:w="3969.6666666666665"/>
        <w:gridCol w:w="3969.6666666666665"/>
        <w:tblGridChange w:id="0">
          <w:tblGrid>
            <w:gridCol w:w="3969.6666666666665"/>
            <w:gridCol w:w="3969.6666666666665"/>
            <w:gridCol w:w="396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3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-1440" w:right="0" w:firstLine="0"/>
        <w:rPr>
          <w:rFonts w:ascii="Caveat" w:cs="Caveat" w:eastAsia="Caveat" w:hAnsi="Caveat"/>
          <w:color w:val="202122"/>
          <w:sz w:val="96"/>
          <w:szCs w:val="96"/>
          <w:highlight w:val="white"/>
        </w:rPr>
      </w:pPr>
      <w:r w:rsidDel="00000000" w:rsidR="00000000" w:rsidRPr="00000000">
        <w:rPr>
          <w:rFonts w:ascii="Caveat" w:cs="Caveat" w:eastAsia="Caveat" w:hAnsi="Caveat"/>
          <w:color w:val="202122"/>
          <w:sz w:val="96"/>
          <w:szCs w:val="96"/>
          <w:highlight w:val="white"/>
          <w:rtl w:val="0"/>
        </w:rPr>
        <w:t xml:space="preserve">Nazywam się Kononowicz Krzysztof.</w:t>
      </w:r>
    </w:p>
    <w:p w:rsidR="00000000" w:rsidDel="00000000" w:rsidP="00000000" w:rsidRDefault="00000000" w:rsidRPr="00000000" w14:paraId="000002F6">
      <w:pPr>
        <w:ind w:left="-1440" w:right="0" w:firstLine="0"/>
        <w:rPr>
          <w:rFonts w:ascii="Caveat" w:cs="Caveat" w:eastAsia="Caveat" w:hAnsi="Caveat"/>
          <w:color w:val="202122"/>
          <w:sz w:val="96"/>
          <w:szCs w:val="96"/>
          <w:highlight w:val="white"/>
        </w:rPr>
      </w:pPr>
      <w:r w:rsidDel="00000000" w:rsidR="00000000" w:rsidRPr="00000000">
        <w:rPr>
          <w:rFonts w:ascii="Caveat" w:cs="Caveat" w:eastAsia="Caveat" w:hAnsi="Caveat"/>
          <w:color w:val="202122"/>
          <w:sz w:val="96"/>
          <w:szCs w:val="96"/>
          <w:highlight w:val="white"/>
        </w:rPr>
        <w:drawing>
          <wp:inline distB="114300" distT="114300" distL="114300" distR="114300">
            <wp:extent cx="6645600" cy="3048000"/>
            <wp:effectExtent b="0" l="0" r="0" t="0"/>
            <wp:docPr id="2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-1440" w:right="0" w:firstLine="0"/>
        <w:jc w:val="center"/>
        <w:rPr/>
      </w:pPr>
      <w:r w:rsidDel="00000000" w:rsidR="00000000" w:rsidRPr="00000000">
        <w:rPr>
          <w:rtl w:val="0"/>
        </w:rPr>
      </w:r>
    </w:p>
    <w:sectPr>
      <w:pgSz w:h="16834" w:w="11909"/>
      <w:pgMar w:bottom="0" w:top="0" w:left="144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veat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13.png"/><Relationship Id="rId41" Type="http://schemas.openxmlformats.org/officeDocument/2006/relationships/image" Target="media/image7.png"/><Relationship Id="rId44" Type="http://schemas.openxmlformats.org/officeDocument/2006/relationships/image" Target="media/image43.png"/><Relationship Id="rId43" Type="http://schemas.openxmlformats.org/officeDocument/2006/relationships/image" Target="media/image12.png"/><Relationship Id="rId46" Type="http://schemas.openxmlformats.org/officeDocument/2006/relationships/image" Target="media/image44.png"/><Relationship Id="rId45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45.png"/><Relationship Id="rId47" Type="http://schemas.openxmlformats.org/officeDocument/2006/relationships/image" Target="media/image6.png"/><Relationship Id="rId49" Type="http://schemas.openxmlformats.org/officeDocument/2006/relationships/image" Target="media/image47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7" Type="http://schemas.openxmlformats.org/officeDocument/2006/relationships/image" Target="media/image17.png"/><Relationship Id="rId8" Type="http://schemas.openxmlformats.org/officeDocument/2006/relationships/image" Target="media/image36.png"/><Relationship Id="rId31" Type="http://schemas.openxmlformats.org/officeDocument/2006/relationships/image" Target="media/image33.png"/><Relationship Id="rId30" Type="http://schemas.openxmlformats.org/officeDocument/2006/relationships/image" Target="media/image25.png"/><Relationship Id="rId33" Type="http://schemas.openxmlformats.org/officeDocument/2006/relationships/image" Target="media/image30.png"/><Relationship Id="rId32" Type="http://schemas.openxmlformats.org/officeDocument/2006/relationships/image" Target="media/image18.png"/><Relationship Id="rId35" Type="http://schemas.openxmlformats.org/officeDocument/2006/relationships/image" Target="media/image4.png"/><Relationship Id="rId34" Type="http://schemas.openxmlformats.org/officeDocument/2006/relationships/image" Target="media/image5.png"/><Relationship Id="rId37" Type="http://schemas.openxmlformats.org/officeDocument/2006/relationships/image" Target="media/image14.png"/><Relationship Id="rId36" Type="http://schemas.openxmlformats.org/officeDocument/2006/relationships/image" Target="media/image9.png"/><Relationship Id="rId39" Type="http://schemas.openxmlformats.org/officeDocument/2006/relationships/image" Target="media/image20.png"/><Relationship Id="rId38" Type="http://schemas.openxmlformats.org/officeDocument/2006/relationships/image" Target="media/image40.png"/><Relationship Id="rId20" Type="http://schemas.openxmlformats.org/officeDocument/2006/relationships/image" Target="media/image23.png"/><Relationship Id="rId22" Type="http://schemas.openxmlformats.org/officeDocument/2006/relationships/image" Target="media/image10.png"/><Relationship Id="rId21" Type="http://schemas.openxmlformats.org/officeDocument/2006/relationships/image" Target="media/image8.png"/><Relationship Id="rId24" Type="http://schemas.openxmlformats.org/officeDocument/2006/relationships/image" Target="media/image15.png"/><Relationship Id="rId23" Type="http://schemas.openxmlformats.org/officeDocument/2006/relationships/image" Target="media/image39.png"/><Relationship Id="rId26" Type="http://schemas.openxmlformats.org/officeDocument/2006/relationships/image" Target="media/image22.png"/><Relationship Id="rId25" Type="http://schemas.openxmlformats.org/officeDocument/2006/relationships/image" Target="media/image24.png"/><Relationship Id="rId28" Type="http://schemas.openxmlformats.org/officeDocument/2006/relationships/image" Target="media/image11.png"/><Relationship Id="rId27" Type="http://schemas.openxmlformats.org/officeDocument/2006/relationships/image" Target="media/image3.png"/><Relationship Id="rId29" Type="http://schemas.openxmlformats.org/officeDocument/2006/relationships/image" Target="media/image34.png"/><Relationship Id="rId51" Type="http://schemas.openxmlformats.org/officeDocument/2006/relationships/image" Target="media/image1.png"/><Relationship Id="rId50" Type="http://schemas.openxmlformats.org/officeDocument/2006/relationships/image" Target="media/image42.png"/><Relationship Id="rId52" Type="http://schemas.openxmlformats.org/officeDocument/2006/relationships/image" Target="media/image41.png"/><Relationship Id="rId11" Type="http://schemas.openxmlformats.org/officeDocument/2006/relationships/image" Target="media/image19.png"/><Relationship Id="rId10" Type="http://schemas.openxmlformats.org/officeDocument/2006/relationships/image" Target="media/image16.png"/><Relationship Id="rId13" Type="http://schemas.openxmlformats.org/officeDocument/2006/relationships/image" Target="media/image2.png"/><Relationship Id="rId12" Type="http://schemas.openxmlformats.org/officeDocument/2006/relationships/image" Target="media/image27.png"/><Relationship Id="rId15" Type="http://schemas.openxmlformats.org/officeDocument/2006/relationships/image" Target="media/image28.png"/><Relationship Id="rId14" Type="http://schemas.openxmlformats.org/officeDocument/2006/relationships/image" Target="media/image37.png"/><Relationship Id="rId17" Type="http://schemas.openxmlformats.org/officeDocument/2006/relationships/image" Target="media/image21.png"/><Relationship Id="rId16" Type="http://schemas.openxmlformats.org/officeDocument/2006/relationships/image" Target="media/image26.png"/><Relationship Id="rId19" Type="http://schemas.openxmlformats.org/officeDocument/2006/relationships/image" Target="media/image29.png"/><Relationship Id="rId1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