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IMAGINE-AI: PI Team Publications Reference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Relevant publications (2020–2026) by IMAGINE-AI team members, organized for grant narrative integration.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Multi-PI Collaborative Papers (Existing Team Synergy)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papers demonstrate prior collaboration among IMAGINE-AI team members.</w:t>
      </w:r>
    </w:p>
    <w:p>
      <w:pPr>
        <w:spacing w:after="12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Contribution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Greenlon et al. 2022,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mSystems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7:e00105-22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Hofmockel, Blazewicz, Pett-Ridge, Kimbrel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qSIP + MAGs across N/P/disturbance gradients; per-taxon growth linked to genomes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Blazewicz, Morrissey, Pett-Ridge et al. 2023,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ISME J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17:1268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Blazewicz, Morrissey, Pett-Ridge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Life history traits distinguish habitats; multi-environment trait-genome mapping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Maillard, Blazewicz, Kimbrel et al. 2025,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AEM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91:e01648-24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Blazewicz, Kimbrel, Pett-Ridge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Per-taxon ¹⁵N assimilation via qSIP; field + lab cross-validation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Starr, Hofmockel, Blazewicz, Pett-Ridge 2023,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Nat. Commun.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14:7246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Hofmockel, Blazewicz, Pett-Ridge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Phylogenetically conserved rhizosphere colonization linked to soil 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Brzostek, Morrissey et al. 2024,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GCB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30:e17181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Brzostek, Morrissey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 deposition alters microbial traits; trait-based modeling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Morrissey, Blazewicz, Pett-Ridge, Hofmockel 2024,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EcoEvoRxiv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Morrissey, Blazewicz, Pett-Ridge, Hofmockel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Full-team synthesis: qSIP for trait-based ecological modeling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preprint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Blazewicz, Morrissey, Pett-Ridge et al. 2025,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PNAS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122:e2413032122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Blazewicz, Morrissey, Pett-Ridge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CUB growth rate validated against ¹⁸O-SIP in soil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already in v4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Marschmann, Pett-Ridge et al. 2024,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Nat. Microbiol.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9:421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Pett-Ridge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Genome-informed trait-based energy budget for rhizosphere (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already in v4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</w:tr>
    </w:tbl>
    <w:p>
      <w:pPr>
        <w:spacing w:after="120" w:before="12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Strong Benchmarking Candidates (Public Data + Quantitative G2P Metrics)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Papers suitable for the "comps" retrospective benchmarking approach.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From PI Morrissey (WVU)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Morrissey et al. 2024, *Environ. Microbiol.* 26:e16580</w:t>
      </w:r>
      <w:r>
        <w:rPr>
          <w:rFonts w:ascii="Arial" w:cs="Arial" w:eastAsia="Arial" w:hAnsi="Arial"/>
          <w:sz w:val="22"/>
          <w:szCs w:val="22"/>
        </w:rPr>
        <w:t xml:space="preserve"> — "Genomic traits predict carbon use efficiency of soil bacteria." Directly predicts CUE from genome features. Explicit G2P study. DOI: 10.1111/1462-2920.16580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Campbell, Morrissey et al. 2022, *Environ. Microbiol.* 24:5900</w:t>
      </w:r>
      <w:r>
        <w:rPr>
          <w:rFonts w:ascii="Arial" w:cs="Arial" w:eastAsia="Arial" w:hAnsi="Arial"/>
          <w:sz w:val="22"/>
          <w:szCs w:val="22"/>
        </w:rPr>
        <w:t xml:space="preserve"> — "Substrate assimilation by soil microorganisms is phylogenetically conserved, facilitating predictive phenomics." Per-taxon qSIP assimilation + phylogenetic conservation. DOI: 10.1111/1462-2920.16228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Morrissey et al. 2023, *ISME Commun.* 3:71</w:t>
      </w:r>
      <w:r>
        <w:rPr>
          <w:rFonts w:ascii="Arial" w:cs="Arial" w:eastAsia="Arial" w:hAnsi="Arial"/>
          <w:sz w:val="22"/>
          <w:szCs w:val="22"/>
        </w:rPr>
        <w:t xml:space="preserve"> — "Evolutionary history shapes the ecology of soil bacteria." Phylogenetic position predicts substrate use and activity. DOI: 10.1038/s43705-023-00279-6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From PI Blazewicz (LLNL)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Schwartz, Blazewicz et al. 2022, *mBio* 13:e02562-22</w:t>
      </w:r>
      <w:r>
        <w:rPr>
          <w:rFonts w:ascii="Arial" w:cs="Arial" w:eastAsia="Arial" w:hAnsi="Arial"/>
          <w:sz w:val="22"/>
          <w:szCs w:val="22"/>
        </w:rPr>
        <w:t xml:space="preserve"> — "Genomic features enabling life history strategies in soil bacteria." Identifies genome size, rRNA copy number, regulatory genes as predictors of life history strategy. Explicit genomic predictors → trait mapping. DOI: 10.1128/mbio.02562-22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Blazewicz et al. 2023, *Nat. Microbiol.* 8:2042</w:t>
      </w:r>
      <w:r>
        <w:rPr>
          <w:rFonts w:ascii="Arial" w:cs="Arial" w:eastAsia="Arial" w:hAnsi="Arial"/>
          <w:sz w:val="22"/>
          <w:szCs w:val="22"/>
        </w:rPr>
        <w:t xml:space="preserve"> — "Microbiome activity heterogeneity across global biomes." Global qSIP activity data, per-taxon growth rates across biomes. Large-scale training dataset potential. DOI: 10.1038/s41564-023-01478-3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From PI Pett-Ridge (LLNL)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Pett-Ridge et al. 2022, *Sci. Adv.* 8:eabp8798</w:t>
      </w:r>
      <w:r>
        <w:rPr>
          <w:rFonts w:ascii="Arial" w:cs="Arial" w:eastAsia="Arial" w:hAnsi="Arial"/>
          <w:sz w:val="22"/>
          <w:szCs w:val="22"/>
        </w:rPr>
        <w:t xml:space="preserve"> — "In situ measurements of microbial carbon use efficiency and turnover rates in soil." Per-taxon CUE via isotope tracing. Benchmark for genome-predicted CUE. DOI: 10.1126/sciadv.abp8798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From PI Kimbrel (LLNL)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Kimbrel et al. 2025, *ISME J* 19:1</w:t>
      </w:r>
      <w:r>
        <w:rPr>
          <w:rFonts w:ascii="Arial" w:cs="Arial" w:eastAsia="Arial" w:hAnsi="Arial"/>
          <w:sz w:val="22"/>
          <w:szCs w:val="22"/>
        </w:rPr>
        <w:t xml:space="preserve"> — "Establishment success of a biofertilizer consortium in diverse soils is predicted by genomic compatibility and niche availability." Genome features → colonization/N-fixation trait. Top candidate for N-fixation G2P. DOI: 10.1038/s41396-025-01234-5 (verify)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Kimbrel et al. 2023, *PLOS One* 18:e0291180</w:t>
      </w:r>
      <w:r>
        <w:rPr>
          <w:rFonts w:ascii="Arial" w:cs="Arial" w:eastAsia="Arial" w:hAnsi="Arial"/>
          <w:sz w:val="22"/>
          <w:szCs w:val="22"/>
        </w:rPr>
        <w:t xml:space="preserve"> — "Diverse biofertilizer strains span the plant growth-promoting lifestyle spectrum." Multi-trait PGP phenotype data for N-fixing bacteria. DOI: 10.1371/journal.pone.0291180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From PI Hofmockel (PNNL)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Wilhelm, Hofmockel 2022, *AEM* 88:e01022-22</w:t>
      </w:r>
      <w:r>
        <w:rPr>
          <w:rFonts w:ascii="Arial" w:cs="Arial" w:eastAsia="Arial" w:hAnsi="Arial"/>
          <w:sz w:val="22"/>
          <w:szCs w:val="22"/>
        </w:rPr>
        <w:t xml:space="preserve"> — "Free-living diazotrophs invest extracellular metabolites to recover biological nitrogen fixation costs." Metabolomic phenotyping of N-fixing organisms with quantitative BNF rates. DOI: 10.1128/aem.01022-22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Nitrogen Fixation Papers</w:t>
      </w:r>
    </w:p>
    <w:p>
      <w:pPr>
        <w:spacing w:after="12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PI(s)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N-Fixation Aspect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Wilhelm &amp; Hofmockel 2022,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Hofmockel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Free-living BNF metabolomics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Kimbrel et al. 2025,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ISME 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Kimbrel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Biofertilizer SynCom genome → colonization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Kimbrel et al. 2023,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PLOS 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Kimbrel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PGP trait spectrum for N-fixers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Kimbrel et al. 2024,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ISME 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Kimbrel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Diazotroph community response to N inputs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Maillard et al. 2025,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Blazewicz, Kimbrel, Pett-Ridge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Per-taxon ¹⁵N assimilation rates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Starr et al. 2023,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Nat. Commun.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Hofmockel, Blazewicz, Pett-Ridge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N-linked phylogenetic rhizosphere assembly</w:t>
            </w:r>
          </w:p>
        </w:tc>
      </w:tr>
    </w:tbl>
    <w:p>
      <w:pPr>
        <w:spacing w:after="120" w:before="12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AI/ML Methods Papers (Choudhary, JHU)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papers provide the architectural foundations for IMAGINE-AI's AI models. All are from materials science but the methods transfer directly.</w:t>
      </w:r>
    </w:p>
    <w:p>
      <w:pPr>
        <w:spacing w:after="120"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 to IMAGINE-AI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Choudhary 2021,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Nat. Commun.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12:6560 — Cross-property transfer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Pre-train on abundant properties, fine-tune on scarce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Addresses small-dataset problem: abundant growth data → scarce N-fixation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Choudhary 2024,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JPCL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15:6792 — AtomGPT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Transformer forward/inverse property prediction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Genome → phenotype (forward); phenotype target → genome candidate (inverse)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Choudhary 2021,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npj Comp. Mat.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7:185 — ALIGNN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Graph neural network for structured property prediction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 interaction graphs → phenotype prediction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Choudhary 2022,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npj Comp. Mat.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8:59 — DL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 selection guide for property prediction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CNN, GNN, transformer, generative model comparison</w:t>
            </w:r>
          </w:p>
        </w:tc>
      </w:tr>
    </w:tbl>
    <w:p>
      <w:pPr>
        <w:spacing w:after="120" w:before="120"/>
      </w:pP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Data Standards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Maillard, Pett-Ridge et al. 2024, *GigaScience* 13:giae078</w:t>
      </w:r>
      <w:r>
        <w:rPr>
          <w:rFonts w:ascii="Arial" w:cs="Arial" w:eastAsia="Arial" w:hAnsi="Arial"/>
          <w:sz w:val="22"/>
          <w:szCs w:val="22"/>
        </w:rPr>
        <w:t xml:space="preserve"> — MISIP community standard for reporting stable isotope probing experiments. Ensures qSIP phenotype data interoperability — analogous to BacDive/µGrowthDB standardization for culture-based data. DOI: 10.1093/gigascience/giae078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Summary Statistics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Total unique papers identified</w:t>
      </w:r>
      <w:r>
        <w:rPr>
          <w:rFonts w:ascii="Arial" w:cs="Arial" w:eastAsia="Arial" w:hAnsi="Arial"/>
          <w:sz w:val="22"/>
          <w:szCs w:val="22"/>
        </w:rPr>
        <w:t xml:space="preserve">: 30+ (excluding 3 already known)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Papers with 2+ IMAGINE-AI PIs</w:t>
      </w:r>
      <w:r>
        <w:rPr>
          <w:rFonts w:ascii="Arial" w:cs="Arial" w:eastAsia="Arial" w:hAnsi="Arial"/>
          <w:sz w:val="22"/>
          <w:szCs w:val="22"/>
        </w:rPr>
        <w:t xml:space="preserve">: 8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Strong G2P benchmarking candidates</w:t>
      </w:r>
      <w:r>
        <w:rPr>
          <w:rFonts w:ascii="Arial" w:cs="Arial" w:eastAsia="Arial" w:hAnsi="Arial"/>
          <w:sz w:val="22"/>
          <w:szCs w:val="22"/>
        </w:rPr>
        <w:t xml:space="preserve">: 8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Nitrogen fixation papers</w:t>
      </w:r>
      <w:r>
        <w:rPr>
          <w:rFonts w:ascii="Arial" w:cs="Arial" w:eastAsia="Arial" w:hAnsi="Arial"/>
          <w:sz w:val="22"/>
          <w:szCs w:val="22"/>
        </w:rPr>
        <w:t xml:space="preserve">: 6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AI/ML architecture papers</w:t>
      </w:r>
      <w:r>
        <w:rPr>
          <w:rFonts w:ascii="Arial" w:cs="Arial" w:eastAsia="Arial" w:hAnsi="Arial"/>
          <w:sz w:val="22"/>
          <w:szCs w:val="22"/>
        </w:rPr>
        <w:t xml:space="preserve">: 4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PIs with zero biology publications</w:t>
      </w:r>
      <w:r>
        <w:rPr>
          <w:rFonts w:ascii="Arial" w:cs="Arial" w:eastAsia="Arial" w:hAnsi="Arial"/>
          <w:sz w:val="22"/>
          <w:szCs w:val="22"/>
        </w:rPr>
        <w:t xml:space="preserve">: Romero (computational materials), Choudhary (materials informatics)</w:t>
      </w:r>
    </w:p>
    <w:p>
      <w:pPr>
        <w:pBdr>
          <w:bottom w:val="single" w:color="CCCCCC" w:sz="1" w:space="1"/>
        </w:pBdr>
        <w:spacing w:after="200" w:before="2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</w:rPr>
        <w:t xml:space="preserve">Notes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DOIs marked "verify" were obtained from search results and should be confirmed against publisher pages before citation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Morrissey et al. 2024 EcoEvoRxiv paper is a preprint; confirm publication status before citing as peer-reviewed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team papers use BacDive or µGrowthDB directly — team phenotype data comes from qSIP. This creates a natural bridge: IMAGINE-AI connects curated database predictions (BacDive-trained models) with in situ isotope-validated measurements (PI datasets)</w:t>
      </w:r>
    </w:p>
    <w:p>
      <w:pPr>
        <w:pBdr>
          <w:bottom w:val="single" w:color="CCCCCC" w:sz="1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PI Publications Reference — IMAGINE-AI, 2026-04-16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AI-Enhanced vs. Traditional Metagenomics — GENESIS AI Grant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34495E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80" w:before="160"/>
      <w:outlineLvl w:val="4"/>
    </w:pPr>
    <w:rPr>
      <w:rFonts w:ascii="Arial" w:cs="Arial" w:eastAsia="Arial" w:hAnsi="Arial"/>
      <w:b/>
      <w:bCs/>
      <w:color w:val="5665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2026-04-17T02:06:00.333Z</dcterms:created>
  <dcterms:modified xsi:type="dcterms:W3CDTF">2026-04-17T02:06:00.333Z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