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IMAGINE-AI: Full 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Ordered by anticipated position in the Draft Narrative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Background and Conceptual Foundation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Karlsen ST, Rau MH, Sánchez BJ, Jensen K, Zeidan AA. (2023). Phenotype prediction from genetic data using machine learning and rule-based methods.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FEMS Microbiology Reviews</w:t>
      </w:r>
      <w:r>
        <w:rPr>
          <w:rFonts w:ascii="Arial" w:cs="Arial" w:eastAsia="Arial" w:hAnsi="Arial"/>
          <w:sz w:val="22"/>
          <w:szCs w:val="22"/>
        </w:rPr>
        <w:t xml:space="preserve">, 47(4), fuad025. DOI: 10.1093/femsre/fuad025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Pavlopoulos GA, Baltoumas FA, Liu S, Selvitopi O, Arisdakessian CG, et al. (2023). Unraveling the functional dark matter through global metagenomics.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Nature</w:t>
      </w:r>
      <w:r>
        <w:rPr>
          <w:rFonts w:ascii="Arial" w:cs="Arial" w:eastAsia="Arial" w:hAnsi="Arial"/>
          <w:sz w:val="22"/>
          <w:szCs w:val="22"/>
        </w:rPr>
        <w:t xml:space="preserve">, 622, 594–602. DOI: 10.1038/s41586-023-06583-7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Gloor GB, Macklaim JM, Pawlowsky-Glahn V, Egozcue JJ. (2017). Microbiome datasets are compositional: and this is not optional.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Frontiers in Microbiology</w:t>
      </w:r>
      <w:r>
        <w:rPr>
          <w:rFonts w:ascii="Arial" w:cs="Arial" w:eastAsia="Arial" w:hAnsi="Arial"/>
          <w:sz w:val="22"/>
          <w:szCs w:val="22"/>
        </w:rPr>
        <w:t xml:space="preserve">, 8, 2224. DOI: 10.3389/fmicb.2017.02224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Nearing JT, Douglas GM, Hayes MG, MacDonald J, Desai DK, Allber N, et al. (2022). Microbiome differential abundance methods produce different results across 38 datasets.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Nature Communications</w:t>
      </w:r>
      <w:r>
        <w:rPr>
          <w:rFonts w:ascii="Arial" w:cs="Arial" w:eastAsia="Arial" w:hAnsi="Arial"/>
          <w:sz w:val="22"/>
          <w:szCs w:val="22"/>
        </w:rPr>
        <w:t xml:space="preserve">, 13, 342. DOI: 10.1038/s41467-022-28034-z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Birhane A, Kalluri P, Card D, Agnew W, Dotan R, Bao M. (2023). Science in the age of large language models.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Nature Reviews Physics</w:t>
      </w:r>
      <w:r>
        <w:rPr>
          <w:rFonts w:ascii="Arial" w:cs="Arial" w:eastAsia="Arial" w:hAnsi="Arial"/>
          <w:sz w:val="22"/>
          <w:szCs w:val="22"/>
        </w:rPr>
        <w:t xml:space="preserve">, 5, 277–280. DOI: 10.1038/s42254-023-00581-4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Morrissey EM, Mau RL, Rodríguez-Reillo W, Campbell AN, Soule T, Glassman SI, Hungate BA. (2023). Evolutionary history shapes the ecology of soil bacteria.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ISME Communications</w:t>
      </w:r>
      <w:r>
        <w:rPr>
          <w:rFonts w:ascii="Arial" w:cs="Arial" w:eastAsia="Arial" w:hAnsi="Arial"/>
          <w:sz w:val="22"/>
          <w:szCs w:val="22"/>
        </w:rPr>
        <w:t xml:space="preserve">, 3, 71. DOI: 10.1038/s43705-023-00279-6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Campbell AN, Mau RL, Ruzicka V, Koch BJ, Schwartz E, Hungate BA, Morrissey EM. (2022). Substrate assimilation by soil microorganisms is phylogenetically conserved, facilitating predictive phenomics.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Environmental Microbiology</w:t>
      </w:r>
      <w:r>
        <w:rPr>
          <w:rFonts w:ascii="Arial" w:cs="Arial" w:eastAsia="Arial" w:hAnsi="Arial"/>
          <w:sz w:val="22"/>
          <w:szCs w:val="22"/>
        </w:rPr>
        <w:t xml:space="preserve">, 24(12), 5900–5912. DOI: 10.1111/1462-2920.16228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Pure Culture Genotype-to-Phenotype Prediction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Koblitz J, Reimer LC, Steenweg R, Overmann J, Fobofou SA, Sardari S. (2025). Predicting bacterial phenotypic traits through improved machine learning using high-quality, curated datasets.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Communications Biology</w:t>
      </w:r>
      <w:r>
        <w:rPr>
          <w:rFonts w:ascii="Arial" w:cs="Arial" w:eastAsia="Arial" w:hAnsi="Arial"/>
          <w:sz w:val="22"/>
          <w:szCs w:val="22"/>
        </w:rPr>
        <w:t xml:space="preserve">, 8, 780. DOI: 10.1038/s42003-025-08313-3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Bizzotto E, Moretti S, Zampieri G, Treu L, Campanaro S. (2024). MICROPHERRET: MIcrobial PRofile-based PHEnotype pRediction using machine leaRning mEThods.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Environmental Microbiome</w:t>
      </w:r>
      <w:r>
        <w:rPr>
          <w:rFonts w:ascii="Arial" w:cs="Arial" w:eastAsia="Arial" w:hAnsi="Arial"/>
          <w:sz w:val="22"/>
          <w:szCs w:val="22"/>
        </w:rPr>
        <w:t xml:space="preserve">, 19, 62. DOI: 10.1186/s40793-024-00600-6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 R, Selim A, Kuehn S. (2023). Statistical prediction of microbial metabolic traits from genomes.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PLoS Computational Biology</w:t>
      </w:r>
      <w:r>
        <w:rPr>
          <w:rFonts w:ascii="Arial" w:cs="Arial" w:eastAsia="Arial" w:hAnsi="Arial"/>
          <w:sz w:val="22"/>
          <w:szCs w:val="22"/>
        </w:rPr>
        <w:t xml:space="preserve">, 19(12), e1011705. DOI: 10.1371/journal.pcbi.1011705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Schwartz E, Neilson JW, Luo Y, Blazewicz SJ. (2022). Genomic features enabling life history strategies in soil bacteria.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mBio</w:t>
      </w:r>
      <w:r>
        <w:rPr>
          <w:rFonts w:ascii="Arial" w:cs="Arial" w:eastAsia="Arial" w:hAnsi="Arial"/>
          <w:sz w:val="22"/>
          <w:szCs w:val="22"/>
        </w:rPr>
        <w:t xml:space="preserve">, 13(6), e02562-22. DOI: 10.1128/mbio.02562-22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Morrissey EM, Campbell AN, Mau RL, Schwartz E, Hungate BA. (2024). Genomic traits predict carbon use efficiency of soil bacteria.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Environmental Microbiology</w:t>
      </w:r>
      <w:r>
        <w:rPr>
          <w:rFonts w:ascii="Arial" w:cs="Arial" w:eastAsia="Arial" w:hAnsi="Arial"/>
          <w:sz w:val="22"/>
          <w:szCs w:val="22"/>
        </w:rPr>
        <w:t xml:space="preserve">, 26(3), e16580. DOI: 10.1111/1462-2920.16580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Gomez-Perez D, Keller A. (2025). Integrating natural language processing and genome analysis enables accurate bacterial phenotype prediction.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NAR Genomics and Bioinformatics</w:t>
      </w:r>
      <w:r>
        <w:rPr>
          <w:rFonts w:ascii="Arial" w:cs="Arial" w:eastAsia="Arial" w:hAnsi="Arial"/>
          <w:sz w:val="22"/>
          <w:szCs w:val="22"/>
        </w:rPr>
        <w:t xml:space="preserve">, 7(4), lqaf174. DOI: 10.1093/nargab/lqaf174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Growth Rate Prediction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Weissman JL, Hou S, Fuhrman JA. (2021). Estimating maximal microbial growth rates from cultures, metagenomes, and single cells via codon usage patterns.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Proceedings of the National Academy of Sciences</w:t>
      </w:r>
      <w:r>
        <w:rPr>
          <w:rFonts w:ascii="Arial" w:cs="Arial" w:eastAsia="Arial" w:hAnsi="Arial"/>
          <w:sz w:val="22"/>
          <w:szCs w:val="22"/>
        </w:rPr>
        <w:t xml:space="preserve">, 118(12), e2016810118. DOI: 10.1073/pnas.2016810118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Xu Y, Zakem EJ, Weissman JL. (2025). Improved maximum growth rate prediction from microbial genomes by integrating phylogenetic information.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Nature Communications</w:t>
      </w:r>
      <w:r>
        <w:rPr>
          <w:rFonts w:ascii="Arial" w:cs="Arial" w:eastAsia="Arial" w:hAnsi="Arial"/>
          <w:sz w:val="22"/>
          <w:szCs w:val="22"/>
        </w:rPr>
        <w:t xml:space="preserve">, 16, 4226. DOI: 10.1038/s41467-025-59558-9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Blazewicz SJ, Hungate BA, Koch BJ, Nuccio EE, Morrissey EM, Brodie EL, Schwartz E, Pett-Ridge J. (2025). Codon bias, nucleotide selection, and genome size predict in situ bacterial growth rate and transcription in rewetted soil.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Proceedings of the National Academy of Sciences</w:t>
      </w:r>
      <w:r>
        <w:rPr>
          <w:rFonts w:ascii="Arial" w:cs="Arial" w:eastAsia="Arial" w:hAnsi="Arial"/>
          <w:sz w:val="22"/>
          <w:szCs w:val="22"/>
        </w:rPr>
        <w:t xml:space="preserve">, 122(5), e2413032122. DOI: 10.1073/pnas.2413032122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Osburn ED, McBride SG, Bahram M, Strickland MS, et al. (2024). Global patterns in the growth potential of soil bacterial communities.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Nature Communications</w:t>
      </w:r>
      <w:r>
        <w:rPr>
          <w:rFonts w:ascii="Arial" w:cs="Arial" w:eastAsia="Arial" w:hAnsi="Arial"/>
          <w:sz w:val="22"/>
          <w:szCs w:val="22"/>
        </w:rPr>
        <w:t xml:space="preserve">, 15, 6853. DOI: 10.1038/s41467-024-50382-1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Consortia, Community Ecology, and Nitrogen Fixation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Greenlon A, Nazem-Bokaee H, Nayak DD, et al. (2022). Quantitative, genome-resolved characterization of the soil microbiome as a function of nitrogen, phosphorus, and disturbance.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mSystems</w:t>
      </w:r>
      <w:r>
        <w:rPr>
          <w:rFonts w:ascii="Arial" w:cs="Arial" w:eastAsia="Arial" w:hAnsi="Arial"/>
          <w:sz w:val="22"/>
          <w:szCs w:val="22"/>
        </w:rPr>
        <w:t xml:space="preserve">, 7(4), e00105-22. DOI: 10.1128/msystems.00105-22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Blazewicz SJ, Morrissey EM, Schwartz E, Pett-Ridge J, et al. (2023). Microbial life history traits distinguish habitats.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ISME Journal</w:t>
      </w:r>
      <w:r>
        <w:rPr>
          <w:rFonts w:ascii="Arial" w:cs="Arial" w:eastAsia="Arial" w:hAnsi="Arial"/>
          <w:sz w:val="22"/>
          <w:szCs w:val="22"/>
        </w:rPr>
        <w:t xml:space="preserve">, 17, 1268–1280. DOI: 10.1038/s41396-023-01404-3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Wilhelm RC, Pepe-Ranney C, Wrighton KC, Hofmockel KS. (2022). Free-living diazotrophs invest extracellular metabolites to recover biological nitrogen fixation costs.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Applied and Environmental Microbiology</w:t>
      </w:r>
      <w:r>
        <w:rPr>
          <w:rFonts w:ascii="Arial" w:cs="Arial" w:eastAsia="Arial" w:hAnsi="Arial"/>
          <w:sz w:val="22"/>
          <w:szCs w:val="22"/>
        </w:rPr>
        <w:t xml:space="preserve">, 88(19), e01022-22. DOI: 10.1128/aem.01022-22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Kimbrel JA, et al. (2025). Establishment success of a biofertilizer consortium in diverse soils is predicted by genomic compatibility and niche availability.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ISME Journal</w:t>
      </w:r>
      <w:r>
        <w:rPr>
          <w:rFonts w:ascii="Arial" w:cs="Arial" w:eastAsia="Arial" w:hAnsi="Arial"/>
          <w:sz w:val="22"/>
          <w:szCs w:val="22"/>
        </w:rPr>
        <w:t xml:space="preserve">, 19, 1–14. DOI: 10.1038/s41396-025-01234-5 [verify DOI]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Gralka M, Pollak S, Cordero OX. (2023). Genome content predicts the carbon catabolic preferences of heterotrophic bacteria.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Nature Microbiology</w:t>
      </w:r>
      <w:r>
        <w:rPr>
          <w:rFonts w:ascii="Arial" w:cs="Arial" w:eastAsia="Arial" w:hAnsi="Arial"/>
          <w:sz w:val="22"/>
          <w:szCs w:val="22"/>
        </w:rPr>
        <w:t xml:space="preserve">, 8, 1799–1808. DOI: 10.1038/s41564-023-01458-z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Marschmann GL, Tang J, Zhalnina K, Karaoz U, Cho H, Le B, Pett-Ridge J, Brodie EL. (2024). Predictions of rhizosphere microbiome dynamics with a genome-informed and trait-based energy budget model.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Nature Microbiology</w:t>
      </w:r>
      <w:r>
        <w:rPr>
          <w:rFonts w:ascii="Arial" w:cs="Arial" w:eastAsia="Arial" w:hAnsi="Arial"/>
          <w:sz w:val="22"/>
          <w:szCs w:val="22"/>
        </w:rPr>
        <w:t xml:space="preserve">, 9(2), 421–433. DOI: 10.1038/s41564-023-01582-w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Geller-McGrath D, Konwar KM, Edgcomb VP, Pachiadaki M, Roddy JW, Wheeler TJ, McDermott JE. (2024). MetaPathPredict: Predicting metabolic modules in incomplete bacterial genomes.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eLife</w:t>
      </w:r>
      <w:r>
        <w:rPr>
          <w:rFonts w:ascii="Arial" w:cs="Arial" w:eastAsia="Arial" w:hAnsi="Arial"/>
          <w:sz w:val="22"/>
          <w:szCs w:val="22"/>
        </w:rPr>
        <w:t xml:space="preserve">, 13, e85749. DOI: 10.7554/eLife.85749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AI/ML Architecture and Methods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Choudhary K, DeCost B, Chen C, Jain A, Tavazza F, Cohn R, Park CW, Choudhary A, Agrawal A, Billinge SJL, Holm E, Ong SP, Wolverton C. (2021). Cross-property deep transfer learning framework for enhanced predictive analytics on small materials datasets.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Nature Communications</w:t>
      </w:r>
      <w:r>
        <w:rPr>
          <w:rFonts w:ascii="Arial" w:cs="Arial" w:eastAsia="Arial" w:hAnsi="Arial"/>
          <w:sz w:val="22"/>
          <w:szCs w:val="22"/>
        </w:rPr>
        <w:t xml:space="preserve">, 12, 6560. DOI: 10.1038/s41467-021-26921-5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Choudhary K, et al. (2024). AtomGPT: Atomistic generative pre-training transformer for forward and inverse materials design.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Journal of Physical Chemistry Letters</w:t>
      </w:r>
      <w:r>
        <w:rPr>
          <w:rFonts w:ascii="Arial" w:cs="Arial" w:eastAsia="Arial" w:hAnsi="Arial"/>
          <w:sz w:val="22"/>
          <w:szCs w:val="22"/>
        </w:rPr>
        <w:t xml:space="preserve">, 15(27), 6792–6800. DOI: 10.1021/acs.jpclett.4c01126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Choudhary K, DeCost B. (2021). Atomistic line graph neural network for improved materials property predictions.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npj Computational Materials</w:t>
      </w:r>
      <w:r>
        <w:rPr>
          <w:rFonts w:ascii="Arial" w:cs="Arial" w:eastAsia="Arial" w:hAnsi="Arial"/>
          <w:sz w:val="22"/>
          <w:szCs w:val="22"/>
        </w:rPr>
        <w:t xml:space="preserve">, 7, 185. DOI: 10.1038/s41524-021-00650-1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Wang H, Zhao H, Zhao Z, et al. (2024). AnnoPRO: A strategy for protein function annotation based on multi-scale protein representation and a hybrid deep learning of dual-path encoding.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Genome Biology</w:t>
      </w:r>
      <w:r>
        <w:rPr>
          <w:rFonts w:ascii="Arial" w:cs="Arial" w:eastAsia="Arial" w:hAnsi="Arial"/>
          <w:sz w:val="22"/>
          <w:szCs w:val="22"/>
        </w:rPr>
        <w:t xml:space="preserve">, 25, 34. DOI: 10.1186/s13059-024-03166-1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Data Infrastructure and Standards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Martí JM, Kok CR, Thissen JB, Mulakken NJ, Avila-Herrera A, Jaing CJ, Allen JE, Be NA. (2025). Addressing the dynamic nature of reference data: a new nucleotide database for robust metagenomic classification.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mSystems</w:t>
      </w:r>
      <w:r>
        <w:rPr>
          <w:rFonts w:ascii="Arial" w:cs="Arial" w:eastAsia="Arial" w:hAnsi="Arial"/>
          <w:sz w:val="22"/>
          <w:szCs w:val="22"/>
        </w:rPr>
        <w:t xml:space="preserve">, 10, e01239-24. DOI: 10.1128/msystems.01239-24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Maillard F, et al. (2024). MISIP: A community standard for reporting stable isotope probing experiments.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GigaScience</w:t>
      </w:r>
      <w:r>
        <w:rPr>
          <w:rFonts w:ascii="Arial" w:cs="Arial" w:eastAsia="Arial" w:hAnsi="Arial"/>
          <w:sz w:val="22"/>
          <w:szCs w:val="22"/>
        </w:rPr>
        <w:t xml:space="preserve">, 13, giae078. DOI: 10.1093/gigascience/giae078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Maillard F, Blazewicz SJ, Kimbrel JA, et al. (2025). Field and lab qSIP reveal taxon-specific nitrogen assimilation at different scales.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Applied and Environmental Microbiology</w:t>
      </w:r>
      <w:r>
        <w:rPr>
          <w:rFonts w:ascii="Arial" w:cs="Arial" w:eastAsia="Arial" w:hAnsi="Arial"/>
          <w:sz w:val="22"/>
          <w:szCs w:val="22"/>
        </w:rPr>
        <w:t xml:space="preserve">, 91(2), e01648-24. DOI: 10.1128/aem.01648-24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Pett-Ridge J, Shi Y, et al. (2022). In situ measurements of microbial carbon use efficiency and turnover rates in soil.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Science Advances</w:t>
      </w:r>
      <w:r>
        <w:rPr>
          <w:rFonts w:ascii="Arial" w:cs="Arial" w:eastAsia="Arial" w:hAnsi="Arial"/>
          <w:sz w:val="22"/>
          <w:szCs w:val="22"/>
        </w:rPr>
        <w:t xml:space="preserve">, 8(32), eabp8798. DOI: 10.1126/sciadv.abp8798</w:t>
      </w:r>
    </w:p>
    <w:p>
      <w:pPr>
        <w:pBdr>
          <w:bottom w:val="single" w:color="CCCCCC" w:sz="1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31 references — ordered by narrative position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AI-Enhanced vs. Traditional Metagenomics — GENESIS AI Grant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34495E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80" w:before="160"/>
      <w:outlineLvl w:val="4"/>
    </w:pPr>
    <w:rPr>
      <w:rFonts w:ascii="Arial" w:cs="Arial" w:eastAsia="Arial" w:hAnsi="Arial"/>
      <w:b/>
      <w:bCs/>
      <w:color w:val="5665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2026-04-17T22:52:29.947Z</dcterms:created>
  <dcterms:modified xsi:type="dcterms:W3CDTF">2026-04-17T22:52:29.947Z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