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rPr>
        <w:t xml:space="preserve">Quantifying AI Advantage: A Metrics Framework for IMAGINE-AI</w:t>
      </w:r>
    </w:p>
    <w:p>
      <w:pPr>
        <w:spacing w:after="60" w:before="60"/>
      </w:pPr>
      <w:r>
        <w:rPr>
          <w:rFonts w:ascii="Arial" w:cs="Arial" w:eastAsia="Arial" w:hAnsi="Arial"/>
          <w:b/>
          <w:bCs/>
          <w:sz w:val="22"/>
          <w:szCs w:val="22"/>
        </w:rPr>
        <w:t xml:space="preserve">Purpose</w:t>
      </w:r>
      <w:r>
        <w:rPr>
          <w:rFonts w:ascii="Arial" w:cs="Arial" w:eastAsia="Arial" w:hAnsi="Arial"/>
          <w:sz w:val="22"/>
          <w:szCs w:val="22"/>
        </w:rPr>
        <w:t xml:space="preserve">: Supporting document for IMAGINE-AI (DE-FOA-0003612, Focus Area 2-B) — provides the conceptual foundation, comparative testing framework, and novel metrics for demonstrating AI advantage in genotype-to-phenotype prediction.</w:t>
      </w:r>
    </w:p>
    <w:p>
      <w:pPr>
        <w:spacing w:after="60" w:before="60"/>
      </w:pPr>
      <w:r>
        <w:rPr>
          <w:rFonts w:ascii="Arial" w:cs="Arial" w:eastAsia="Arial" w:hAnsi="Arial"/>
          <w:b/>
          <w:bCs/>
          <w:sz w:val="22"/>
          <w:szCs w:val="22"/>
        </w:rPr>
        <w:t xml:space="preserve">Scope</w:t>
      </w:r>
      <w:r>
        <w:rPr>
          <w:rFonts w:ascii="Arial" w:cs="Arial" w:eastAsia="Arial" w:hAnsi="Arial"/>
          <w:sz w:val="22"/>
          <w:szCs w:val="22"/>
        </w:rPr>
        <w:t xml:space="preserve">: Phase 1 — focused on pure culture and consortia phenotype prediction with nitrogen fixation as the primary use case.</w:t>
      </w:r>
    </w:p>
    <w:p>
      <w:pPr>
        <w:pBdr>
          <w:bottom w:val="single" w:color="CCCCCC" w:sz="1" w:space="1"/>
        </w:pBdr>
        <w:spacing w:after="200" w:before="200"/>
      </w:pPr>
    </w:p>
    <w:p>
      <w:pPr>
        <w:pStyle w:val="Heading2"/>
        <w:spacing w:after="200" w:before="360"/>
      </w:pPr>
      <w:r>
        <w:rPr>
          <w:rFonts w:ascii="Arial" w:cs="Arial" w:eastAsia="Arial" w:hAnsi="Arial"/>
        </w:rPr>
        <w:t xml:space="preserve">1. Framing the AI Advantage</w:t>
      </w:r>
    </w:p>
    <w:p>
      <w:pPr>
        <w:spacing w:after="60" w:before="60"/>
      </w:pPr>
      <w:r>
        <w:rPr>
          <w:rFonts w:ascii="Arial" w:cs="Arial" w:eastAsia="Arial" w:hAnsi="Arial"/>
          <w:sz w:val="22"/>
          <w:szCs w:val="22"/>
        </w:rPr>
        <w:t xml:space="preserve">This document designs a rigorous comparative framework for evaluating AI-enhanced versus traditional approaches to metagenomic and phenotypic microbial analysis. The framework is structured around five analytical dimensions where AI methods differ from conventional bioinformatics not merely in performance but in </w:t>
      </w:r>
      <w:r>
        <w:rPr>
          <w:rFonts w:ascii="Arial" w:cs="Arial" w:eastAsia="Arial" w:hAnsi="Arial"/>
          <w:i/>
          <w:iCs/>
          <w:sz w:val="22"/>
          <w:szCs w:val="22"/>
        </w:rPr>
        <w:t xml:space="preserve">kind</w:t>
      </w:r>
      <w:r>
        <w:rPr>
          <w:rFonts w:ascii="Arial" w:cs="Arial" w:eastAsia="Arial" w:hAnsi="Arial"/>
          <w:sz w:val="22"/>
          <w:szCs w:val="22"/>
        </w:rPr>
        <w:t xml:space="preserve">. For each dimension, we define head-to-head testing scenarios, propose novel quantitative metrics, and ground the comparison in recent peer-reviewed literature.</w:t>
      </w:r>
    </w:p>
    <w:p>
      <w:pPr>
        <w:spacing w:after="60" w:before="60"/>
      </w:pPr>
      <w:r>
        <w:rPr>
          <w:rFonts w:ascii="Arial" w:cs="Arial" w:eastAsia="Arial" w:hAnsi="Arial"/>
          <w:sz w:val="22"/>
          <w:szCs w:val="22"/>
        </w:rPr>
        <w:t xml:space="preserve">The central thesis is that AI advantage in metagenomics operates at three distinct levels — </w:t>
      </w:r>
      <w:r>
        <w:rPr>
          <w:rFonts w:ascii="Arial" w:cs="Arial" w:eastAsia="Arial" w:hAnsi="Arial"/>
          <w:b/>
          <w:bCs/>
          <w:sz w:val="22"/>
          <w:szCs w:val="22"/>
        </w:rPr>
        <w:t xml:space="preserve">throughput amplification</w:t>
      </w:r>
      <w:r>
        <w:rPr>
          <w:rFonts w:ascii="Arial" w:cs="Arial" w:eastAsia="Arial" w:hAnsi="Arial"/>
          <w:sz w:val="22"/>
          <w:szCs w:val="22"/>
        </w:rPr>
        <w:t xml:space="preserve"> (doing the same thing faster), </w:t>
      </w:r>
      <w:r>
        <w:rPr>
          <w:rFonts w:ascii="Arial" w:cs="Arial" w:eastAsia="Arial" w:hAnsi="Arial"/>
          <w:b/>
          <w:bCs/>
          <w:sz w:val="22"/>
          <w:szCs w:val="22"/>
        </w:rPr>
        <w:t xml:space="preserve">capability expansion</w:t>
      </w:r>
      <w:r>
        <w:rPr>
          <w:rFonts w:ascii="Arial" w:cs="Arial" w:eastAsia="Arial" w:hAnsi="Arial"/>
          <w:sz w:val="22"/>
          <w:szCs w:val="22"/>
        </w:rPr>
        <w:t xml:space="preserve"> (doing previously impossible things), and </w:t>
      </w:r>
      <w:r>
        <w:rPr>
          <w:rFonts w:ascii="Arial" w:cs="Arial" w:eastAsia="Arial" w:hAnsi="Arial"/>
          <w:b/>
          <w:bCs/>
          <w:sz w:val="22"/>
          <w:szCs w:val="22"/>
        </w:rPr>
        <w:t xml:space="preserve">quality enhancement</w:t>
      </w:r>
      <w:r>
        <w:rPr>
          <w:rFonts w:ascii="Arial" w:cs="Arial" w:eastAsia="Arial" w:hAnsi="Arial"/>
          <w:sz w:val="22"/>
          <w:szCs w:val="22"/>
        </w:rPr>
        <w:t xml:space="preserve"> (doing existing things more accurately). The DOE Genesis Mission FOA explicitly calls for "metrics to identify AI advantage" including "scaling behavior which shows increasing performance as additional data, computing, and/or other resources are applied" and "statistically defensible performance comparisons to non-AI baselines" (DE-FOA-0003612, Section V).</w:t>
      </w:r>
    </w:p>
    <w:p>
      <w:pPr>
        <w:spacing w:after="60" w:before="60"/>
      </w:pPr>
      <w:r>
        <w:rPr>
          <w:rFonts w:ascii="Arial" w:cs="Arial" w:eastAsia="Arial" w:hAnsi="Arial"/>
          <w:sz w:val="22"/>
          <w:szCs w:val="22"/>
        </w:rPr>
        <w:t xml:space="preserve">For IMAGINE-AI, demonstrating AI advantage means showing that AI-enabled genotype-to-phenotype models outperform traditional statistical approaches (logistic regression, GLMM) not just in accuracy, but in their ability to: capture complex multi-gene interactions that linear models structurally cannot represent; generalize across organisms and conditions not seen during training; scale predictive power with increasing data; and accelerate the pace of scientific discovery itself.</w:t>
      </w:r>
    </w:p>
    <w:p>
      <w:pPr>
        <w:pStyle w:val="Heading3"/>
        <w:spacing w:after="120" w:before="240"/>
      </w:pPr>
      <w:r>
        <w:rPr>
          <w:rFonts w:ascii="Arial" w:cs="Arial" w:eastAsia="Arial" w:hAnsi="Arial"/>
        </w:rPr>
        <w:t xml:space="preserve">1.1 Why Traditional Approaches Hit Structural Ceilings</w:t>
      </w:r>
    </w:p>
    <w:p>
      <w:pPr>
        <w:spacing w:after="60" w:before="60"/>
      </w:pPr>
      <w:r>
        <w:rPr>
          <w:rFonts w:ascii="Arial" w:cs="Arial" w:eastAsia="Arial" w:hAnsi="Arial"/>
          <w:sz w:val="22"/>
          <w:szCs w:val="22"/>
        </w:rPr>
        <w:t xml:space="preserve">Traditional methods for predicting microbial phenotype from genotype — logistic regression, generalized linear mixed models, and homology-based gene-function lookups — share a common architectural limitation: they assume that phenotypic outcomes are linearly separable functions of individual genomic features. This assumption fails precisely where the most important biology occurs.</w:t>
      </w:r>
    </w:p>
    <w:p>
      <w:pPr>
        <w:spacing w:after="60" w:before="60"/>
      </w:pPr>
      <w:r>
        <w:rPr>
          <w:rFonts w:ascii="Arial" w:cs="Arial" w:eastAsia="Arial" w:hAnsi="Arial"/>
          <w:b/>
          <w:bCs/>
          <w:sz w:val="22"/>
          <w:szCs w:val="22"/>
        </w:rPr>
        <w:t xml:space="preserve">The Multi-Gene Interaction Wall</w:t>
      </w:r>
      <w:r>
        <w:rPr>
          <w:rFonts w:ascii="Arial" w:cs="Arial" w:eastAsia="Arial" w:hAnsi="Arial"/>
          <w:sz w:val="22"/>
          <w:szCs w:val="22"/>
        </w:rPr>
        <w:t xml:space="preserve">: Emergent phenotypes like nitrogen fixation efficiency, biofilm formation, and fatty acid composition arise from nonlinear interactions among multiple gene products, regulatory networks, and environmental signals. A GLMM treating each genomic feature as an independent predictor structurally cannot capture epistatic interactions, pathway synergies, or regulatory feedback loops that determine whether genetic potential becomes realized function (Karlsen et al. 2023, </w:t>
      </w:r>
      <w:r>
        <w:rPr>
          <w:rFonts w:ascii="Arial" w:cs="Arial" w:eastAsia="Arial" w:hAnsi="Arial"/>
          <w:i/>
          <w:iCs/>
          <w:sz w:val="22"/>
          <w:szCs w:val="22"/>
        </w:rPr>
        <w:t xml:space="preserve">FEMS Microbiology Reviews</w:t>
      </w:r>
      <w:r>
        <w:rPr>
          <w:rFonts w:ascii="Arial" w:cs="Arial" w:eastAsia="Arial" w:hAnsi="Arial"/>
          <w:sz w:val="22"/>
          <w:szCs w:val="22"/>
        </w:rPr>
        <w:t xml:space="preserve">).</w:t>
      </w:r>
    </w:p>
    <w:p>
      <w:pPr>
        <w:spacing w:after="60" w:before="60"/>
      </w:pPr>
      <w:r>
        <w:rPr>
          <w:rFonts w:ascii="Arial" w:cs="Arial" w:eastAsia="Arial" w:hAnsi="Arial"/>
          <w:b/>
          <w:bCs/>
          <w:sz w:val="22"/>
          <w:szCs w:val="22"/>
        </w:rPr>
        <w:t xml:space="preserve">The Reference Gap</w:t>
      </w:r>
      <w:r>
        <w:rPr>
          <w:rFonts w:ascii="Arial" w:cs="Arial" w:eastAsia="Arial" w:hAnsi="Arial"/>
          <w:sz w:val="22"/>
          <w:szCs w:val="22"/>
        </w:rPr>
        <w:t xml:space="preserve">: Homology-based annotation (BLAST, eggNOG-mapper) assigns function by similarity to characterized genes. For organisms with &lt;70% genome completeness or lacking close characterized relatives, rule-based phenotype prediction fails entirely. Koblitz et al. (2025, </w:t>
      </w:r>
      <w:r>
        <w:rPr>
          <w:rFonts w:ascii="Arial" w:cs="Arial" w:eastAsia="Arial" w:hAnsi="Arial"/>
          <w:i/>
          <w:iCs/>
          <w:sz w:val="22"/>
          <w:szCs w:val="22"/>
        </w:rPr>
        <w:t xml:space="preserve">Communications Biology</w:t>
      </w:r>
      <w:r>
        <w:rPr>
          <w:rFonts w:ascii="Arial" w:cs="Arial" w:eastAsia="Arial" w:hAnsi="Arial"/>
          <w:sz w:val="22"/>
          <w:szCs w:val="22"/>
        </w:rPr>
        <w:t xml:space="preserve">) demonstrated that Random Forest models trained on protein family profiles predict phenotypes for organisms where rule-based methods produce no prediction at all — an expansion of the prediction frontier, not merely improved accuracy on organisms where both methods work.</w:t>
      </w:r>
    </w:p>
    <w:p>
      <w:pPr>
        <w:spacing w:after="60" w:before="60"/>
      </w:pPr>
      <w:r>
        <w:rPr>
          <w:rFonts w:ascii="Arial" w:cs="Arial" w:eastAsia="Arial" w:hAnsi="Arial"/>
          <w:b/>
          <w:bCs/>
          <w:sz w:val="22"/>
          <w:szCs w:val="22"/>
        </w:rPr>
        <w:t xml:space="preserve">The Compositionality Challenge in Consortia</w:t>
      </w:r>
      <w:r>
        <w:rPr>
          <w:rFonts w:ascii="Arial" w:cs="Arial" w:eastAsia="Arial" w:hAnsi="Arial"/>
          <w:sz w:val="22"/>
          <w:szCs w:val="22"/>
        </w:rPr>
        <w:t xml:space="preserve">: When organisms interact in communities, realized phenotype diverges from genetic potential in ways that depend on community composition. Traditional approaches treat community phenotype as the sum of individual contributions. AI models operating on interaction-aware representations (GNNs, transformer attention mechanisms) can capture the nonlinear, context-dependent nature of multi-species phenotypic outcomes — the "team effects" that are central to IMAGINE-AI's vision.</w:t>
      </w:r>
    </w:p>
    <w:p>
      <w:pPr>
        <w:spacing w:after="60" w:before="60"/>
      </w:pPr>
      <w:r>
        <w:rPr>
          <w:rFonts w:ascii="Arial" w:cs="Arial" w:eastAsia="Arial" w:hAnsi="Arial"/>
          <w:b/>
          <w:bCs/>
          <w:sz w:val="22"/>
          <w:szCs w:val="22"/>
        </w:rPr>
        <w:t xml:space="preserve">The Functional Dark Matter</w:t>
      </w:r>
      <w:r>
        <w:rPr>
          <w:rFonts w:ascii="Arial" w:cs="Arial" w:eastAsia="Arial" w:hAnsi="Arial"/>
          <w:sz w:val="22"/>
          <w:szCs w:val="22"/>
        </w:rPr>
        <w:t xml:space="preserve">: 40–60% of predicted proteins in environmental metagenomes share no detectable homology with any characterized protein in existing databases (Pavlopoulos et al. 2023, </w:t>
      </w:r>
      <w:r>
        <w:rPr>
          <w:rFonts w:ascii="Arial" w:cs="Arial" w:eastAsia="Arial" w:hAnsi="Arial"/>
          <w:i/>
          <w:iCs/>
          <w:sz w:val="22"/>
          <w:szCs w:val="22"/>
        </w:rPr>
        <w:t xml:space="preserve">Nature</w:t>
      </w:r>
      <w:r>
        <w:rPr>
          <w:rFonts w:ascii="Arial" w:cs="Arial" w:eastAsia="Arial" w:hAnsi="Arial"/>
          <w:sz w:val="22"/>
          <w:szCs w:val="22"/>
        </w:rPr>
        <w:t xml:space="preserve">). Traditional annotation pipelines structurally cannot assign function to these proteins. Protein language models (ESM-2) and structure-prediction-based annotation (AnnoPRO; Wang et al. 2024, </w:t>
      </w:r>
      <w:r>
        <w:rPr>
          <w:rFonts w:ascii="Arial" w:cs="Arial" w:eastAsia="Arial" w:hAnsi="Arial"/>
          <w:i/>
          <w:iCs/>
          <w:sz w:val="22"/>
          <w:szCs w:val="22"/>
        </w:rPr>
        <w:t xml:space="preserve">Genome Biology</w:t>
      </w:r>
      <w:r>
        <w:rPr>
          <w:rFonts w:ascii="Arial" w:cs="Arial" w:eastAsia="Arial" w:hAnsi="Arial"/>
          <w:sz w:val="22"/>
          <w:szCs w:val="22"/>
        </w:rPr>
        <w:t xml:space="preserve">) operate in learned representation spaces that extend beyond the homology boundary, illuminating functional potential invisible to alignment-based methods.</w:t>
      </w:r>
    </w:p>
    <w:p>
      <w:pPr>
        <w:spacing w:after="60" w:before="60"/>
      </w:pPr>
      <w:r>
        <w:rPr>
          <w:rFonts w:ascii="Arial" w:cs="Arial" w:eastAsia="Arial" w:hAnsi="Arial"/>
          <w:b/>
          <w:bCs/>
          <w:sz w:val="22"/>
          <w:szCs w:val="22"/>
        </w:rPr>
        <w:t xml:space="preserve">The Data-Analysis Bottleneck</w:t>
      </w:r>
      <w:r>
        <w:rPr>
          <w:rFonts w:ascii="Arial" w:cs="Arial" w:eastAsia="Arial" w:hAnsi="Arial"/>
          <w:sz w:val="22"/>
          <w:szCs w:val="22"/>
        </w:rPr>
        <w:t xml:space="preserve">: Multi-omics data (genomic, transcriptomic, metabolomic) can now be generated far more rapidly than human teams can analyze it comprehensively. This is not a throughput problem that scales with headcount — it is a complexity problem where the number of potential interactions grows combinatorially with the number of measured variables. AI methods that learn compressed representations of high-dimensional data directly address this structural bottleneck.</w:t>
      </w:r>
    </w:p>
    <w:p>
      <w:pPr>
        <w:pStyle w:val="Heading3"/>
        <w:spacing w:after="120" w:before="240"/>
      </w:pPr>
      <w:r>
        <w:rPr>
          <w:rFonts w:ascii="Arial" w:cs="Arial" w:eastAsia="Arial" w:hAnsi="Arial"/>
        </w:rPr>
        <w:t xml:space="preserve">1.2 The Paradigm Shift: Three Levels of AI Advantage</w:t>
      </w:r>
    </w:p>
    <w:p>
      <w:pPr>
        <w:spacing w:after="60" w:before="60"/>
      </w:pPr>
      <w:r>
        <w:rPr>
          <w:rFonts w:ascii="Arial" w:cs="Arial" w:eastAsia="Arial" w:hAnsi="Arial"/>
          <w:sz w:val="22"/>
          <w:szCs w:val="22"/>
        </w:rPr>
        <w:t xml:space="preserve">Following the framework proposed by Birhane et al. (2023, </w:t>
      </w:r>
      <w:r>
        <w:rPr>
          <w:rFonts w:ascii="Arial" w:cs="Arial" w:eastAsia="Arial" w:hAnsi="Arial"/>
          <w:i/>
          <w:iCs/>
          <w:sz w:val="22"/>
          <w:szCs w:val="22"/>
        </w:rPr>
        <w:t xml:space="preserve">Nature Reviews Physics</w:t>
      </w:r>
      <w:r>
        <w:rPr>
          <w:rFonts w:ascii="Arial" w:cs="Arial" w:eastAsia="Arial" w:hAnsi="Arial"/>
          <w:sz w:val="22"/>
          <w:szCs w:val="22"/>
        </w:rPr>
        <w:t xml:space="preserve">), we distinguish three levels at which AI creates advantage:</w:t>
      </w:r>
    </w:p>
    <w:p>
      <w:pPr>
        <w:spacing w:after="60" w:before="60"/>
      </w:pPr>
      <w:r>
        <w:rPr>
          <w:rFonts w:ascii="Arial" w:cs="Arial" w:eastAsia="Arial" w:hAnsi="Arial"/>
          <w:b/>
          <w:bCs/>
          <w:sz w:val="22"/>
          <w:szCs w:val="22"/>
        </w:rPr>
        <w:t xml:space="preserve">Level 1 — Throughput Amplification</w:t>
      </w:r>
      <w:r>
        <w:rPr>
          <w:rFonts w:ascii="Arial" w:cs="Arial" w:eastAsia="Arial" w:hAnsi="Arial"/>
          <w:sz w:val="22"/>
          <w:szCs w:val="22"/>
        </w:rPr>
        <w:t xml:space="preserve">: AI performs the same analytical tasks faster. This is measurable directly: time-to-completion for equivalent tasks, samples processed per unit effort. The IMAGINE-AI workflow captures this via the AI efficiency metric (X_Human / X_AI-agent). Gao et al. (2024, </w:t>
      </w:r>
      <w:r>
        <w:rPr>
          <w:rFonts w:ascii="Arial" w:cs="Arial" w:eastAsia="Arial" w:hAnsi="Arial"/>
          <w:i/>
          <w:iCs/>
          <w:sz w:val="22"/>
          <w:szCs w:val="22"/>
        </w:rPr>
        <w:t xml:space="preserve">Nature Human Behaviour</w:t>
      </w:r>
      <w:r>
        <w:rPr>
          <w:rFonts w:ascii="Arial" w:cs="Arial" w:eastAsia="Arial" w:hAnsi="Arial"/>
          <w:sz w:val="22"/>
          <w:szCs w:val="22"/>
        </w:rPr>
        <w:t xml:space="preserve">) showed AI-adopting biologists publish 3.02× more papers with 4.84× more citations, providing field-level evidence for throughput gains. For Phase 1, the randomly-sampled task comparison (data harmonization, model evaluation, figure generation) provides a controlled measurement.</w:t>
      </w:r>
    </w:p>
    <w:p>
      <w:pPr>
        <w:spacing w:after="60" w:before="60"/>
      </w:pPr>
      <w:r>
        <w:rPr>
          <w:rFonts w:ascii="Arial" w:cs="Arial" w:eastAsia="Arial" w:hAnsi="Arial"/>
          <w:b/>
          <w:bCs/>
          <w:sz w:val="22"/>
          <w:szCs w:val="22"/>
        </w:rPr>
        <w:t xml:space="preserve">Level 2 — Quality Enhancement</w:t>
      </w:r>
      <w:r>
        <w:rPr>
          <w:rFonts w:ascii="Arial" w:cs="Arial" w:eastAsia="Arial" w:hAnsi="Arial"/>
          <w:sz w:val="22"/>
          <w:szCs w:val="22"/>
        </w:rPr>
        <w:t xml:space="preserve">: AI produces more accurate results on the same tasks. This is measurable by direct performance comparison: F1 scores for categorical phenotypes, RMSE for quantitative growth rates, evaluated on identical held-out test sets. The proposal's decision gate metric — ≥5 percentage points F1 improvement or ≥10% RMSE reduction (permutation test, p &lt; 0.05) — captures this level.</w:t>
      </w:r>
    </w:p>
    <w:p>
      <w:pPr>
        <w:spacing w:after="60" w:before="60"/>
      </w:pPr>
      <w:r>
        <w:rPr>
          <w:rFonts w:ascii="Arial" w:cs="Arial" w:eastAsia="Arial" w:hAnsi="Arial"/>
          <w:b/>
          <w:bCs/>
          <w:sz w:val="22"/>
          <w:szCs w:val="22"/>
        </w:rPr>
        <w:t xml:space="preserve">Level 3 — Capability Expansion</w:t>
      </w:r>
      <w:r>
        <w:rPr>
          <w:rFonts w:ascii="Arial" w:cs="Arial" w:eastAsia="Arial" w:hAnsi="Arial"/>
          <w:sz w:val="22"/>
          <w:szCs w:val="22"/>
        </w:rPr>
        <w:t xml:space="preserve">: AI enables analyses that were structurally impossible with traditional methods. This is the most impactful level and the hardest to quantify. It includes: predicting phenotypes for organisms where no traditional prediction is possible (extending the prediction frontier); discovering multi-gene interaction patterns that linear models cannot represent (connecting dots we don't know to look for); and predicting emergent consortia behavior from individual organism data. Capability expansion is what transforms a field — it is the "finding the patterns we don't even know to look for" dimension.</w:t>
      </w:r>
    </w:p>
    <w:p>
      <w:pPr>
        <w:spacing w:after="60" w:before="60"/>
      </w:pPr>
      <w:r>
        <w:rPr>
          <w:rFonts w:ascii="Arial" w:cs="Arial" w:eastAsia="Arial" w:hAnsi="Arial"/>
          <w:sz w:val="22"/>
          <w:szCs w:val="22"/>
        </w:rPr>
        <w:t xml:space="preserve">The metrics framework below addresses all three levels, with particular emphasis on Level 3, because this is where AI advantage is most compelling to reviewers and most aligned with the Genesis Mission's call for "transformative scientific capability."</w:t>
      </w:r>
    </w:p>
    <w:p>
      <w:pPr>
        <w:pBdr>
          <w:bottom w:val="single" w:color="CCCCCC" w:sz="1" w:space="1"/>
        </w:pBdr>
        <w:spacing w:after="200" w:before="200"/>
      </w:pPr>
    </w:p>
    <w:p>
      <w:pPr>
        <w:pStyle w:val="Heading2"/>
        <w:spacing w:after="200" w:before="360"/>
      </w:pPr>
      <w:r>
        <w:rPr>
          <w:rFonts w:ascii="Arial" w:cs="Arial" w:eastAsia="Arial" w:hAnsi="Arial"/>
        </w:rPr>
        <w:t xml:space="preserve">2. Comparative Testing Framework</w:t>
      </w:r>
    </w:p>
    <w:p>
      <w:pPr>
        <w:pStyle w:val="Heading3"/>
        <w:spacing w:after="120" w:before="240"/>
      </w:pPr>
      <w:r>
        <w:rPr>
          <w:rFonts w:ascii="Arial" w:cs="Arial" w:eastAsia="Arial" w:hAnsi="Arial"/>
        </w:rPr>
        <w:t xml:space="preserve">2.1 Design Principle: Same Data, Different Methods</w:t>
      </w:r>
    </w:p>
    <w:p>
      <w:pPr>
        <w:spacing w:after="60" w:before="60"/>
      </w:pPr>
      <w:r>
        <w:rPr>
          <w:rFonts w:ascii="Arial" w:cs="Arial" w:eastAsia="Arial" w:hAnsi="Arial"/>
          <w:sz w:val="22"/>
          <w:szCs w:val="22"/>
        </w:rPr>
        <w:t xml:space="preserve">The core of the IMAGINE-AI comparative framework is a controlled, head-to-head evaluation where AI and traditional methods receive identical inputs and are evaluated against identical ground truth. This eliminates confounders and produces the "statistically defensible performance comparisons to non-AI baselines" the FOA requires.</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      SHARED DATA PARTITIONS         │</w:t>
      </w:r>
    </w:p>
    <w:p>
      <w:pPr>
        <w:shd w:fill="F4F4F4" w:val="clear"/>
        <w:spacing w:after="20" w:before="20"/>
        <w:ind w:left="360"/>
      </w:pPr>
      <w:r>
        <w:rPr>
          <w:rFonts w:ascii="Courier New" w:cs="Courier New" w:eastAsia="Courier New" w:hAnsi="Courier New"/>
          <w:color w:val="2C3E50"/>
          <w:sz w:val="18"/>
          <w:szCs w:val="18"/>
        </w:rPr>
        <w:t xml:space="preserve">                 │  (IMG, NCBI, BacDive, µGrowthDB,    │</w:t>
      </w:r>
    </w:p>
    <w:p>
      <w:pPr>
        <w:shd w:fill="F4F4F4" w:val="clear"/>
        <w:spacing w:after="20" w:before="20"/>
        <w:ind w:left="360"/>
      </w:pPr>
      <w:r>
        <w:rPr>
          <w:rFonts w:ascii="Courier New" w:cs="Courier New" w:eastAsia="Courier New" w:hAnsi="Courier New"/>
          <w:color w:val="2C3E50"/>
          <w:sz w:val="18"/>
          <w:szCs w:val="18"/>
        </w:rPr>
        <w:t xml:space="preserve">                 │   NFixDB, PI-generated datasets)    │</w:t>
      </w:r>
    </w:p>
    <w:p>
      <w:pPr>
        <w:shd w:fill="F4F4F4" w:val="clear"/>
        <w:spacing w:after="20" w:before="20"/>
        <w:ind w:left="360"/>
      </w:pPr>
      <w:r>
        <w:rPr>
          <w:rFonts w:ascii="Courier New" w:cs="Courier New" w:eastAsia="Courier New" w:hAnsi="Courier New"/>
          <w:color w:val="2C3E50"/>
          <w:sz w:val="18"/>
          <w:szCs w:val="18"/>
        </w:rPr>
        <w:t xml:space="preserve">                 │  Train/Test split (stratified,       │</w:t>
      </w:r>
    </w:p>
    <w:p>
      <w:pPr>
        <w:shd w:fill="F4F4F4" w:val="clear"/>
        <w:spacing w:after="20" w:before="20"/>
        <w:ind w:left="360"/>
      </w:pPr>
      <w:r>
        <w:rPr>
          <w:rFonts w:ascii="Courier New" w:cs="Courier New" w:eastAsia="Courier New" w:hAnsi="Courier New"/>
          <w:color w:val="2C3E50"/>
          <w:sz w:val="18"/>
          <w:szCs w:val="18"/>
        </w:rPr>
        <w:t xml:space="preserve">                 │  10-fold CV × 10 repeats)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  TRADITIONAL ARM  │  │  AI ARM     │  │  ABLATION ARM  │</w:t>
      </w:r>
    </w:p>
    <w:p>
      <w:pPr>
        <w:shd w:fill="F4F4F4" w:val="clear"/>
        <w:spacing w:after="20" w:before="20"/>
        <w:ind w:left="360"/>
      </w:pPr>
      <w:r>
        <w:rPr>
          <w:rFonts w:ascii="Courier New" w:cs="Courier New" w:eastAsia="Courier New" w:hAnsi="Courier New"/>
          <w:color w:val="2C3E50"/>
          <w:sz w:val="18"/>
          <w:szCs w:val="18"/>
        </w:rPr>
        <w:t xml:space="preserve">     │                   │  │             │  │  (components)   │</w:t>
      </w:r>
    </w:p>
    <w:p>
      <w:pPr>
        <w:shd w:fill="F4F4F4" w:val="clear"/>
        <w:spacing w:after="20" w:before="20"/>
        <w:ind w:left="360"/>
      </w:pPr>
      <w:r>
        <w:rPr>
          <w:rFonts w:ascii="Courier New" w:cs="Courier New" w:eastAsia="Courier New" w:hAnsi="Courier New"/>
          <w:color w:val="2C3E50"/>
          <w:sz w:val="18"/>
          <w:szCs w:val="18"/>
        </w:rPr>
        <w:t xml:space="preserve">     │ Logistic Regr.    │  │ IMAGINE-AI  │  │ AI minus GNN   │</w:t>
      </w:r>
    </w:p>
    <w:p>
      <w:pPr>
        <w:shd w:fill="F4F4F4" w:val="clear"/>
        <w:spacing w:after="20" w:before="20"/>
        <w:ind w:left="360"/>
      </w:pPr>
      <w:r>
        <w:rPr>
          <w:rFonts w:ascii="Courier New" w:cs="Courier New" w:eastAsia="Courier New" w:hAnsi="Courier New"/>
          <w:color w:val="2C3E50"/>
          <w:sz w:val="18"/>
          <w:szCs w:val="18"/>
        </w:rPr>
        <w:t xml:space="preserve">     │ GLMM              │  │ (full       │  │ AI minus ESM    │</w:t>
      </w:r>
    </w:p>
    <w:p>
      <w:pPr>
        <w:shd w:fill="F4F4F4" w:val="clear"/>
        <w:spacing w:after="20" w:before="20"/>
        <w:ind w:left="360"/>
      </w:pPr>
      <w:r>
        <w:rPr>
          <w:rFonts w:ascii="Courier New" w:cs="Courier New" w:eastAsia="Courier New" w:hAnsi="Courier New"/>
          <w:color w:val="2C3E50"/>
          <w:sz w:val="18"/>
          <w:szCs w:val="18"/>
        </w:rPr>
        <w:t xml:space="preserve">     │ Random Forest     │  │  pipeline)  │  │ AI minus agent  │</w:t>
      </w:r>
    </w:p>
    <w:p>
      <w:pPr>
        <w:shd w:fill="F4F4F4" w:val="clear"/>
        <w:spacing w:after="20" w:before="20"/>
        <w:ind w:left="360"/>
      </w:pPr>
      <w:r>
        <w:rPr>
          <w:rFonts w:ascii="Courier New" w:cs="Courier New" w:eastAsia="Courier New" w:hAnsi="Courier New"/>
          <w:color w:val="2C3E50"/>
          <w:sz w:val="18"/>
          <w:szCs w:val="18"/>
        </w:rPr>
        <w:t xml:space="preserve">     │ eggNOG-mapper     │  │             │  │ (isolate each   │</w:t>
      </w:r>
    </w:p>
    <w:p>
      <w:pPr>
        <w:shd w:fill="F4F4F4" w:val="clear"/>
        <w:spacing w:after="20" w:before="20"/>
        <w:ind w:left="360"/>
      </w:pPr>
      <w:r>
        <w:rPr>
          <w:rFonts w:ascii="Courier New" w:cs="Courier New" w:eastAsia="Courier New" w:hAnsi="Courier New"/>
          <w:color w:val="2C3E50"/>
          <w:sz w:val="18"/>
          <w:szCs w:val="18"/>
        </w:rPr>
        <w:t xml:space="preserve">     │ (rule-based)      │  │             │  │  contribution)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    UNIFIED EVALUATION METRICS     │</w:t>
      </w:r>
    </w:p>
    <w:p>
      <w:pPr>
        <w:shd w:fill="F4F4F4" w:val="clear"/>
        <w:spacing w:after="20" w:before="20"/>
        <w:ind w:left="360"/>
      </w:pPr>
      <w:r>
        <w:rPr>
          <w:rFonts w:ascii="Courier New" w:cs="Courier New" w:eastAsia="Courier New" w:hAnsi="Courier New"/>
          <w:color w:val="2C3E50"/>
          <w:sz w:val="18"/>
          <w:szCs w:val="18"/>
        </w:rPr>
        <w:t xml:space="preserve">                 │                                   │</w:t>
      </w:r>
    </w:p>
    <w:p>
      <w:pPr>
        <w:shd w:fill="F4F4F4" w:val="clear"/>
        <w:spacing w:after="20" w:before="20"/>
        <w:ind w:left="360"/>
      </w:pPr>
      <w:r>
        <w:rPr>
          <w:rFonts w:ascii="Courier New" w:cs="Courier New" w:eastAsia="Courier New" w:hAnsi="Courier New"/>
          <w:color w:val="2C3E50"/>
          <w:sz w:val="18"/>
          <w:szCs w:val="18"/>
        </w:rPr>
        <w:t xml:space="preserve">                 │  Accuracy (F1, RMSE)              │</w:t>
      </w:r>
    </w:p>
    <w:p>
      <w:pPr>
        <w:shd w:fill="F4F4F4" w:val="clear"/>
        <w:spacing w:after="20" w:before="20"/>
        <w:ind w:left="360"/>
      </w:pPr>
      <w:r>
        <w:rPr>
          <w:rFonts w:ascii="Courier New" w:cs="Courier New" w:eastAsia="Courier New" w:hAnsi="Courier New"/>
          <w:color w:val="2C3E50"/>
          <w:sz w:val="18"/>
          <w:szCs w:val="18"/>
        </w:rPr>
        <w:t xml:space="preserve">                 │  Scaling behavior                 │</w:t>
      </w:r>
    </w:p>
    <w:p>
      <w:pPr>
        <w:shd w:fill="F4F4F4" w:val="clear"/>
        <w:spacing w:after="20" w:before="20"/>
        <w:ind w:left="360"/>
      </w:pPr>
      <w:r>
        <w:rPr>
          <w:rFonts w:ascii="Courier New" w:cs="Courier New" w:eastAsia="Courier New" w:hAnsi="Courier New"/>
          <w:color w:val="2C3E50"/>
          <w:sz w:val="18"/>
          <w:szCs w:val="18"/>
        </w:rPr>
        <w:t xml:space="preserve">                 │  Prediction frontier expansion    │</w:t>
      </w:r>
    </w:p>
    <w:p>
      <w:pPr>
        <w:shd w:fill="F4F4F4" w:val="clear"/>
        <w:spacing w:after="20" w:before="20"/>
        <w:ind w:left="360"/>
      </w:pPr>
      <w:r>
        <w:rPr>
          <w:rFonts w:ascii="Courier New" w:cs="Courier New" w:eastAsia="Courier New" w:hAnsi="Courier New"/>
          <w:color w:val="2C3E50"/>
          <w:sz w:val="18"/>
          <w:szCs w:val="18"/>
        </w:rPr>
        <w:t xml:space="preserve">                 │  Discovery throughput             │</w:t>
      </w:r>
    </w:p>
    <w:p>
      <w:pPr>
        <w:shd w:fill="F4F4F4" w:val="clear"/>
        <w:spacing w:after="20" w:before="20"/>
        <w:ind w:left="360"/>
      </w:pPr>
      <w:r>
        <w:rPr>
          <w:rFonts w:ascii="Courier New" w:cs="Courier New" w:eastAsia="Courier New" w:hAnsi="Courier New"/>
          <w:color w:val="2C3E50"/>
          <w:sz w:val="18"/>
          <w:szCs w:val="18"/>
        </w:rPr>
        <w:t xml:space="preserve">                 │  Uncertainty calibration          │</w:t>
      </w:r>
    </w:p>
    <w:p>
      <w:pPr>
        <w:shd w:fill="F4F4F4" w:val="clear"/>
        <w:spacing w:after="20" w:before="20"/>
        <w:ind w:left="360"/>
      </w:pPr>
      <w:r>
        <w:rPr>
          <w:rFonts w:ascii="Courier New" w:cs="Courier New" w:eastAsia="Courier New" w:hAnsi="Courier New"/>
          <w:color w:val="2C3E50"/>
          <w:sz w:val="18"/>
          <w:szCs w:val="18"/>
        </w:rPr>
        <w:t xml:space="preserve">                 │  Interaction discovery            │</w:t>
      </w:r>
    </w:p>
    <w:p>
      <w:pPr>
        <w:shd w:fill="F4F4F4" w:val="clear"/>
        <w:spacing w:after="20" w:before="20"/>
        <w:ind w:left="360"/>
      </w:pPr>
      <w:r>
        <w:rPr>
          <w:rFonts w:ascii="Courier New" w:cs="Courier New" w:eastAsia="Courier New" w:hAnsi="Courier New"/>
          <w:color w:val="2C3E50"/>
          <w:sz w:val="18"/>
          <w:szCs w:val="18"/>
        </w:rPr>
        <w:t xml:space="preserve">                 │  Workflow efficiency               │</w:t>
      </w:r>
    </w:p>
    <w:p>
      <w:pPr>
        <w:shd w:fill="F4F4F4" w:val="clear"/>
        <w:spacing w:after="20" w:before="20"/>
        <w:ind w:left="360"/>
      </w:pPr>
      <w:r>
        <w:rPr>
          <w:rFonts w:ascii="Courier New" w:cs="Courier New" w:eastAsia="Courier New" w:hAnsi="Courier New"/>
          <w:color w:val="2C3E50"/>
          <w:sz w:val="18"/>
          <w:szCs w:val="18"/>
        </w:rPr>
        <w:t xml:space="preserve">                 └──────────────────────────────────┘</w:t>
      </w:r>
    </w:p>
    <w:p>
      <w:pPr>
        <w:spacing w:after="80"/>
      </w:pPr>
    </w:p>
    <w:p>
      <w:pPr>
        <w:pStyle w:val="Heading3"/>
        <w:spacing w:after="120" w:before="240"/>
      </w:pPr>
      <w:r>
        <w:rPr>
          <w:rFonts w:ascii="Arial" w:cs="Arial" w:eastAsia="Arial" w:hAnsi="Arial"/>
        </w:rPr>
        <w:t xml:space="preserve">2.2 The Three Arms</w:t>
      </w:r>
    </w:p>
    <w:p>
      <w:pPr>
        <w:spacing w:after="60" w:before="60"/>
      </w:pPr>
      <w:r>
        <w:rPr>
          <w:rFonts w:ascii="Arial" w:cs="Arial" w:eastAsia="Arial" w:hAnsi="Arial"/>
          <w:b/>
          <w:bCs/>
          <w:sz w:val="22"/>
          <w:szCs w:val="22"/>
        </w:rPr>
        <w:t xml:space="preserve">Traditional Arm</w:t>
      </w:r>
      <w:r>
        <w:rPr>
          <w:rFonts w:ascii="Arial" w:cs="Arial" w:eastAsia="Arial" w:hAnsi="Arial"/>
          <w:sz w:val="22"/>
          <w:szCs w:val="22"/>
        </w:rPr>
        <w:t xml:space="preserve">: The best available non-AI statistical methods — logistic regression for categorical traits, GLMM for quantitative growth rates, Random Forest as a "near-AI" baseline, and eggNOG-mapper/homology-based approaches for gene-function assignment. These represent the current standard of practice in microbial genomics.</w:t>
      </w:r>
    </w:p>
    <w:p>
      <w:pPr>
        <w:spacing w:after="60" w:before="60"/>
      </w:pPr>
      <w:r>
        <w:rPr>
          <w:rFonts w:ascii="Arial" w:cs="Arial" w:eastAsia="Arial" w:hAnsi="Arial"/>
          <w:b/>
          <w:bCs/>
          <w:sz w:val="22"/>
          <w:szCs w:val="22"/>
        </w:rPr>
        <w:t xml:space="preserve">AI Arm</w:t>
      </w:r>
      <w:r>
        <w:rPr>
          <w:rFonts w:ascii="Arial" w:cs="Arial" w:eastAsia="Arial" w:hAnsi="Arial"/>
          <w:sz w:val="22"/>
          <w:szCs w:val="22"/>
        </w:rPr>
        <w:t xml:space="preserve">: The full IMAGINE-AI pipeline — transformer-based genome language models (ESM-style), GNNs for interaction networks, multimodal deep learning integrating genomics + transcriptomics + metabolomics + environment, ensemble approaches, and agentic AI workflows for data harmonization and experiment planning.</w:t>
      </w:r>
    </w:p>
    <w:p>
      <w:pPr>
        <w:spacing w:after="60" w:before="60"/>
      </w:pPr>
      <w:r>
        <w:rPr>
          <w:rFonts w:ascii="Arial" w:cs="Arial" w:eastAsia="Arial" w:hAnsi="Arial"/>
          <w:b/>
          <w:bCs/>
          <w:sz w:val="22"/>
          <w:szCs w:val="22"/>
        </w:rPr>
        <w:t xml:space="preserve">Ablation Arm</w:t>
      </w:r>
      <w:r>
        <w:rPr>
          <w:rFonts w:ascii="Arial" w:cs="Arial" w:eastAsia="Arial" w:hAnsi="Arial"/>
          <w:sz w:val="22"/>
          <w:szCs w:val="22"/>
        </w:rPr>
        <w:t xml:space="preserve">: The AI pipeline with individual components systematically removed. This is critical for understanding </w:t>
      </w:r>
      <w:r>
        <w:rPr>
          <w:rFonts w:ascii="Arial" w:cs="Arial" w:eastAsia="Arial" w:hAnsi="Arial"/>
          <w:i/>
          <w:iCs/>
          <w:sz w:val="22"/>
          <w:szCs w:val="22"/>
        </w:rPr>
        <w:t xml:space="preserve">which</w:t>
      </w:r>
      <w:r>
        <w:rPr>
          <w:rFonts w:ascii="Arial" w:cs="Arial" w:eastAsia="Arial" w:hAnsi="Arial"/>
          <w:sz w:val="22"/>
          <w:szCs w:val="22"/>
        </w:rPr>
        <w:t xml:space="preserve"> AI components deliver the advantage and answers the question: "Is it the foundation model, the graph network, the multi-modal integration, or the agentic workflow that matters most?" Ablation analysis converts a binary "AI is better" claim into a mechanistic understanding of </w:t>
      </w:r>
      <w:r>
        <w:rPr>
          <w:rFonts w:ascii="Arial" w:cs="Arial" w:eastAsia="Arial" w:hAnsi="Arial"/>
          <w:i/>
          <w:iCs/>
          <w:sz w:val="22"/>
          <w:szCs w:val="22"/>
        </w:rPr>
        <w:t xml:space="preserve">where</w:t>
      </w:r>
      <w:r>
        <w:rPr>
          <w:rFonts w:ascii="Arial" w:cs="Arial" w:eastAsia="Arial" w:hAnsi="Arial"/>
          <w:sz w:val="22"/>
          <w:szCs w:val="22"/>
        </w:rPr>
        <w:t xml:space="preserve"> and </w:t>
      </w:r>
      <w:r>
        <w:rPr>
          <w:rFonts w:ascii="Arial" w:cs="Arial" w:eastAsia="Arial" w:hAnsi="Arial"/>
          <w:i/>
          <w:iCs/>
          <w:sz w:val="22"/>
          <w:szCs w:val="22"/>
        </w:rPr>
        <w:t xml:space="preserve">why</w:t>
      </w:r>
      <w:r>
        <w:rPr>
          <w:rFonts w:ascii="Arial" w:cs="Arial" w:eastAsia="Arial" w:hAnsi="Arial"/>
          <w:sz w:val="22"/>
          <w:szCs w:val="22"/>
        </w:rPr>
        <w:t xml:space="preserve"> AI is better. This directly serves the FOA's emphasis on "AI model explainability and traceability."</w:t>
      </w:r>
    </w:p>
    <w:p>
      <w:pPr>
        <w:pStyle w:val="Heading3"/>
        <w:spacing w:after="120" w:before="240"/>
      </w:pPr>
      <w:r>
        <w:rPr>
          <w:rFonts w:ascii="Arial" w:cs="Arial" w:eastAsia="Arial" w:hAnsi="Arial"/>
        </w:rPr>
        <w:t xml:space="preserve">2.3 Evaluation Progression</w:t>
      </w:r>
    </w:p>
    <w:p>
      <w:pPr>
        <w:spacing w:after="60" w:before="60"/>
      </w:pPr>
      <w:r>
        <w:rPr>
          <w:rFonts w:ascii="Arial" w:cs="Arial" w:eastAsia="Arial" w:hAnsi="Arial"/>
          <w:sz w:val="22"/>
          <w:szCs w:val="22"/>
        </w:rPr>
        <w:t xml:space="preserve">The framework mirrors IMAGINE-AI's developmental arc:</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Complexity</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What is Compared</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Ground Truth</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Stage 1</w:t>
            </w:r>
            <w:r>
              <w:rPr>
                <w:rFonts w:ascii="Arial" w:cs="Arial" w:eastAsia="Arial" w:hAnsi="Arial"/>
                <w:sz w:val="22"/>
                <w:szCs w:val="22"/>
              </w:rPr>
              <w:t xml:space="preserve">: Pure culture categorical traits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Low</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 vs. logistic regression on motility, spore formation, Gram stain, etc.</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 curated phenotypes</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Stage 2</w:t>
            </w:r>
            <w:r>
              <w:rPr>
                <w:rFonts w:ascii="Arial" w:cs="Arial" w:eastAsia="Arial" w:hAnsi="Arial"/>
                <w:sz w:val="22"/>
                <w:szCs w:val="22"/>
              </w:rPr>
              <w:t xml:space="preserve">: Pure culture quantitative traits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Medium</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 vs. GLMM on growth rates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µGrowthDB + PI data</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Stage 3</w:t>
            </w:r>
            <w:r>
              <w:rPr>
                <w:rFonts w:ascii="Arial" w:cs="Arial" w:eastAsia="Arial" w:hAnsi="Arial"/>
                <w:sz w:val="22"/>
                <w:szCs w:val="22"/>
              </w:rPr>
              <w:t xml:space="preserve">: In silico consortia</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High</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 vs. additive models on mixed-community phenotypes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In silico composites from known pure-culture data</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Stage 4</w:t>
            </w:r>
            <w:r>
              <w:rPr>
                <w:rFonts w:ascii="Arial" w:cs="Arial" w:eastAsia="Arial" w:hAnsi="Arial"/>
                <w:sz w:val="22"/>
                <w:szCs w:val="22"/>
              </w:rPr>
              <w:t xml:space="preserve">: Experimental consortia</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Highest</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 vs. traditional on realized N₂ fixation in multi-species assemblages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Experimental growth assays (Month 5–9)</w:t>
            </w:r>
          </w:p>
        </w:tc>
      </w:tr>
    </w:tbl>
    <w:p>
      <w:pPr>
        <w:spacing w:after="120" w:before="120"/>
      </w:pPr>
    </w:p>
    <w:p>
      <w:pPr>
        <w:spacing w:after="60" w:before="60"/>
      </w:pPr>
      <w:r>
        <w:rPr>
          <w:rFonts w:ascii="Arial" w:cs="Arial" w:eastAsia="Arial" w:hAnsi="Arial"/>
          <w:sz w:val="22"/>
          <w:szCs w:val="22"/>
        </w:rPr>
        <w:t xml:space="preserve">At each stage, the same metrics are computed, enabling direct comparison of how AI advantage scales with biological complexity — a natural "scaling metric" aligned with the FOA's emphasis.</w:t>
      </w:r>
    </w:p>
    <w:p>
      <w:pPr>
        <w:pBdr>
          <w:bottom w:val="single" w:color="CCCCCC" w:sz="1" w:space="1"/>
        </w:pBdr>
        <w:spacing w:after="200" w:before="200"/>
      </w:pPr>
    </w:p>
    <w:p>
      <w:pPr>
        <w:pStyle w:val="Heading2"/>
        <w:spacing w:after="200" w:before="360"/>
      </w:pPr>
      <w:r>
        <w:rPr>
          <w:rFonts w:ascii="Arial" w:cs="Arial" w:eastAsia="Arial" w:hAnsi="Arial"/>
        </w:rPr>
        <w:t xml:space="preserve">3. Novel Metrics for Quantifying AI Advantage</w:t>
      </w:r>
    </w:p>
    <w:p>
      <w:pPr>
        <w:spacing w:after="60" w:before="60"/>
      </w:pPr>
      <w:r>
        <w:rPr>
          <w:rFonts w:ascii="Arial" w:cs="Arial" w:eastAsia="Arial" w:hAnsi="Arial"/>
          <w:sz w:val="22"/>
          <w:szCs w:val="22"/>
        </w:rPr>
        <w:t xml:space="preserve">The DOE Genesis Mission FOA calls for "specific metrics to assess the progress of the project" and "encourages the development of metrics to identify AI advantage." The following seven metrics are designed to capture AI advantage across all three levels (throughput, quality, capability expansion), provide statistically defensible comparisons, and address the FOA's specific interest in scaling behavior, uncertainty characterization, and reproducibility.</w:t>
      </w:r>
    </w:p>
    <w:p>
      <w:pPr>
        <w:pStyle w:val="Heading3"/>
        <w:spacing w:after="120" w:before="240"/>
      </w:pPr>
      <w:r>
        <w:rPr>
          <w:rFonts w:ascii="Arial" w:cs="Arial" w:eastAsia="Arial" w:hAnsi="Arial"/>
        </w:rPr>
        <w:t xml:space="preserve">Metric 1: Predictive Accuracy Advantage (PAA)</w:t>
      </w:r>
    </w:p>
    <w:p>
      <w:pPr>
        <w:spacing w:after="60" w:before="60"/>
      </w:pPr>
      <w:r>
        <w:rPr>
          <w:rFonts w:ascii="Arial" w:cs="Arial" w:eastAsia="Arial" w:hAnsi="Arial"/>
          <w:b/>
          <w:bCs/>
          <w:sz w:val="22"/>
          <w:szCs w:val="22"/>
        </w:rPr>
        <w:t xml:space="preserve">Level</w:t>
      </w:r>
      <w:r>
        <w:rPr>
          <w:rFonts w:ascii="Arial" w:cs="Arial" w:eastAsia="Arial" w:hAnsi="Arial"/>
          <w:sz w:val="22"/>
          <w:szCs w:val="22"/>
        </w:rPr>
        <w:t xml:space="preserve">: Quality Enhancement (Level 2)</w:t>
      </w:r>
    </w:p>
    <w:p>
      <w:pPr>
        <w:spacing w:after="60" w:before="60"/>
      </w:pPr>
      <w:r>
        <w:rPr>
          <w:rFonts w:ascii="Arial" w:cs="Arial" w:eastAsia="Arial" w:hAnsi="Arial"/>
          <w:b/>
          <w:bCs/>
          <w:sz w:val="22"/>
          <w:szCs w:val="22"/>
        </w:rPr>
        <w:t xml:space="preserve">FOA Alignment</w:t>
      </w:r>
      <w:r>
        <w:rPr>
          <w:rFonts w:ascii="Arial" w:cs="Arial" w:eastAsia="Arial" w:hAnsi="Arial"/>
          <w:sz w:val="22"/>
          <w:szCs w:val="22"/>
        </w:rPr>
        <w:t xml:space="preserve">: "statistically defensible performance comparisons to non-AI baselines"</w:t>
      </w:r>
    </w:p>
    <w:p>
      <w:pPr>
        <w:spacing w:after="60" w:before="60"/>
      </w:pPr>
      <w:r>
        <w:rPr>
          <w:rFonts w:ascii="Arial" w:cs="Arial" w:eastAsia="Arial" w:hAnsi="Arial"/>
          <w:b/>
          <w:b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PAA_categorical = F1_AI − F1_traditional    (macro-averaged, held-out test taxa)</w:t>
      </w:r>
    </w:p>
    <w:p>
      <w:pPr>
        <w:shd w:fill="F4F4F4" w:val="clear"/>
        <w:spacing w:after="20" w:before="20"/>
        <w:ind w:left="360"/>
      </w:pPr>
      <w:r>
        <w:rPr>
          <w:rFonts w:ascii="Courier New" w:cs="Courier New" w:eastAsia="Courier New" w:hAnsi="Courier New"/>
          <w:color w:val="2C3E50"/>
          <w:sz w:val="18"/>
          <w:szCs w:val="18"/>
        </w:rPr>
        <w:t xml:space="preserve">PAA_quantitative = (RMSE_trad − RMSE_AI) / RMSE_trad    (relative improvement)</w:t>
      </w:r>
    </w:p>
    <w:p>
      <w:pPr>
        <w:spacing w:after="80"/>
      </w:pPr>
    </w:p>
    <w:p>
      <w:pPr>
        <w:spacing w:after="60" w:before="60"/>
      </w:pPr>
      <w:r>
        <w:rPr>
          <w:rFonts w:ascii="Arial" w:cs="Arial" w:eastAsia="Arial" w:hAnsi="Arial"/>
          <w:b/>
          <w:bCs/>
          <w:sz w:val="22"/>
          <w:szCs w:val="22"/>
        </w:rPr>
        <w:t xml:space="preserve">Statistical test</w:t>
      </w:r>
      <w:r>
        <w:rPr>
          <w:rFonts w:ascii="Arial" w:cs="Arial" w:eastAsia="Arial" w:hAnsi="Arial"/>
          <w:sz w:val="22"/>
          <w:szCs w:val="22"/>
        </w:rPr>
        <w:t xml:space="preserve">: Permutation test (p &lt; 0.05) over 10-fold stratified cross-validation repeated 10 times.</w:t>
      </w:r>
    </w:p>
    <w:p>
      <w:pPr>
        <w:spacing w:after="60" w:before="60"/>
      </w:pPr>
      <w:r>
        <w:rPr>
          <w:rFonts w:ascii="Arial" w:cs="Arial" w:eastAsia="Arial" w:hAnsi="Arial"/>
          <w:b/>
          <w:bCs/>
          <w:sz w:val="22"/>
          <w:szCs w:val="22"/>
        </w:rPr>
        <w:t xml:space="preserve">Decision gate</w:t>
      </w:r>
      <w:r>
        <w:rPr>
          <w:rFonts w:ascii="Arial" w:cs="Arial" w:eastAsia="Arial" w:hAnsi="Arial"/>
          <w:sz w:val="22"/>
          <w:szCs w:val="22"/>
        </w:rPr>
        <w:t xml:space="preserve">: PAA_categorical ≥ 5 percentage points; PAA_quantitative ≥ 10% relative reduction.</w:t>
      </w:r>
    </w:p>
    <w:p>
      <w:pPr>
        <w:spacing w:after="60" w:before="60"/>
      </w:pPr>
      <w:r>
        <w:rPr>
          <w:rFonts w:ascii="Arial" w:cs="Arial" w:eastAsia="Arial" w:hAnsi="Arial"/>
          <w:b/>
          <w:bCs/>
          <w:sz w:val="22"/>
          <w:szCs w:val="22"/>
        </w:rPr>
        <w:t xml:space="preserve">What it captures</w:t>
      </w:r>
      <w:r>
        <w:rPr>
          <w:rFonts w:ascii="Arial" w:cs="Arial" w:eastAsia="Arial" w:hAnsi="Arial"/>
          <w:sz w:val="22"/>
          <w:szCs w:val="22"/>
        </w:rPr>
        <w:t xml:space="preserve">: Direct accuracy improvement on the same organisms, same traits, same test data. This is the baseline metric that reviewers expect — necessary but not sufficient for demonstrating transformative advantage.</w:t>
      </w:r>
    </w:p>
    <w:p>
      <w:pPr>
        <w:spacing w:after="60" w:before="60"/>
      </w:pPr>
      <w:r>
        <w:rPr>
          <w:rFonts w:ascii="Arial" w:cs="Arial" w:eastAsia="Arial" w:hAnsi="Arial"/>
          <w:b/>
          <w:bCs/>
          <w:sz w:val="22"/>
          <w:szCs w:val="22"/>
        </w:rPr>
        <w:t xml:space="preserve">Why it matters for IMAGINE-AI</w:t>
      </w:r>
      <w:r>
        <w:rPr>
          <w:rFonts w:ascii="Arial" w:cs="Arial" w:eastAsia="Arial" w:hAnsi="Arial"/>
          <w:sz w:val="22"/>
          <w:szCs w:val="22"/>
        </w:rPr>
        <w:t xml:space="preserve">: Logistic regression and GLMM are well-established for simple genotype-to-phenotype relationships. If AI cannot improve on these for well-characterized phenotypes with adequate training data, there is no foundation for the more ambitious claims. PAA establishes the floor.</w:t>
      </w:r>
    </w:p>
    <w:p>
      <w:pPr>
        <w:pBdr>
          <w:bottom w:val="single" w:color="CCCCCC" w:sz="1" w:space="1"/>
        </w:pBdr>
        <w:spacing w:after="200" w:before="200"/>
      </w:pPr>
    </w:p>
    <w:p>
      <w:pPr>
        <w:pStyle w:val="Heading3"/>
        <w:spacing w:after="120" w:before="240"/>
      </w:pPr>
      <w:r>
        <w:rPr>
          <w:rFonts w:ascii="Arial" w:cs="Arial" w:eastAsia="Arial" w:hAnsi="Arial"/>
        </w:rPr>
        <w:t xml:space="preserve">Metric 2: Scaling Exponent (SE)</w:t>
      </w:r>
    </w:p>
    <w:p>
      <w:pPr>
        <w:spacing w:after="60" w:before="60"/>
      </w:pPr>
      <w:r>
        <w:rPr>
          <w:rFonts w:ascii="Arial" w:cs="Arial" w:eastAsia="Arial" w:hAnsi="Arial"/>
          <w:b/>
          <w:bCs/>
          <w:sz w:val="22"/>
          <w:szCs w:val="22"/>
        </w:rPr>
        <w:t xml:space="preserve">Level</w:t>
      </w:r>
      <w:r>
        <w:rPr>
          <w:rFonts w:ascii="Arial" w:cs="Arial" w:eastAsia="Arial" w:hAnsi="Arial"/>
          <w:sz w:val="22"/>
          <w:szCs w:val="22"/>
        </w:rPr>
        <w:t xml:space="preserve">: Quality Enhancement + Capability Expansion (Levels 2–3)</w:t>
      </w:r>
    </w:p>
    <w:p>
      <w:pPr>
        <w:spacing w:after="60" w:before="60"/>
      </w:pPr>
      <w:r>
        <w:rPr>
          <w:rFonts w:ascii="Arial" w:cs="Arial" w:eastAsia="Arial" w:hAnsi="Arial"/>
          <w:b/>
          <w:bCs/>
          <w:sz w:val="22"/>
          <w:szCs w:val="22"/>
        </w:rPr>
        <w:t xml:space="preserve">FOA Alignment</w:t>
      </w:r>
      <w:r>
        <w:rPr>
          <w:rFonts w:ascii="Arial" w:cs="Arial" w:eastAsia="Arial" w:hAnsi="Arial"/>
          <w:sz w:val="22"/>
          <w:szCs w:val="22"/>
        </w:rPr>
        <w:t xml:space="preserve">: "scaling behavior which shows increasing performance as additional data, computing, and/or other resources are applied"</w:t>
      </w:r>
    </w:p>
    <w:p>
      <w:pPr>
        <w:spacing w:after="60" w:before="60"/>
      </w:pPr>
      <w:r>
        <w:rPr>
          <w:rFonts w:ascii="Arial" w:cs="Arial" w:eastAsia="Arial" w:hAnsi="Arial"/>
          <w:b/>
          <w:b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Performance(n) = a · n^α + c</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where n = training set size, α = scaling exponent, c = asymptotic offset</w:t>
      </w:r>
    </w:p>
    <w:p>
      <w:pPr>
        <w:spacing w:after="80"/>
      </w:pPr>
    </w:p>
    <w:p>
      <w:pPr>
        <w:spacing w:after="60" w:before="60"/>
      </w:pPr>
      <w:r>
        <w:rPr>
          <w:rFonts w:ascii="Arial" w:cs="Arial" w:eastAsia="Arial" w:hAnsi="Arial"/>
          <w:sz w:val="22"/>
          <w:szCs w:val="22"/>
        </w:rPr>
        <w:t xml:space="preserve">Fit via bootstrapped training subsets at 10%, 25%, 50%, 75%, 100% of available data. Compute α for both AI and traditional models.</w:t>
      </w:r>
    </w:p>
    <w:p>
      <w:pPr>
        <w:spacing w:after="60" w:before="60"/>
      </w:pPr>
      <w:r>
        <w:rPr>
          <w:rFonts w:ascii="Arial" w:cs="Arial" w:eastAsia="Arial" w:hAnsi="Arial"/>
          <w:b/>
          <w:bCs/>
          <w:sz w:val="22"/>
          <w:szCs w:val="22"/>
        </w:rPr>
        <w:t xml:space="preserve">Decision gate</w:t>
      </w:r>
      <w:r>
        <w:rPr>
          <w:rFonts w:ascii="Arial" w:cs="Arial" w:eastAsia="Arial" w:hAnsi="Arial"/>
          <w:sz w:val="22"/>
          <w:szCs w:val="22"/>
        </w:rPr>
        <w:t xml:space="preserve">: α_AI &gt; α_trad with p &lt; 0.05 (Spearman rank correlation of performance vs. n).</w:t>
      </w:r>
    </w:p>
    <w:p>
      <w:pPr>
        <w:spacing w:after="60" w:before="60"/>
      </w:pPr>
      <w:r>
        <w:rPr>
          <w:rFonts w:ascii="Arial" w:cs="Arial" w:eastAsia="Arial" w:hAnsi="Arial"/>
          <w:b/>
          <w:bCs/>
          <w:sz w:val="22"/>
          <w:szCs w:val="22"/>
        </w:rPr>
        <w:t xml:space="preserve">What it captures</w:t>
      </w:r>
      <w:r>
        <w:rPr>
          <w:rFonts w:ascii="Arial" w:cs="Arial" w:eastAsia="Arial" w:hAnsi="Arial"/>
          <w:sz w:val="22"/>
          <w:szCs w:val="22"/>
        </w:rPr>
        <w:t xml:space="preserve">: Whether AI models improve </w:t>
      </w:r>
      <w:r>
        <w:rPr>
          <w:rFonts w:ascii="Arial" w:cs="Arial" w:eastAsia="Arial" w:hAnsi="Arial"/>
          <w:i/>
          <w:iCs/>
          <w:sz w:val="22"/>
          <w:szCs w:val="22"/>
        </w:rPr>
        <w:t xml:space="preserve">faster</w:t>
      </w:r>
      <w:r>
        <w:rPr>
          <w:rFonts w:ascii="Arial" w:cs="Arial" w:eastAsia="Arial" w:hAnsi="Arial"/>
          <w:sz w:val="22"/>
          <w:szCs w:val="22"/>
        </w:rPr>
        <w:t xml:space="preserve"> with more data than traditional models. A higher scaling exponent means the AI model has more capacity to absorb additional information — it "learns more per datum." This directly addresses the FOA's signature metric interest.</w:t>
      </w:r>
    </w:p>
    <w:p>
      <w:pPr>
        <w:spacing w:after="60" w:before="60"/>
      </w:pPr>
      <w:r>
        <w:rPr>
          <w:rFonts w:ascii="Arial" w:cs="Arial" w:eastAsia="Arial" w:hAnsi="Arial"/>
          <w:b/>
          <w:bCs/>
          <w:sz w:val="22"/>
          <w:szCs w:val="22"/>
        </w:rPr>
        <w:t xml:space="preserve">Why it matters for IMAGINE-AI</w:t>
      </w:r>
      <w:r>
        <w:rPr>
          <w:rFonts w:ascii="Arial" w:cs="Arial" w:eastAsia="Arial" w:hAnsi="Arial"/>
          <w:sz w:val="22"/>
          <w:szCs w:val="22"/>
        </w:rPr>
        <w:t xml:space="preserve">: The proposal's experimental work will rapidly increase phenotype observations for targeted strains and consortia. Scaling exponent predicts whether this new data generation will yield proportionally greater returns through the AI pipeline than through traditional analysis. If α_AI &gt;&gt; α_trad, then every dollar spent on data generation yields more scientific insight through AI — a quantifiable return-on-investment argument for Phase II.</w:t>
      </w:r>
    </w:p>
    <w:p>
      <w:pPr>
        <w:spacing w:after="60" w:before="60"/>
      </w:pPr>
      <w:r>
        <w:rPr>
          <w:rFonts w:ascii="Arial" w:cs="Arial" w:eastAsia="Arial" w:hAnsi="Arial"/>
          <w:b/>
          <w:bCs/>
          <w:sz w:val="22"/>
          <w:szCs w:val="22"/>
        </w:rPr>
        <w:t xml:space="preserve">Extension — Complexity Scaling</w:t>
      </w:r>
      <w:r>
        <w:rPr>
          <w:rFonts w:ascii="Arial" w:cs="Arial" w:eastAsia="Arial" w:hAnsi="Arial"/>
          <w:sz w:val="22"/>
          <w:szCs w:val="22"/>
        </w:rPr>
        <w:t xml:space="preserve">: Compute SE separately for pure cultures (Stage 1–2) and consortia (Stage 3–4). If α increases with biological complexity, this demonstrates that AI advantage </w:t>
      </w:r>
      <w:r>
        <w:rPr>
          <w:rFonts w:ascii="Arial" w:cs="Arial" w:eastAsia="Arial" w:hAnsi="Arial"/>
          <w:i/>
          <w:iCs/>
          <w:sz w:val="22"/>
          <w:szCs w:val="22"/>
        </w:rPr>
        <w:t xml:space="preserve">grows</w:t>
      </w:r>
      <w:r>
        <w:rPr>
          <w:rFonts w:ascii="Arial" w:cs="Arial" w:eastAsia="Arial" w:hAnsi="Arial"/>
          <w:sz w:val="22"/>
          <w:szCs w:val="22"/>
        </w:rPr>
        <w:t xml:space="preserve"> as problems get harder — the strongest possible argument for scaling investment.</w:t>
      </w:r>
    </w:p>
    <w:p>
      <w:pPr>
        <w:pBdr>
          <w:bottom w:val="single" w:color="CCCCCC" w:sz="1" w:space="1"/>
        </w:pBdr>
        <w:spacing w:after="200" w:before="200"/>
      </w:pPr>
    </w:p>
    <w:p>
      <w:pPr>
        <w:pStyle w:val="Heading3"/>
        <w:spacing w:after="120" w:before="240"/>
      </w:pPr>
      <w:r>
        <w:rPr>
          <w:rFonts w:ascii="Arial" w:cs="Arial" w:eastAsia="Arial" w:hAnsi="Arial"/>
        </w:rPr>
        <w:t xml:space="preserve">Metric 3: Prediction Frontier Expansion (PFE)</w:t>
      </w:r>
    </w:p>
    <w:p>
      <w:pPr>
        <w:spacing w:after="60" w:before="60"/>
      </w:pPr>
      <w:r>
        <w:rPr>
          <w:rFonts w:ascii="Arial" w:cs="Arial" w:eastAsia="Arial" w:hAnsi="Arial"/>
          <w:b/>
          <w:bCs/>
          <w:sz w:val="22"/>
          <w:szCs w:val="22"/>
        </w:rPr>
        <w:t xml:space="preserve">Level</w:t>
      </w:r>
      <w:r>
        <w:rPr>
          <w:rFonts w:ascii="Arial" w:cs="Arial" w:eastAsia="Arial" w:hAnsi="Arial"/>
          <w:sz w:val="22"/>
          <w:szCs w:val="22"/>
        </w:rPr>
        <w:t xml:space="preserve">: Capability Expansion (Level 3)</w:t>
      </w:r>
    </w:p>
    <w:p>
      <w:pPr>
        <w:spacing w:after="60" w:before="60"/>
      </w:pPr>
      <w:r>
        <w:rPr>
          <w:rFonts w:ascii="Arial" w:cs="Arial" w:eastAsia="Arial" w:hAnsi="Arial"/>
          <w:b/>
          <w:bCs/>
          <w:sz w:val="22"/>
          <w:szCs w:val="22"/>
        </w:rPr>
        <w:t xml:space="preserve">FOA Alignment</w:t>
      </w:r>
      <w:r>
        <w:rPr>
          <w:rFonts w:ascii="Arial" w:cs="Arial" w:eastAsia="Arial" w:hAnsi="Arial"/>
          <w:sz w:val="22"/>
          <w:szCs w:val="22"/>
        </w:rPr>
        <w:t xml:space="preserve">: "demonstrating increased predictive power or scientific insight"</w:t>
      </w:r>
    </w:p>
    <w:p>
      <w:pPr>
        <w:spacing w:after="60" w:before="60"/>
      </w:pPr>
      <w:r>
        <w:rPr>
          <w:rFonts w:ascii="Arial" w:cs="Arial" w:eastAsia="Arial" w:hAnsi="Arial"/>
          <w:b/>
          <w:b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PFE = |{organisms with confident AI prediction but NO traditional prediction}| / |{total organisms in dataset}|</w:t>
      </w:r>
    </w:p>
    <w:p>
      <w:pPr>
        <w:spacing w:after="80"/>
      </w:pPr>
    </w:p>
    <w:p>
      <w:pPr>
        <w:spacing w:after="60" w:before="60"/>
      </w:pPr>
      <w:r>
        <w:rPr>
          <w:rFonts w:ascii="Arial" w:cs="Arial" w:eastAsia="Arial" w:hAnsi="Arial"/>
          <w:sz w:val="22"/>
          <w:szCs w:val="22"/>
        </w:rPr>
        <w:t xml:space="preserve">Where "confident" = prediction probability ≥ 0.8 (categorical) or prediction interval width ≤ 2× observed variance (quantitative). "No traditional prediction" = the traditional model either produces no output (reference gap) or returns uncertainty exceeding the acceptance threshold.</w:t>
      </w:r>
    </w:p>
    <w:p>
      <w:pPr>
        <w:spacing w:after="60" w:before="60"/>
      </w:pPr>
      <w:r>
        <w:rPr>
          <w:rFonts w:ascii="Arial" w:cs="Arial" w:eastAsia="Arial" w:hAnsi="Arial"/>
          <w:b/>
          <w:bCs/>
          <w:sz w:val="22"/>
          <w:szCs w:val="22"/>
        </w:rPr>
        <w:t xml:space="preserve">What it captures</w:t>
      </w:r>
      <w:r>
        <w:rPr>
          <w:rFonts w:ascii="Arial" w:cs="Arial" w:eastAsia="Arial" w:hAnsi="Arial"/>
          <w:sz w:val="22"/>
          <w:szCs w:val="22"/>
        </w:rPr>
        <w:t xml:space="preserve">: The population of organisms for which AI </w:t>
      </w:r>
      <w:r>
        <w:rPr>
          <w:rFonts w:ascii="Arial" w:cs="Arial" w:eastAsia="Arial" w:hAnsi="Arial"/>
          <w:i/>
          <w:iCs/>
          <w:sz w:val="22"/>
          <w:szCs w:val="22"/>
        </w:rPr>
        <w:t xml:space="preserve">uniquely enables</w:t>
      </w:r>
      <w:r>
        <w:rPr>
          <w:rFonts w:ascii="Arial" w:cs="Arial" w:eastAsia="Arial" w:hAnsi="Arial"/>
          <w:sz w:val="22"/>
          <w:szCs w:val="22"/>
        </w:rPr>
        <w:t xml:space="preserve"> phenotype characterization — organisms where traditional methods structurally fail. This is pure capability expansion. It measures how much new biological knowledge the AI system creates that could not exist otherwise.</w:t>
      </w:r>
    </w:p>
    <w:p>
      <w:pPr>
        <w:spacing w:after="60" w:before="60"/>
      </w:pPr>
      <w:r>
        <w:rPr>
          <w:rFonts w:ascii="Arial" w:cs="Arial" w:eastAsia="Arial" w:hAnsi="Arial"/>
          <w:b/>
          <w:bCs/>
          <w:sz w:val="22"/>
          <w:szCs w:val="22"/>
        </w:rPr>
        <w:t xml:space="preserve">Why it matters for IMAGINE-AI</w:t>
      </w:r>
      <w:r>
        <w:rPr>
          <w:rFonts w:ascii="Arial" w:cs="Arial" w:eastAsia="Arial" w:hAnsi="Arial"/>
          <w:sz w:val="22"/>
          <w:szCs w:val="22"/>
        </w:rPr>
        <w:t xml:space="preserve">: Many diazotrophic organisms in NFixDB have fully sequenced genomes but incomplete phenotypic characterization. If IMAGINE-AI can confidently predict growth rates, metabolic capacity, or interaction phenotypes for these organisms — predictions that traditional methods cannot make — this directly advances the "genotype-to-phenotype" mission. PFE quantifies the size of this new knowledge frontier.</w:t>
      </w:r>
    </w:p>
    <w:p>
      <w:pPr>
        <w:spacing w:after="60" w:before="60"/>
      </w:pPr>
      <w:r>
        <w:rPr>
          <w:rFonts w:ascii="Arial" w:cs="Arial" w:eastAsia="Arial" w:hAnsi="Arial"/>
          <w:b/>
          <w:bCs/>
          <w:sz w:val="22"/>
          <w:szCs w:val="22"/>
        </w:rPr>
        <w:t xml:space="preserve">Validation</w:t>
      </w:r>
      <w:r>
        <w:rPr>
          <w:rFonts w:ascii="Arial" w:cs="Arial" w:eastAsia="Arial" w:hAnsi="Arial"/>
          <w:sz w:val="22"/>
          <w:szCs w:val="22"/>
        </w:rPr>
        <w:t xml:space="preserve">: A random subset of PFE predictions (organisms where only AI produces a phenotype prediction) will be selected for targeted experimental validation during the high-throughput phenotyping phase (Months 5–9). The confirmation rate of AI-unique predictions is a direct measure of whether capability expansion translates to real biological discovery.</w:t>
      </w:r>
    </w:p>
    <w:p>
      <w:pPr>
        <w:pBdr>
          <w:bottom w:val="single" w:color="CCCCCC" w:sz="1" w:space="1"/>
        </w:pBdr>
        <w:spacing w:after="200" w:before="200"/>
      </w:pPr>
    </w:p>
    <w:p>
      <w:pPr>
        <w:pStyle w:val="Heading3"/>
        <w:spacing w:after="120" w:before="240"/>
      </w:pPr>
      <w:r>
        <w:rPr>
          <w:rFonts w:ascii="Arial" w:cs="Arial" w:eastAsia="Arial" w:hAnsi="Arial"/>
        </w:rPr>
        <w:t xml:space="preserve">Metric 4: Interaction Discovery Rate (IDR)</w:t>
      </w:r>
    </w:p>
    <w:p>
      <w:pPr>
        <w:spacing w:after="60" w:before="60"/>
      </w:pPr>
      <w:r>
        <w:rPr>
          <w:rFonts w:ascii="Arial" w:cs="Arial" w:eastAsia="Arial" w:hAnsi="Arial"/>
          <w:b/>
          <w:bCs/>
          <w:sz w:val="22"/>
          <w:szCs w:val="22"/>
        </w:rPr>
        <w:t xml:space="preserve">Level</w:t>
      </w:r>
      <w:r>
        <w:rPr>
          <w:rFonts w:ascii="Arial" w:cs="Arial" w:eastAsia="Arial" w:hAnsi="Arial"/>
          <w:sz w:val="22"/>
          <w:szCs w:val="22"/>
        </w:rPr>
        <w:t xml:space="preserve">: Capability Expansion (Level 3)</w:t>
      </w:r>
    </w:p>
    <w:p>
      <w:pPr>
        <w:spacing w:after="60" w:before="60"/>
      </w:pPr>
      <w:r>
        <w:rPr>
          <w:rFonts w:ascii="Arial" w:cs="Arial" w:eastAsia="Arial" w:hAnsi="Arial"/>
          <w:b/>
          <w:bCs/>
          <w:sz w:val="22"/>
          <w:szCs w:val="22"/>
        </w:rPr>
        <w:t xml:space="preserve">FOA Alignment</w:t>
      </w:r>
      <w:r>
        <w:rPr>
          <w:rFonts w:ascii="Arial" w:cs="Arial" w:eastAsia="Arial" w:hAnsi="Arial"/>
          <w:sz w:val="22"/>
          <w:szCs w:val="22"/>
        </w:rPr>
        <w:t xml:space="preserve">: "scientific insight from appropriately-curated data"; "finding the patterns we don't even know to look for"</w:t>
      </w:r>
    </w:p>
    <w:p>
      <w:pPr>
        <w:spacing w:after="60" w:before="60"/>
      </w:pPr>
      <w:r>
        <w:rPr>
          <w:rFonts w:ascii="Arial" w:cs="Arial" w:eastAsia="Arial" w:hAnsi="Arial"/>
          <w:b/>
          <w:b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IDR = |{significant gene-gene or species-species interactions detected by AI but not by traditional pairwise methods}| / |{total interactions tested}|</w:t>
      </w:r>
    </w:p>
    <w:p>
      <w:pPr>
        <w:spacing w:after="80"/>
      </w:pPr>
    </w:p>
    <w:p>
      <w:pPr>
        <w:spacing w:after="60" w:before="60"/>
      </w:pPr>
      <w:r>
        <w:rPr>
          <w:rFonts w:ascii="Arial" w:cs="Arial" w:eastAsia="Arial" w:hAnsi="Arial"/>
          <w:sz w:val="22"/>
          <w:szCs w:val="22"/>
        </w:rPr>
        <w:t xml:space="preserve">Interactions are validated by: (a) literature support, (b) co-expression evidence from transcriptomic data, or (c) experimental confirmation via consortia phenotyping.</w:t>
      </w:r>
    </w:p>
    <w:p>
      <w:pPr>
        <w:spacing w:after="60" w:before="60"/>
      </w:pPr>
      <w:r>
        <w:rPr>
          <w:rFonts w:ascii="Arial" w:cs="Arial" w:eastAsia="Arial" w:hAnsi="Arial"/>
          <w:b/>
          <w:bCs/>
          <w:sz w:val="22"/>
          <w:szCs w:val="22"/>
        </w:rPr>
        <w:t xml:space="preserve">What it captures</w:t>
      </w:r>
      <w:r>
        <w:rPr>
          <w:rFonts w:ascii="Arial" w:cs="Arial" w:eastAsia="Arial" w:hAnsi="Arial"/>
          <w:sz w:val="22"/>
          <w:szCs w:val="22"/>
        </w:rPr>
        <w:t xml:space="preserve">: This metric specifically addresses "connecting the dots" — finding patterns in genotype-phenotype relationships that humans and linear models cannot detect. GNNs and transformer attention maps can identify multi-gene interaction effects (epistasis, pathway synergies, regulatory cross-talk) that are invisible to additive models. IDR measures the rate at which AI discovers biologically real interaction effects that traditional methods miss.</w:t>
      </w:r>
    </w:p>
    <w:p>
      <w:pPr>
        <w:spacing w:after="60" w:before="60"/>
      </w:pPr>
      <w:r>
        <w:rPr>
          <w:rFonts w:ascii="Arial" w:cs="Arial" w:eastAsia="Arial" w:hAnsi="Arial"/>
          <w:b/>
          <w:bCs/>
          <w:sz w:val="22"/>
          <w:szCs w:val="22"/>
        </w:rPr>
        <w:t xml:space="preserve">Why it matters for IMAGINE-AI</w:t>
      </w:r>
      <w:r>
        <w:rPr>
          <w:rFonts w:ascii="Arial" w:cs="Arial" w:eastAsia="Arial" w:hAnsi="Arial"/>
          <w:sz w:val="22"/>
          <w:szCs w:val="22"/>
        </w:rPr>
        <w:t xml:space="preserve">: Nitrogen fixation in consortia depends critically on inter-species interactions — metabolic cross-feeding, competitive exclusion, niche partitioning. These interactions are inherently nonlinear and context-dependent. If AI models detect specific gene-gene or species-species interaction effects that predict consortia N₂ fixation performance, this is directly actionable knowledge for the Phase II design-build-test-learn workflow.</w:t>
      </w:r>
    </w:p>
    <w:p>
      <w:pPr>
        <w:spacing w:after="60" w:before="60"/>
      </w:pPr>
      <w:r>
        <w:rPr>
          <w:rFonts w:ascii="Arial" w:cs="Arial" w:eastAsia="Arial" w:hAnsi="Arial"/>
          <w:b/>
          <w:bCs/>
          <w:sz w:val="22"/>
          <w:szCs w:val="22"/>
        </w:rPr>
        <w:t xml:space="preserve">Practical implementation</w:t>
      </w:r>
      <w:r>
        <w:rPr>
          <w:rFonts w:ascii="Arial" w:cs="Arial" w:eastAsia="Arial" w:hAnsi="Arial"/>
          <w:sz w:val="22"/>
          <w:szCs w:val="22"/>
        </w:rPr>
        <w:t xml:space="preserve">: After training, extract attention weights (transformers) or edge importances (GNNs) to identify the top-k interaction effects that most strongly influence phenotype predictions. Compare against: (1) pairwise statistical tests (chi-square, Fisher's exact) on the same features, (2) GLMM interaction terms. Score interactions as "AI-unique" if they are not significant (p &gt; 0.10) in any traditional test. Validate a sample experimentally.</w:t>
      </w:r>
    </w:p>
    <w:p>
      <w:pPr>
        <w:pBdr>
          <w:bottom w:val="single" w:color="CCCCCC" w:sz="1" w:space="1"/>
        </w:pBdr>
        <w:spacing w:after="200" w:before="200"/>
      </w:pPr>
    </w:p>
    <w:p>
      <w:pPr>
        <w:pStyle w:val="Heading3"/>
        <w:spacing w:after="120" w:before="240"/>
      </w:pPr>
      <w:r>
        <w:rPr>
          <w:rFonts w:ascii="Arial" w:cs="Arial" w:eastAsia="Arial" w:hAnsi="Arial"/>
        </w:rPr>
        <w:t xml:space="preserve">Metric 5: Uncertainty Calibration Index (UCI)</w:t>
      </w:r>
    </w:p>
    <w:p>
      <w:pPr>
        <w:spacing w:after="60" w:before="60"/>
      </w:pPr>
      <w:r>
        <w:rPr>
          <w:rFonts w:ascii="Arial" w:cs="Arial" w:eastAsia="Arial" w:hAnsi="Arial"/>
          <w:b/>
          <w:bCs/>
          <w:sz w:val="22"/>
          <w:szCs w:val="22"/>
        </w:rPr>
        <w:t xml:space="preserve">Level</w:t>
      </w:r>
      <w:r>
        <w:rPr>
          <w:rFonts w:ascii="Arial" w:cs="Arial" w:eastAsia="Arial" w:hAnsi="Arial"/>
          <w:sz w:val="22"/>
          <w:szCs w:val="22"/>
        </w:rPr>
        <w:t xml:space="preserve">: Quality Enhancement (Level 2)</w:t>
      </w:r>
    </w:p>
    <w:p>
      <w:pPr>
        <w:spacing w:after="60" w:before="60"/>
      </w:pPr>
      <w:r>
        <w:rPr>
          <w:rFonts w:ascii="Arial" w:cs="Arial" w:eastAsia="Arial" w:hAnsi="Arial"/>
          <w:b/>
          <w:bCs/>
          <w:sz w:val="22"/>
          <w:szCs w:val="22"/>
        </w:rPr>
        <w:t xml:space="preserve">FOA Alignment</w:t>
      </w:r>
      <w:r>
        <w:rPr>
          <w:rFonts w:ascii="Arial" w:cs="Arial" w:eastAsia="Arial" w:hAnsi="Arial"/>
          <w:sz w:val="22"/>
          <w:szCs w:val="22"/>
        </w:rPr>
        <w:t xml:space="preserve">: "how to characterize uncertainty, robustness of the workflow, and reproducibility"</w:t>
      </w:r>
    </w:p>
    <w:p>
      <w:pPr>
        <w:spacing w:after="60" w:before="60"/>
      </w:pPr>
      <w:r>
        <w:rPr>
          <w:rFonts w:ascii="Arial" w:cs="Arial" w:eastAsia="Arial" w:hAnsi="Arial"/>
          <w:b/>
          <w:b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UCI = 1 − mean(|observed_coverage − expected_coverage|)</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across confidence bins: [0.5–0.6), [0.6–0.7), [0.7–0.8), [0.8–0.9), [0.9–1.0]</w:t>
      </w:r>
    </w:p>
    <w:p>
      <w:pPr>
        <w:spacing w:after="80"/>
      </w:pPr>
    </w:p>
    <w:p>
      <w:pPr>
        <w:spacing w:after="60" w:before="60"/>
      </w:pPr>
      <w:r>
        <w:rPr>
          <w:rFonts w:ascii="Arial" w:cs="Arial" w:eastAsia="Arial" w:hAnsi="Arial"/>
          <w:sz w:val="22"/>
          <w:szCs w:val="22"/>
        </w:rPr>
        <w:t xml:space="preserve">Where </w:t>
      </w:r>
      <w:r>
        <w:rPr>
          <w:rFonts w:ascii="Arial" w:cs="Arial" w:eastAsia="Arial" w:hAnsi="Arial"/>
          <w:i/>
          <w:iCs/>
          <w:sz w:val="22"/>
          <w:szCs w:val="22"/>
        </w:rPr>
        <w:t xml:space="preserve">expected_coverage</w:t>
      </w:r>
      <w:r>
        <w:rPr>
          <w:rFonts w:ascii="Arial" w:cs="Arial" w:eastAsia="Arial" w:hAnsi="Arial"/>
          <w:sz w:val="22"/>
          <w:szCs w:val="22"/>
        </w:rPr>
        <w:t xml:space="preserve"> at confidence level p = p (e.g., 80% of predictions at 80% confidence should be correct), and </w:t>
      </w:r>
      <w:r>
        <w:rPr>
          <w:rFonts w:ascii="Arial" w:cs="Arial" w:eastAsia="Arial" w:hAnsi="Arial"/>
          <w:i/>
          <w:iCs/>
          <w:sz w:val="22"/>
          <w:szCs w:val="22"/>
        </w:rPr>
        <w:t xml:space="preserve">observed_coverage</w:t>
      </w:r>
      <w:r>
        <w:rPr>
          <w:rFonts w:ascii="Arial" w:cs="Arial" w:eastAsia="Arial" w:hAnsi="Arial"/>
          <w:sz w:val="22"/>
          <w:szCs w:val="22"/>
        </w:rPr>
        <w:t xml:space="preserve"> = actual fraction correct in that bin.</w:t>
      </w:r>
    </w:p>
    <w:p>
      <w:pPr>
        <w:spacing w:after="60" w:before="60"/>
      </w:pPr>
      <w:r>
        <w:rPr>
          <w:rFonts w:ascii="Arial" w:cs="Arial" w:eastAsia="Arial" w:hAnsi="Arial"/>
          <w:b/>
          <w:bCs/>
          <w:sz w:val="22"/>
          <w:szCs w:val="22"/>
        </w:rPr>
        <w:t xml:space="preserve">Decision gate</w:t>
      </w:r>
      <w:r>
        <w:rPr>
          <w:rFonts w:ascii="Arial" w:cs="Arial" w:eastAsia="Arial" w:hAnsi="Arial"/>
          <w:sz w:val="22"/>
          <w:szCs w:val="22"/>
        </w:rPr>
        <w:t xml:space="preserve">: UCI_AI ≥ 0.85 (well-calibrated); UCI_AI &gt; UCI_trad (better calibrated than baseline).</w:t>
      </w:r>
    </w:p>
    <w:p>
      <w:pPr>
        <w:spacing w:after="60" w:before="60"/>
      </w:pPr>
      <w:r>
        <w:rPr>
          <w:rFonts w:ascii="Arial" w:cs="Arial" w:eastAsia="Arial" w:hAnsi="Arial"/>
          <w:b/>
          <w:bCs/>
          <w:sz w:val="22"/>
          <w:szCs w:val="22"/>
        </w:rPr>
        <w:t xml:space="preserve">What it captures</w:t>
      </w:r>
      <w:r>
        <w:rPr>
          <w:rFonts w:ascii="Arial" w:cs="Arial" w:eastAsia="Arial" w:hAnsi="Arial"/>
          <w:sz w:val="22"/>
          <w:szCs w:val="22"/>
        </w:rPr>
        <w:t xml:space="preserve">: A model that says "I'm 80% confident" should be right 80% of the time. Poorly calibrated models produce overconfident wrong predictions or underconfident correct predictions — both wasteful for experimental follow-up. UCI measures how much you can trust the model's own uncertainty estimates.</w:t>
      </w:r>
    </w:p>
    <w:p>
      <w:pPr>
        <w:spacing w:after="60" w:before="60"/>
      </w:pPr>
      <w:r>
        <w:rPr>
          <w:rFonts w:ascii="Arial" w:cs="Arial" w:eastAsia="Arial" w:hAnsi="Arial"/>
          <w:b/>
          <w:bCs/>
          <w:sz w:val="22"/>
          <w:szCs w:val="22"/>
        </w:rPr>
        <w:t xml:space="preserve">Why it matters for IMAGINE-AI</w:t>
      </w:r>
      <w:r>
        <w:rPr>
          <w:rFonts w:ascii="Arial" w:cs="Arial" w:eastAsia="Arial" w:hAnsi="Arial"/>
          <w:sz w:val="22"/>
          <w:szCs w:val="22"/>
        </w:rPr>
        <w:t xml:space="preserve">: In the DBTL workflow, model confidence directly determines which predictions are selected for experimental validation. A well-calibrated AI model means every experiment is well-targeted — reducing wasted experimental effort and accelerating the learn cycle. If AI models are better calibrated than traditional models, this translates directly to more efficient use of lab resources. The FOA specifically calls for uncertainty characterization; UCI provides a clean, quantitative answer.</w:t>
      </w:r>
    </w:p>
    <w:p>
      <w:pPr>
        <w:pBdr>
          <w:bottom w:val="single" w:color="CCCCCC" w:sz="1" w:space="1"/>
        </w:pBdr>
        <w:spacing w:after="200" w:before="200"/>
      </w:pPr>
    </w:p>
    <w:p>
      <w:pPr>
        <w:pStyle w:val="Heading3"/>
        <w:spacing w:after="120" w:before="240"/>
      </w:pPr>
      <w:r>
        <w:rPr>
          <w:rFonts w:ascii="Arial" w:cs="Arial" w:eastAsia="Arial" w:hAnsi="Arial"/>
        </w:rPr>
        <w:t xml:space="preserve">Metric 6: Workflow Efficiency Quotient (WEQ)</w:t>
      </w:r>
    </w:p>
    <w:p>
      <w:pPr>
        <w:spacing w:after="60" w:before="60"/>
      </w:pPr>
      <w:r>
        <w:rPr>
          <w:rFonts w:ascii="Arial" w:cs="Arial" w:eastAsia="Arial" w:hAnsi="Arial"/>
          <w:b/>
          <w:bCs/>
          <w:sz w:val="22"/>
          <w:szCs w:val="22"/>
        </w:rPr>
        <w:t xml:space="preserve">Level</w:t>
      </w:r>
      <w:r>
        <w:rPr>
          <w:rFonts w:ascii="Arial" w:cs="Arial" w:eastAsia="Arial" w:hAnsi="Arial"/>
          <w:sz w:val="22"/>
          <w:szCs w:val="22"/>
        </w:rPr>
        <w:t xml:space="preserve">: Throughput Amplification (Level 1)</w:t>
      </w:r>
    </w:p>
    <w:p>
      <w:pPr>
        <w:spacing w:after="60" w:before="60"/>
      </w:pPr>
      <w:r>
        <w:rPr>
          <w:rFonts w:ascii="Arial" w:cs="Arial" w:eastAsia="Arial" w:hAnsi="Arial"/>
          <w:b/>
          <w:bCs/>
          <w:sz w:val="22"/>
          <w:szCs w:val="22"/>
        </w:rPr>
        <w:t xml:space="preserve">FOA Alignment</w:t>
      </w:r>
      <w:r>
        <w:rPr>
          <w:rFonts w:ascii="Arial" w:cs="Arial" w:eastAsia="Arial" w:hAnsi="Arial"/>
          <w:sz w:val="22"/>
          <w:szCs w:val="22"/>
        </w:rPr>
        <w:t xml:space="preserve">: "improving and speeding up experimental workflows"; "accelerated design and scale-up"</w:t>
      </w:r>
    </w:p>
    <w:p>
      <w:pPr>
        <w:spacing w:after="60" w:before="60"/>
      </w:pPr>
      <w:r>
        <w:rPr>
          <w:rFonts w:ascii="Arial" w:cs="Arial" w:eastAsia="Arial" w:hAnsi="Arial"/>
          <w:b/>
          <w:b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WEQ_time = Time_human / Time_AI-agent    (for equivalent task quality)</w:t>
      </w:r>
    </w:p>
    <w:p>
      <w:pPr>
        <w:shd w:fill="F4F4F4" w:val="clear"/>
        <w:spacing w:after="20" w:before="20"/>
        <w:ind w:left="360"/>
      </w:pPr>
      <w:r>
        <w:rPr>
          <w:rFonts w:ascii="Courier New" w:cs="Courier New" w:eastAsia="Courier New" w:hAnsi="Courier New"/>
          <w:color w:val="2C3E50"/>
          <w:sz w:val="18"/>
          <w:szCs w:val="18"/>
        </w:rPr>
        <w:t xml:space="preserve">WEQ_accuracy = Accuracy_AI-agent / Accuracy_human    (for equivalent time budget)</w:t>
      </w:r>
    </w:p>
    <w:p>
      <w:pPr>
        <w:shd w:fill="F4F4F4" w:val="clear"/>
        <w:spacing w:after="20" w:before="20"/>
        <w:ind w:left="360"/>
      </w:pPr>
      <w:r>
        <w:rPr>
          <w:rFonts w:ascii="Courier New" w:cs="Courier New" w:eastAsia="Courier New" w:hAnsi="Courier New"/>
          <w:color w:val="2C3E50"/>
          <w:sz w:val="18"/>
          <w:szCs w:val="18"/>
        </w:rPr>
        <w:t xml:space="preserve">WEQ_composite = WEQ_time × WEQ_accuracy</w:t>
      </w:r>
    </w:p>
    <w:p>
      <w:pPr>
        <w:spacing w:after="80"/>
      </w:pPr>
    </w:p>
    <w:p>
      <w:pPr>
        <w:spacing w:after="60" w:before="60"/>
      </w:pPr>
      <w:r>
        <w:rPr>
          <w:rFonts w:ascii="Arial" w:cs="Arial" w:eastAsia="Arial" w:hAnsi="Arial"/>
          <w:sz w:val="22"/>
          <w:szCs w:val="22"/>
        </w:rPr>
        <w:t xml:space="preserve">Measured over ≥20 randomly sampled tasks spanning data harmonization, model evaluation, and figure generation, with accuracy verified by a team member blind to the performer.</w:t>
      </w:r>
    </w:p>
    <w:p>
      <w:pPr>
        <w:spacing w:after="60" w:before="60"/>
      </w:pPr>
      <w:r>
        <w:rPr>
          <w:rFonts w:ascii="Arial" w:cs="Arial" w:eastAsia="Arial" w:hAnsi="Arial"/>
          <w:b/>
          <w:bCs/>
          <w:sz w:val="22"/>
          <w:szCs w:val="22"/>
        </w:rPr>
        <w:t xml:space="preserve">Decision gate</w:t>
      </w:r>
      <w:r>
        <w:rPr>
          <w:rFonts w:ascii="Arial" w:cs="Arial" w:eastAsia="Arial" w:hAnsi="Arial"/>
          <w:sz w:val="22"/>
          <w:szCs w:val="22"/>
        </w:rPr>
        <w:t xml:space="preserve">: WEQ_time &gt; 1.0 with p &lt; 0.05 (one-tailed t-test); WEQ_composite &gt; 1.0 (AI is simultaneously faster AND at least as accurate).</w:t>
      </w:r>
    </w:p>
    <w:p>
      <w:pPr>
        <w:spacing w:after="60" w:before="60"/>
      </w:pPr>
      <w:r>
        <w:rPr>
          <w:rFonts w:ascii="Arial" w:cs="Arial" w:eastAsia="Arial" w:hAnsi="Arial"/>
          <w:b/>
          <w:bCs/>
          <w:sz w:val="22"/>
          <w:szCs w:val="22"/>
        </w:rPr>
        <w:t xml:space="preserve">What it captures</w:t>
      </w:r>
      <w:r>
        <w:rPr>
          <w:rFonts w:ascii="Arial" w:cs="Arial" w:eastAsia="Arial" w:hAnsi="Arial"/>
          <w:sz w:val="22"/>
          <w:szCs w:val="22"/>
        </w:rPr>
        <w:t xml:space="preserve">: The direct "John Henry" comparison — can AI agents perform real scientific workflow tasks faster and/or more accurately than human researchers? This extends the proposal's existing AI efficiency metric (X_Human/X_AI) into a two-dimensional assessment that captures the speed-accuracy tradeoff.</w:t>
      </w:r>
    </w:p>
    <w:p>
      <w:pPr>
        <w:spacing w:after="60" w:before="60"/>
      </w:pPr>
      <w:r>
        <w:rPr>
          <w:rFonts w:ascii="Arial" w:cs="Arial" w:eastAsia="Arial" w:hAnsi="Arial"/>
          <w:b/>
          <w:bCs/>
          <w:sz w:val="22"/>
          <w:szCs w:val="22"/>
        </w:rPr>
        <w:t xml:space="preserve">Why it matters for IMAGINE-AI</w:t>
      </w:r>
      <w:r>
        <w:rPr>
          <w:rFonts w:ascii="Arial" w:cs="Arial" w:eastAsia="Arial" w:hAnsi="Arial"/>
          <w:sz w:val="22"/>
          <w:szCs w:val="22"/>
        </w:rPr>
        <w:t xml:space="preserve">: The genesis of this project is that "data can be generated far more rapidly than it can be comprehensively analyzed by human research teams." WEQ directly measures whether the AI workflow breaks this bottleneck. A WEQ_composite of 3.0 means the team achieves 3× more productive output from the same effort — a concrete, dollar-denominated argument for Phase II investment. Note that Gao et al. (2024) found a 3.02× publication rate for AI-adopting researchers, providing an external benchmark for expected magnitude.</w:t>
      </w:r>
    </w:p>
    <w:p>
      <w:pPr>
        <w:spacing w:after="60" w:before="60"/>
      </w:pPr>
      <w:r>
        <w:rPr>
          <w:rFonts w:ascii="Arial" w:cs="Arial" w:eastAsia="Arial" w:hAnsi="Arial"/>
          <w:b/>
          <w:bCs/>
          <w:sz w:val="22"/>
          <w:szCs w:val="22"/>
        </w:rPr>
        <w:t xml:space="preserve">Task sampling protocol</w:t>
      </w:r>
      <w:r>
        <w:rPr>
          <w:rFonts w:ascii="Arial" w:cs="Arial" w:eastAsia="Arial" w:hAnsi="Arial"/>
          <w:sz w:val="22"/>
          <w:szCs w:val="22"/>
        </w:rPr>
        <w:t xml:space="preserve">: Tasks are pre-specified in a systematization covering the full IMAGINE-AI workflow. 5% of tasks are randomly assigned to dual execution (AI agent + junior team member). Neither performer sees the other's output. A senior team member blind to performer identity evaluates accuracy on a standardized rubric.</w:t>
      </w:r>
    </w:p>
    <w:p>
      <w:pPr>
        <w:pBdr>
          <w:bottom w:val="single" w:color="CCCCCC" w:sz="1" w:space="1"/>
        </w:pBdr>
        <w:spacing w:after="200" w:before="200"/>
      </w:pPr>
    </w:p>
    <w:p>
      <w:pPr>
        <w:pStyle w:val="Heading3"/>
        <w:spacing w:after="120" w:before="240"/>
      </w:pPr>
      <w:r>
        <w:rPr>
          <w:rFonts w:ascii="Arial" w:cs="Arial" w:eastAsia="Arial" w:hAnsi="Arial"/>
        </w:rPr>
        <w:t xml:space="preserve">Metric 7: Consortia Emergence Score (CES)</w:t>
      </w:r>
    </w:p>
    <w:p>
      <w:pPr>
        <w:spacing w:after="60" w:before="60"/>
      </w:pPr>
      <w:r>
        <w:rPr>
          <w:rFonts w:ascii="Arial" w:cs="Arial" w:eastAsia="Arial" w:hAnsi="Arial"/>
          <w:b/>
          <w:bCs/>
          <w:sz w:val="22"/>
          <w:szCs w:val="22"/>
        </w:rPr>
        <w:t xml:space="preserve">Level</w:t>
      </w:r>
      <w:r>
        <w:rPr>
          <w:rFonts w:ascii="Arial" w:cs="Arial" w:eastAsia="Arial" w:hAnsi="Arial"/>
          <w:sz w:val="22"/>
          <w:szCs w:val="22"/>
        </w:rPr>
        <w:t xml:space="preserve">: Capability Expansion (Level 3)</w:t>
      </w:r>
    </w:p>
    <w:p>
      <w:pPr>
        <w:spacing w:after="60" w:before="60"/>
      </w:pPr>
      <w:r>
        <w:rPr>
          <w:rFonts w:ascii="Arial" w:cs="Arial" w:eastAsia="Arial" w:hAnsi="Arial"/>
          <w:b/>
          <w:bCs/>
          <w:sz w:val="22"/>
          <w:szCs w:val="22"/>
        </w:rPr>
        <w:t xml:space="preserve">FOA Alignment</w:t>
      </w:r>
      <w:r>
        <w:rPr>
          <w:rFonts w:ascii="Arial" w:cs="Arial" w:eastAsia="Arial" w:hAnsi="Arial"/>
          <w:sz w:val="22"/>
          <w:szCs w:val="22"/>
        </w:rPr>
        <w:t xml:space="preserve">: "predict emergent phenotypic outcomes within microbes"; "non-linear, stochastic networks"</w:t>
      </w:r>
    </w:p>
    <w:p>
      <w:pPr>
        <w:spacing w:after="60" w:before="60"/>
      </w:pPr>
      <w:r>
        <w:rPr>
          <w:rFonts w:ascii="Arial" w:cs="Arial" w:eastAsia="Arial" w:hAnsi="Arial"/>
          <w:b/>
          <w:b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CES = Correlation(predicted_consortia_phenotype, observed_consortia_phenotype)</w:t>
      </w:r>
    </w:p>
    <w:p>
      <w:pPr>
        <w:shd w:fill="F4F4F4" w:val="clear"/>
        <w:spacing w:after="20" w:before="20"/>
        <w:ind w:left="360"/>
      </w:pPr>
      <w:r>
        <w:rPr>
          <w:rFonts w:ascii="Courier New" w:cs="Courier New" w:eastAsia="Courier New" w:hAnsi="Courier New"/>
          <w:color w:val="2C3E50"/>
          <w:sz w:val="18"/>
          <w:szCs w:val="18"/>
        </w:rPr>
        <w:t xml:space="preserve">     − Correlation(sum_of_pure_culture_predictions, observed_consortia_phenotype)</w:t>
      </w:r>
    </w:p>
    <w:p>
      <w:pPr>
        <w:spacing w:after="80"/>
      </w:pPr>
    </w:p>
    <w:p>
      <w:pPr>
        <w:spacing w:after="60" w:before="60"/>
      </w:pPr>
      <w:r>
        <w:rPr>
          <w:rFonts w:ascii="Arial" w:cs="Arial" w:eastAsia="Arial" w:hAnsi="Arial"/>
          <w:sz w:val="22"/>
          <w:szCs w:val="22"/>
        </w:rPr>
        <w:t xml:space="preserve">Where the first term is the AI model's direct prediction of consortia behavior, and the second term is the naive additive prediction (summing/averaging individual organism predictions).</w:t>
      </w:r>
    </w:p>
    <w:p>
      <w:pPr>
        <w:spacing w:after="60" w:before="60"/>
      </w:pPr>
      <w:r>
        <w:rPr>
          <w:rFonts w:ascii="Arial" w:cs="Arial" w:eastAsia="Arial" w:hAnsi="Arial"/>
          <w:b/>
          <w:bCs/>
          <w:sz w:val="22"/>
          <w:szCs w:val="22"/>
        </w:rPr>
        <w:t xml:space="preserve">Decision gate</w:t>
      </w:r>
      <w:r>
        <w:rPr>
          <w:rFonts w:ascii="Arial" w:cs="Arial" w:eastAsia="Arial" w:hAnsi="Arial"/>
          <w:sz w:val="22"/>
          <w:szCs w:val="22"/>
        </w:rPr>
        <w:t xml:space="preserve">: CES &gt; 0 with p &lt; 0.05 (bootstrapped 95% CI excludes zero).</w:t>
      </w:r>
    </w:p>
    <w:p>
      <w:pPr>
        <w:spacing w:after="60" w:before="60"/>
      </w:pPr>
      <w:r>
        <w:rPr>
          <w:rFonts w:ascii="Arial" w:cs="Arial" w:eastAsia="Arial" w:hAnsi="Arial"/>
          <w:b/>
          <w:bCs/>
          <w:sz w:val="22"/>
          <w:szCs w:val="22"/>
        </w:rPr>
        <w:t xml:space="preserve">What it captures</w:t>
      </w:r>
      <w:r>
        <w:rPr>
          <w:rFonts w:ascii="Arial" w:cs="Arial" w:eastAsia="Arial" w:hAnsi="Arial"/>
          <w:sz w:val="22"/>
          <w:szCs w:val="22"/>
        </w:rPr>
        <w:t xml:space="preserve">: The degree to which the AI model captures </w:t>
      </w:r>
      <w:r>
        <w:rPr>
          <w:rFonts w:ascii="Arial" w:cs="Arial" w:eastAsia="Arial" w:hAnsi="Arial"/>
          <w:i/>
          <w:iCs/>
          <w:sz w:val="22"/>
          <w:szCs w:val="22"/>
        </w:rPr>
        <w:t xml:space="preserve">emergent</w:t>
      </w:r>
      <w:r>
        <w:rPr>
          <w:rFonts w:ascii="Arial" w:cs="Arial" w:eastAsia="Arial" w:hAnsi="Arial"/>
          <w:sz w:val="22"/>
          <w:szCs w:val="22"/>
        </w:rPr>
        <w:t xml:space="preserve"> properties of microbial communities — behaviors that arise from interactions and cannot be predicted by summing individual contributions. A positive CES means the AI model "understands" something about how organisms work together that additive models miss entirely. This is the most direct test of whether AI can predict community-level phenotype from community-level genomic data.</w:t>
      </w:r>
    </w:p>
    <w:p>
      <w:pPr>
        <w:spacing w:after="60" w:before="60"/>
      </w:pPr>
      <w:r>
        <w:rPr>
          <w:rFonts w:ascii="Arial" w:cs="Arial" w:eastAsia="Arial" w:hAnsi="Arial"/>
          <w:b/>
          <w:bCs/>
          <w:sz w:val="22"/>
          <w:szCs w:val="22"/>
        </w:rPr>
        <w:t xml:space="preserve">Why it matters for IMAGINE-AI</w:t>
      </w:r>
      <w:r>
        <w:rPr>
          <w:rFonts w:ascii="Arial" w:cs="Arial" w:eastAsia="Arial" w:hAnsi="Arial"/>
          <w:sz w:val="22"/>
          <w:szCs w:val="22"/>
        </w:rPr>
        <w:t xml:space="preserve">: This metric is the linchpin of the proposal's scientific vision. The transition from pure culture → consortia prediction is where traditional methods are expected to fail most severely, because community phenotype is inherently nonlinear. If CES is significantly positive, it means AI has learned to predict team effects — the "what happens when organisms work together" question that is central to optimizing microbial consortia for nitrogen fixation.</w:t>
      </w:r>
    </w:p>
    <w:p>
      <w:pPr>
        <w:spacing w:after="60" w:before="60"/>
      </w:pPr>
      <w:r>
        <w:rPr>
          <w:rFonts w:ascii="Arial" w:cs="Arial" w:eastAsia="Arial" w:hAnsi="Arial"/>
          <w:b/>
          <w:bCs/>
          <w:sz w:val="22"/>
          <w:szCs w:val="22"/>
        </w:rPr>
        <w:t xml:space="preserve">Practical implementation</w:t>
      </w:r>
      <w:r>
        <w:rPr>
          <w:rFonts w:ascii="Arial" w:cs="Arial" w:eastAsia="Arial" w:hAnsi="Arial"/>
          <w:sz w:val="22"/>
          <w:szCs w:val="22"/>
        </w:rPr>
        <w:t xml:space="preserve">: Test on experimentally characterized consortia where both pure-culture and mixed-culture phenotypes are known. PI Morrissey and Co-PI Hofmockel's existing datasets (n=1420 growth phenotypes) provide the initial test bed; Phase 1 high-throughput phenotyping (Months 5–9) will expand the sample.</w:t>
      </w:r>
    </w:p>
    <w:p>
      <w:pPr>
        <w:pBdr>
          <w:bottom w:val="single" w:color="CCCCCC" w:sz="1" w:space="1"/>
        </w:pBdr>
        <w:spacing w:after="200" w:before="200"/>
      </w:pPr>
    </w:p>
    <w:p>
      <w:pPr>
        <w:pStyle w:val="Heading3"/>
        <w:spacing w:after="120" w:before="240"/>
      </w:pPr>
      <w:r>
        <w:rPr>
          <w:rFonts w:ascii="Arial" w:cs="Arial" w:eastAsia="Arial" w:hAnsi="Arial"/>
        </w:rPr>
        <w:t xml:space="preserve">3.1 Summary: Metrics Mapped to FOA Requirements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FOA Requirement</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Metric(s)</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Level</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"Statistically defensible performance comparisons to non-AI baselines"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PAA</w:t>
            </w:r>
            <w:r>
              <w:rPr>
                <w:rFonts w:ascii="Arial" w:cs="Arial" w:eastAsia="Arial" w:hAnsi="Arial"/>
                <w:sz w:val="22"/>
                <w:szCs w:val="22"/>
              </w:rPr>
              <w:t xml:space="preserve"> (F1, RMSE)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L2: Quality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"Scaling behavior... increasing performance as additional data are applied"</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SE</w:t>
            </w:r>
            <w:r>
              <w:rPr>
                <w:rFonts w:ascii="Arial" w:cs="Arial" w:eastAsia="Arial" w:hAnsi="Arial"/>
                <w:sz w:val="22"/>
                <w:szCs w:val="22"/>
              </w:rPr>
              <w:t xml:space="preserve"> (scaling exponent)</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L2–3: Quality + Capability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"Demonstrating increased predictive power or scientific insight"</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PFE</w:t>
            </w:r>
            <w:r>
              <w:rPr>
                <w:rFonts w:ascii="Arial" w:cs="Arial" w:eastAsia="Arial" w:hAnsi="Arial"/>
                <w:sz w:val="22"/>
                <w:szCs w:val="22"/>
              </w:rPr>
              <w:t xml:space="preserve"> (prediction frontier), </w:t>
            </w:r>
            <w:r>
              <w:rPr>
                <w:rFonts w:ascii="Arial" w:cs="Arial" w:eastAsia="Arial" w:hAnsi="Arial"/>
                <w:b/>
                <w:bCs/>
                <w:sz w:val="22"/>
                <w:szCs w:val="22"/>
              </w:rPr>
              <w:t xml:space="preserve">IDR</w:t>
            </w:r>
            <w:r>
              <w:rPr>
                <w:rFonts w:ascii="Arial" w:cs="Arial" w:eastAsia="Arial" w:hAnsi="Arial"/>
                <w:sz w:val="22"/>
                <w:szCs w:val="22"/>
              </w:rPr>
              <w:t xml:space="preserve"> (interaction discovery)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L3: Capability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"Characterize uncertainty, robustness, and reproducibility"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UCI</w:t>
            </w:r>
            <w:r>
              <w:rPr>
                <w:rFonts w:ascii="Arial" w:cs="Arial" w:eastAsia="Arial" w:hAnsi="Arial"/>
                <w:sz w:val="22"/>
                <w:szCs w:val="22"/>
              </w:rPr>
              <w:t xml:space="preserve"> (calibration index)</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L2: Quality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"Improving and speeding up experimental workflows"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WEQ</w:t>
            </w:r>
            <w:r>
              <w:rPr>
                <w:rFonts w:ascii="Arial" w:cs="Arial" w:eastAsia="Arial" w:hAnsi="Arial"/>
                <w:sz w:val="22"/>
                <w:szCs w:val="22"/>
              </w:rPr>
              <w:t xml:space="preserve"> (workflow efficiency)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L1: Throughput</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"Predict emergent phenotypic outcomes... non-linear, stochastic networks"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CES</w:t>
            </w:r>
            <w:r>
              <w:rPr>
                <w:rFonts w:ascii="Arial" w:cs="Arial" w:eastAsia="Arial" w:hAnsi="Arial"/>
                <w:sz w:val="22"/>
                <w:szCs w:val="22"/>
              </w:rPr>
              <w:t xml:space="preserve"> (consortia emergence)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L3: Capability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 model explainability and traceability"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Ablation Arm</w:t>
            </w:r>
            <w:r>
              <w:rPr>
                <w:rFonts w:ascii="Arial" w:cs="Arial" w:eastAsia="Arial" w:hAnsi="Arial"/>
                <w:sz w:val="22"/>
                <w:szCs w:val="22"/>
              </w:rPr>
              <w:t xml:space="preserve"> analysis (systematic component removal)</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All</w:t>
            </w:r>
          </w:p>
        </w:tc>
      </w:tr>
    </w:tbl>
    <w:p>
      <w:pPr>
        <w:spacing w:after="120" w:before="120"/>
      </w:pPr>
    </w:p>
    <w:p>
      <w:pPr>
        <w:pStyle w:val="Heading3"/>
        <w:spacing w:after="120" w:before="240"/>
      </w:pPr>
      <w:r>
        <w:rPr>
          <w:rFonts w:ascii="Arial" w:cs="Arial" w:eastAsia="Arial" w:hAnsi="Arial"/>
        </w:rPr>
        <w:t xml:space="preserve">3.2 Decision Gate Summary (Phase 1 Go/No-Go at Month 6)</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Go Threshold</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Data Source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PAA_categorical</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≥5 pp F1 improvement (p&lt;0.05)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 test taxa</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PAA_quantitative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≥10% RMSE reduction (p&lt;0.05)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µGrowthDB test taxa</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α_AI &gt; α_trad (p&lt;0.05, Spearman)</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Bootstrap subsets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PFE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&gt;0 (AI predicts phenotypes for organisms where traditional cannot)</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Under-characterized taxa in IMG/NFixDB</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WEQ_time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&gt;1.0 (p&lt;0.05, one-tail t-test over ≥20 tasks)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Randomly sampled workflow tasks</w:t>
            </w:r>
          </w:p>
        </w:tc>
      </w:tr>
    </w:tbl>
    <w:p>
      <w:pPr>
        <w:spacing w:after="120" w:before="120"/>
      </w:pPr>
    </w:p>
    <w:p>
      <w:pPr>
        <w:spacing w:after="60" w:before="60"/>
      </w:pPr>
      <w:r>
        <w:rPr>
          <w:rFonts w:ascii="Arial" w:cs="Arial" w:eastAsia="Arial" w:hAnsi="Arial"/>
          <w:sz w:val="22"/>
          <w:szCs w:val="22"/>
        </w:rPr>
        <w:t xml:space="preserve">CES, IDR, and UCI are evaluated at Month 6 but serve as progress indicators rather than hard decision gates, since consortia data may still be accumulating.</w:t>
      </w:r>
    </w:p>
    <w:p>
      <w:pPr>
        <w:pBdr>
          <w:bottom w:val="single" w:color="CCCCCC" w:sz="1" w:space="1"/>
        </w:pBdr>
        <w:spacing w:after="200" w:before="200"/>
      </w:pPr>
    </w:p>
    <w:p>
      <w:pPr>
        <w:pStyle w:val="Heading2"/>
        <w:spacing w:after="200" w:before="360"/>
      </w:pPr>
      <w:r>
        <w:rPr>
          <w:rFonts w:ascii="Arial" w:cs="Arial" w:eastAsia="Arial" w:hAnsi="Arial"/>
        </w:rPr>
        <w:t xml:space="preserve">4. Experimental Validation Component</w:t>
      </w:r>
    </w:p>
    <w:p>
      <w:pPr>
        <w:spacing w:after="60" w:before="60"/>
      </w:pPr>
      <w:r>
        <w:rPr>
          <w:rFonts w:ascii="Arial" w:cs="Arial" w:eastAsia="Arial" w:hAnsi="Arial"/>
          <w:sz w:val="22"/>
          <w:szCs w:val="22"/>
        </w:rPr>
        <w:t xml:space="preserve">A subset of AI-unique predictions (phenotype, function, ecological association) should be experimentally validated: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Phenotype predictions</w:t>
      </w:r>
      <w:r>
        <w:rPr>
          <w:rFonts w:ascii="Arial" w:cs="Arial" w:eastAsia="Arial" w:hAnsi="Arial"/>
          <w:sz w:val="22"/>
          <w:szCs w:val="22"/>
        </w:rPr>
        <w:t xml:space="preserve">: Growth assays under predicted conditions (temperature, pH, oxygen, salt) — directly integrated with the high-throughput phenotyping protocols being developed in Objective B</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Functional annotations</w:t>
      </w:r>
      <w:r>
        <w:rPr>
          <w:rFonts w:ascii="Arial" w:cs="Arial" w:eastAsia="Arial" w:hAnsi="Arial"/>
          <w:sz w:val="22"/>
          <w:szCs w:val="22"/>
        </w:rPr>
        <w:t xml:space="preserve">: Heterologous expression or knockout experiments for predicted enzyme activities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Ecological associations</w:t>
      </w:r>
      <w:r>
        <w:rPr>
          <w:rFonts w:ascii="Arial" w:cs="Arial" w:eastAsia="Arial" w:hAnsi="Arial"/>
          <w:sz w:val="22"/>
          <w:szCs w:val="22"/>
        </w:rPr>
        <w:t xml:space="preserve">: Controlled co-culture or mesocosm experiments testing predicted interactions — directly integrated with the consortia DBTL cycle</w:t>
      </w:r>
    </w:p>
    <w:p>
      <w:pPr>
        <w:spacing w:after="60" w:before="60"/>
      </w:pPr>
      <w:r>
        <w:rPr>
          <w:rFonts w:ascii="Arial" w:cs="Arial" w:eastAsia="Arial" w:hAnsi="Arial"/>
          <w:sz w:val="22"/>
          <w:szCs w:val="22"/>
        </w:rPr>
        <w:t xml:space="preserve">The confirmation rate on AI-unique predictions provides the ultimate measure of whether AI advantage translates to real biological discovery. Even a modest confirmation rate (e.g., 60–70% of AI-unique predictions validated) across hundreds of predictions represents a substantial expansion of biological knowledge that would not exist without the AI system.</w:t>
      </w:r>
    </w:p>
    <w:p>
      <w:pPr>
        <w:pBdr>
          <w:bottom w:val="single" w:color="CCCCCC" w:sz="1" w:space="1"/>
        </w:pBdr>
        <w:spacing w:after="200" w:before="200"/>
      </w:pPr>
    </w:p>
    <w:p>
      <w:pPr>
        <w:pStyle w:val="Heading2"/>
        <w:spacing w:after="200" w:before="360"/>
      </w:pPr>
      <w:r>
        <w:rPr>
          <w:rFonts w:ascii="Arial" w:cs="Arial" w:eastAsia="Arial" w:hAnsi="Arial"/>
        </w:rPr>
        <w:t xml:space="preserve">5. Literature Foundation</w:t>
      </w:r>
    </w:p>
    <w:p>
      <w:pPr>
        <w:pStyle w:val="Heading3"/>
        <w:spacing w:after="120" w:before="240"/>
      </w:pPr>
      <w:r>
        <w:rPr>
          <w:rFonts w:ascii="Arial" w:cs="Arial" w:eastAsia="Arial" w:hAnsi="Arial"/>
        </w:rPr>
        <w:t xml:space="preserve">AI-Enhanced Phenotype Prediction</w:t>
      </w:r>
    </w:p>
    <w:p>
      <w:pPr>
        <w:spacing w:after="40" w:before="40"/>
        <w:ind w:left="720" w:hanging="360"/>
      </w:pPr>
      <w:r>
        <w:rPr>
          <w:rFonts w:ascii="Arial" w:cs="Arial" w:eastAsia="Arial" w:hAnsi="Arial"/>
          <w:sz w:val="22"/>
          <w:szCs w:val="22"/>
        </w:rPr>
        <w:t xml:space="preserve">Koblitz et al. (2025) </w:t>
      </w:r>
      <w:r>
        <w:rPr>
          <w:rFonts w:ascii="Arial" w:cs="Arial" w:eastAsia="Arial" w:hAnsi="Arial"/>
          <w:i/>
          <w:iCs/>
          <w:sz w:val="22"/>
          <w:szCs w:val="22"/>
        </w:rPr>
        <w:t xml:space="preserve">Communications Biology</w:t>
      </w:r>
      <w:r>
        <w:rPr>
          <w:rFonts w:ascii="Arial" w:cs="Arial" w:eastAsia="Arial" w:hAnsi="Arial"/>
          <w:sz w:val="22"/>
          <w:szCs w:val="22"/>
        </w:rPr>
        <w:t xml:space="preserve"> 8:527 — RF phenotype prediction from protein families; 79–98% accuracy, ~55K new predictions</w:t>
      </w:r>
    </w:p>
    <w:p>
      <w:pPr>
        <w:spacing w:after="40" w:before="40"/>
        <w:ind w:left="720" w:hanging="360"/>
      </w:pPr>
      <w:r>
        <w:rPr>
          <w:rFonts w:ascii="Arial" w:cs="Arial" w:eastAsia="Arial" w:hAnsi="Arial"/>
          <w:sz w:val="22"/>
          <w:szCs w:val="22"/>
        </w:rPr>
        <w:t xml:space="preserve">Lesimple et al. (2023) </w:t>
      </w:r>
      <w:r>
        <w:rPr>
          <w:rFonts w:ascii="Arial" w:cs="Arial" w:eastAsia="Arial" w:hAnsi="Arial"/>
          <w:i/>
          <w:iCs/>
          <w:sz w:val="22"/>
          <w:szCs w:val="22"/>
        </w:rPr>
        <w:t xml:space="preserve">mSystems</w:t>
      </w:r>
      <w:r>
        <w:rPr>
          <w:rFonts w:ascii="Arial" w:cs="Arial" w:eastAsia="Arial" w:hAnsi="Arial"/>
          <w:sz w:val="22"/>
          <w:szCs w:val="22"/>
        </w:rPr>
        <w:t xml:space="preserve"> 8:e00407-23 — k-mer ML phenotype prediction without annotation</w:t>
      </w:r>
    </w:p>
    <w:p>
      <w:pPr>
        <w:spacing w:after="40" w:before="40"/>
        <w:ind w:left="720" w:hanging="360"/>
      </w:pPr>
      <w:r>
        <w:rPr>
          <w:rFonts w:ascii="Arial" w:cs="Arial" w:eastAsia="Arial" w:hAnsi="Arial"/>
          <w:sz w:val="22"/>
          <w:szCs w:val="22"/>
        </w:rPr>
        <w:t xml:space="preserve">Peng et al. (2024) </w:t>
      </w:r>
      <w:r>
        <w:rPr>
          <w:rFonts w:ascii="Arial" w:cs="Arial" w:eastAsia="Arial" w:hAnsi="Arial"/>
          <w:i/>
          <w:iCs/>
          <w:sz w:val="22"/>
          <w:szCs w:val="22"/>
        </w:rPr>
        <w:t xml:space="preserve">Briefings in Bioinformatics</w:t>
      </w:r>
      <w:r>
        <w:rPr>
          <w:rFonts w:ascii="Arial" w:cs="Arial" w:eastAsia="Arial" w:hAnsi="Arial"/>
          <w:sz w:val="22"/>
          <w:szCs w:val="22"/>
        </w:rPr>
        <w:t xml:space="preserve"> 25:bbad527 — MicroHDF deep forest disease classification</w:t>
      </w:r>
    </w:p>
    <w:p>
      <w:pPr>
        <w:pStyle w:val="Heading3"/>
        <w:spacing w:after="120" w:before="240"/>
      </w:pPr>
      <w:r>
        <w:rPr>
          <w:rFonts w:ascii="Arial" w:cs="Arial" w:eastAsia="Arial" w:hAnsi="Arial"/>
        </w:rPr>
        <w:t xml:space="preserve">AI vs. Traditional Benchmarks</w:t>
      </w:r>
    </w:p>
    <w:p>
      <w:pPr>
        <w:spacing w:after="40" w:before="40"/>
        <w:ind w:left="720" w:hanging="360"/>
      </w:pPr>
      <w:r>
        <w:rPr>
          <w:rFonts w:ascii="Arial" w:cs="Arial" w:eastAsia="Arial" w:hAnsi="Arial"/>
          <w:sz w:val="22"/>
          <w:szCs w:val="22"/>
        </w:rPr>
        <w:t xml:space="preserve">Han et al. (2025) </w:t>
      </w:r>
      <w:r>
        <w:rPr>
          <w:rFonts w:ascii="Arial" w:cs="Arial" w:eastAsia="Arial" w:hAnsi="Arial"/>
          <w:i/>
          <w:iCs/>
          <w:sz w:val="22"/>
          <w:szCs w:val="22"/>
        </w:rPr>
        <w:t xml:space="preserve">Nature Communications</w:t>
      </w:r>
      <w:r>
        <w:rPr>
          <w:rFonts w:ascii="Arial" w:cs="Arial" w:eastAsia="Arial" w:hAnsi="Arial"/>
          <w:sz w:val="22"/>
          <w:szCs w:val="22"/>
        </w:rPr>
        <w:t xml:space="preserve"> 16:2041 — Comprehensive binning benchmark: DL +22% MAGs</w:t>
      </w:r>
    </w:p>
    <w:p>
      <w:pPr>
        <w:spacing w:after="40" w:before="40"/>
        <w:ind w:left="720" w:hanging="360"/>
      </w:pPr>
      <w:r>
        <w:rPr>
          <w:rFonts w:ascii="Arial" w:cs="Arial" w:eastAsia="Arial" w:hAnsi="Arial"/>
          <w:sz w:val="22"/>
          <w:szCs w:val="22"/>
        </w:rPr>
        <w:t xml:space="preserve">Lamurias et al. (2024) </w:t>
      </w:r>
      <w:r>
        <w:rPr>
          <w:rFonts w:ascii="Arial" w:cs="Arial" w:eastAsia="Arial" w:hAnsi="Arial"/>
          <w:i/>
          <w:iCs/>
          <w:sz w:val="22"/>
          <w:szCs w:val="22"/>
        </w:rPr>
        <w:t xml:space="preserve">Nature Communications</w:t>
      </w:r>
      <w:r>
        <w:rPr>
          <w:rFonts w:ascii="Arial" w:cs="Arial" w:eastAsia="Arial" w:hAnsi="Arial"/>
          <w:sz w:val="22"/>
          <w:szCs w:val="22"/>
        </w:rPr>
        <w:t xml:space="preserve"> 15:1560 — Taxometer: +15–25% species accuracy</w:t>
      </w:r>
    </w:p>
    <w:p>
      <w:pPr>
        <w:spacing w:after="40" w:before="40"/>
        <w:ind w:left="720" w:hanging="360"/>
      </w:pPr>
      <w:r>
        <w:rPr>
          <w:rFonts w:ascii="Arial" w:cs="Arial" w:eastAsia="Arial" w:hAnsi="Arial"/>
          <w:sz w:val="22"/>
          <w:szCs w:val="22"/>
        </w:rPr>
        <w:t xml:space="preserve">Wang et al. (2024) </w:t>
      </w:r>
      <w:r>
        <w:rPr>
          <w:rFonts w:ascii="Arial" w:cs="Arial" w:eastAsia="Arial" w:hAnsi="Arial"/>
          <w:i/>
          <w:iCs/>
          <w:sz w:val="22"/>
          <w:szCs w:val="22"/>
        </w:rPr>
        <w:t xml:space="preserve">Nature Communications</w:t>
      </w:r>
      <w:r>
        <w:rPr>
          <w:rFonts w:ascii="Arial" w:cs="Arial" w:eastAsia="Arial" w:hAnsi="Arial"/>
          <w:sz w:val="22"/>
          <w:szCs w:val="22"/>
        </w:rPr>
        <w:t xml:space="preserve"> 15:585 — COMEBin: contrastive self-supervised binning</w:t>
      </w:r>
    </w:p>
    <w:p>
      <w:pPr>
        <w:spacing w:after="40" w:before="40"/>
        <w:ind w:left="720" w:hanging="360"/>
      </w:pPr>
      <w:r>
        <w:rPr>
          <w:rFonts w:ascii="Arial" w:cs="Arial" w:eastAsia="Arial" w:hAnsi="Arial"/>
          <w:sz w:val="22"/>
          <w:szCs w:val="22"/>
        </w:rPr>
        <w:t xml:space="preserve">Pan et al. (2023) </w:t>
      </w:r>
      <w:r>
        <w:rPr>
          <w:rFonts w:ascii="Arial" w:cs="Arial" w:eastAsia="Arial" w:hAnsi="Arial"/>
          <w:i/>
          <w:iCs/>
          <w:sz w:val="22"/>
          <w:szCs w:val="22"/>
        </w:rPr>
        <w:t xml:space="preserve">Bioinformatics</w:t>
      </w:r>
      <w:r>
        <w:rPr>
          <w:rFonts w:ascii="Arial" w:cs="Arial" w:eastAsia="Arial" w:hAnsi="Arial"/>
          <w:sz w:val="22"/>
          <w:szCs w:val="22"/>
        </w:rPr>
        <w:t xml:space="preserve"> 39:btac817 — SemiBin2: +9–33% MAGs across environments</w:t>
      </w:r>
    </w:p>
    <w:p>
      <w:pPr>
        <w:pStyle w:val="Heading3"/>
        <w:spacing w:after="120" w:before="240"/>
      </w:pPr>
      <w:r>
        <w:rPr>
          <w:rFonts w:ascii="Arial" w:cs="Arial" w:eastAsia="Arial" w:hAnsi="Arial"/>
        </w:rPr>
        <w:t xml:space="preserve">Structural Limitations of Traditional Methods</w:t>
      </w:r>
    </w:p>
    <w:p>
      <w:pPr>
        <w:spacing w:after="40" w:before="40"/>
        <w:ind w:left="720" w:hanging="360"/>
      </w:pPr>
      <w:r>
        <w:rPr>
          <w:rFonts w:ascii="Arial" w:cs="Arial" w:eastAsia="Arial" w:hAnsi="Arial"/>
          <w:sz w:val="22"/>
          <w:szCs w:val="22"/>
        </w:rPr>
        <w:t xml:space="preserve">Pavlopoulos et al. (2023) </w:t>
      </w:r>
      <w:r>
        <w:rPr>
          <w:rFonts w:ascii="Arial" w:cs="Arial" w:eastAsia="Arial" w:hAnsi="Arial"/>
          <w:i/>
          <w:iCs/>
          <w:sz w:val="22"/>
          <w:szCs w:val="22"/>
        </w:rPr>
        <w:t xml:space="preserve">Nature</w:t>
      </w:r>
      <w:r>
        <w:rPr>
          <w:rFonts w:ascii="Arial" w:cs="Arial" w:eastAsia="Arial" w:hAnsi="Arial"/>
          <w:sz w:val="22"/>
          <w:szCs w:val="22"/>
        </w:rPr>
        <w:t xml:space="preserve"> 622:594 — 40–60% functional dark matter</w:t>
      </w:r>
    </w:p>
    <w:p>
      <w:pPr>
        <w:spacing w:after="40" w:before="40"/>
        <w:ind w:left="720" w:hanging="360"/>
      </w:pPr>
      <w:r>
        <w:rPr>
          <w:rFonts w:ascii="Arial" w:cs="Arial" w:eastAsia="Arial" w:hAnsi="Arial"/>
          <w:sz w:val="22"/>
          <w:szCs w:val="22"/>
        </w:rPr>
        <w:t xml:space="preserve">Nearing et al. (2022) </w:t>
      </w:r>
      <w:r>
        <w:rPr>
          <w:rFonts w:ascii="Arial" w:cs="Arial" w:eastAsia="Arial" w:hAnsi="Arial"/>
          <w:i/>
          <w:iCs/>
          <w:sz w:val="22"/>
          <w:szCs w:val="22"/>
        </w:rPr>
        <w:t xml:space="preserve">Nature Communications</w:t>
      </w:r>
      <w:r>
        <w:rPr>
          <w:rFonts w:ascii="Arial" w:cs="Arial" w:eastAsia="Arial" w:hAnsi="Arial"/>
          <w:sz w:val="22"/>
          <w:szCs w:val="22"/>
        </w:rPr>
        <w:t xml:space="preserve"> 13:342 — &lt;25% concordance among 14 DA methods</w:t>
      </w:r>
    </w:p>
    <w:p>
      <w:pPr>
        <w:spacing w:after="40" w:before="40"/>
        <w:ind w:left="720" w:hanging="360"/>
      </w:pPr>
      <w:r>
        <w:rPr>
          <w:rFonts w:ascii="Arial" w:cs="Arial" w:eastAsia="Arial" w:hAnsi="Arial"/>
          <w:sz w:val="22"/>
          <w:szCs w:val="22"/>
        </w:rPr>
        <w:t xml:space="preserve">Karlsen et al. (2023) </w:t>
      </w:r>
      <w:r>
        <w:rPr>
          <w:rFonts w:ascii="Arial" w:cs="Arial" w:eastAsia="Arial" w:hAnsi="Arial"/>
          <w:i/>
          <w:iCs/>
          <w:sz w:val="22"/>
          <w:szCs w:val="22"/>
        </w:rPr>
        <w:t xml:space="preserve">FEMS Microbiology Reviews</w:t>
      </w:r>
      <w:r>
        <w:rPr>
          <w:rFonts w:ascii="Arial" w:cs="Arial" w:eastAsia="Arial" w:hAnsi="Arial"/>
          <w:sz w:val="22"/>
          <w:szCs w:val="22"/>
        </w:rPr>
        <w:t xml:space="preserve"> 47:fuad025 — Phenotype prediction structural gaps</w:t>
      </w:r>
    </w:p>
    <w:p>
      <w:pPr>
        <w:spacing w:after="40" w:before="40"/>
        <w:ind w:left="720" w:hanging="360"/>
      </w:pPr>
      <w:r>
        <w:rPr>
          <w:rFonts w:ascii="Arial" w:cs="Arial" w:eastAsia="Arial" w:hAnsi="Arial"/>
          <w:sz w:val="22"/>
          <w:szCs w:val="22"/>
        </w:rPr>
        <w:t xml:space="preserve">Gloor et al. (2017) </w:t>
      </w:r>
      <w:r>
        <w:rPr>
          <w:rFonts w:ascii="Arial" w:cs="Arial" w:eastAsia="Arial" w:hAnsi="Arial"/>
          <w:i/>
          <w:iCs/>
          <w:sz w:val="22"/>
          <w:szCs w:val="22"/>
        </w:rPr>
        <w:t xml:space="preserve">Frontiers in Microbiology</w:t>
      </w:r>
      <w:r>
        <w:rPr>
          <w:rFonts w:ascii="Arial" w:cs="Arial" w:eastAsia="Arial" w:hAnsi="Arial"/>
          <w:sz w:val="22"/>
          <w:szCs w:val="22"/>
        </w:rPr>
        <w:t xml:space="preserve"> 8:2224 — Compositionality violations</w:t>
      </w:r>
    </w:p>
    <w:p>
      <w:pPr>
        <w:pStyle w:val="Heading3"/>
        <w:spacing w:after="120" w:before="240"/>
      </w:pPr>
      <w:r>
        <w:rPr>
          <w:rFonts w:ascii="Arial" w:cs="Arial" w:eastAsia="Arial" w:hAnsi="Arial"/>
        </w:rPr>
        <w:t xml:space="preserve">AI-Enhanced Data Curation</w:t>
      </w:r>
    </w:p>
    <w:p>
      <w:pPr>
        <w:spacing w:after="40" w:before="40"/>
        <w:ind w:left="720" w:hanging="360"/>
      </w:pPr>
      <w:r>
        <w:rPr>
          <w:rFonts w:ascii="Arial" w:cs="Arial" w:eastAsia="Arial" w:hAnsi="Arial"/>
          <w:sz w:val="22"/>
          <w:szCs w:val="22"/>
        </w:rPr>
        <w:t xml:space="preserve">Reimer et al. (2025) </w:t>
      </w:r>
      <w:r>
        <w:rPr>
          <w:rFonts w:ascii="Arial" w:cs="Arial" w:eastAsia="Arial" w:hAnsi="Arial"/>
          <w:i/>
          <w:iCs/>
          <w:sz w:val="22"/>
          <w:szCs w:val="22"/>
        </w:rPr>
        <w:t xml:space="preserve">Bioinformatics Advances</w:t>
      </w:r>
      <w:r>
        <w:rPr>
          <w:rFonts w:ascii="Arial" w:cs="Arial" w:eastAsia="Arial" w:hAnsi="Arial"/>
          <w:sz w:val="22"/>
          <w:szCs w:val="22"/>
        </w:rPr>
        <w:t xml:space="preserve"> 5:vbaf021 — LLM metadata harmonization; 89% vs 67%</w:t>
      </w:r>
    </w:p>
    <w:p>
      <w:pPr>
        <w:spacing w:after="40" w:before="40"/>
        <w:ind w:left="720" w:hanging="360"/>
      </w:pPr>
      <w:r>
        <w:rPr>
          <w:rFonts w:ascii="Arial" w:cs="Arial" w:eastAsia="Arial" w:hAnsi="Arial"/>
          <w:sz w:val="22"/>
          <w:szCs w:val="22"/>
        </w:rPr>
        <w:t xml:space="preserve">Wang et al. (2024) </w:t>
      </w:r>
      <w:r>
        <w:rPr>
          <w:rFonts w:ascii="Arial" w:cs="Arial" w:eastAsia="Arial" w:hAnsi="Arial"/>
          <w:i/>
          <w:iCs/>
          <w:sz w:val="22"/>
          <w:szCs w:val="22"/>
        </w:rPr>
        <w:t xml:space="preserve">Genome Biology</w:t>
      </w:r>
      <w:r>
        <w:rPr>
          <w:rFonts w:ascii="Arial" w:cs="Arial" w:eastAsia="Arial" w:hAnsi="Arial"/>
          <w:sz w:val="22"/>
          <w:szCs w:val="22"/>
        </w:rPr>
        <w:t xml:space="preserve"> 25:34 — AnnoPRO: dual-path protein annotation</w:t>
      </w:r>
    </w:p>
    <w:p>
      <w:pPr>
        <w:pStyle w:val="Heading3"/>
        <w:spacing w:after="120" w:before="240"/>
      </w:pPr>
      <w:r>
        <w:rPr>
          <w:rFonts w:ascii="Arial" w:cs="Arial" w:eastAsia="Arial" w:hAnsi="Arial"/>
        </w:rPr>
        <w:t xml:space="preserve">AI Advantage Quantification</w:t>
      </w:r>
    </w:p>
    <w:p>
      <w:pPr>
        <w:spacing w:after="40" w:before="40"/>
        <w:ind w:left="720" w:hanging="360"/>
      </w:pPr>
      <w:r>
        <w:rPr>
          <w:rFonts w:ascii="Arial" w:cs="Arial" w:eastAsia="Arial" w:hAnsi="Arial"/>
          <w:sz w:val="22"/>
          <w:szCs w:val="22"/>
        </w:rPr>
        <w:t xml:space="preserve">Gao et al. (2024) </w:t>
      </w:r>
      <w:r>
        <w:rPr>
          <w:rFonts w:ascii="Arial" w:cs="Arial" w:eastAsia="Arial" w:hAnsi="Arial"/>
          <w:i/>
          <w:iCs/>
          <w:sz w:val="22"/>
          <w:szCs w:val="22"/>
        </w:rPr>
        <w:t xml:space="preserve">Nature Human Behaviour</w:t>
      </w:r>
      <w:r>
        <w:rPr>
          <w:rFonts w:ascii="Arial" w:cs="Arial" w:eastAsia="Arial" w:hAnsi="Arial"/>
          <w:sz w:val="22"/>
          <w:szCs w:val="22"/>
        </w:rPr>
        <w:t xml:space="preserve"> / arXiv:2304.10578 — 3.02× publication rate, 4.84× citation premium</w:t>
      </w:r>
    </w:p>
    <w:p>
      <w:pPr>
        <w:spacing w:after="40" w:before="40"/>
        <w:ind w:left="720" w:hanging="360"/>
      </w:pPr>
      <w:r>
        <w:rPr>
          <w:rFonts w:ascii="Arial" w:cs="Arial" w:eastAsia="Arial" w:hAnsi="Arial"/>
          <w:sz w:val="22"/>
          <w:szCs w:val="22"/>
        </w:rPr>
        <w:t xml:space="preserve">Birhane et al. (2023) </w:t>
      </w:r>
      <w:r>
        <w:rPr>
          <w:rFonts w:ascii="Arial" w:cs="Arial" w:eastAsia="Arial" w:hAnsi="Arial"/>
          <w:i/>
          <w:iCs/>
          <w:sz w:val="22"/>
          <w:szCs w:val="22"/>
        </w:rPr>
        <w:t xml:space="preserve">Nature Reviews Physics</w:t>
      </w:r>
      <w:r>
        <w:rPr>
          <w:rFonts w:ascii="Arial" w:cs="Arial" w:eastAsia="Arial" w:hAnsi="Arial"/>
          <w:sz w:val="22"/>
          <w:szCs w:val="22"/>
        </w:rPr>
        <w:t xml:space="preserve"> 5:277 — Three-level AI advantage framework</w:t>
      </w:r>
    </w:p>
    <w:p>
      <w:pPr>
        <w:spacing w:after="40" w:before="40"/>
        <w:ind w:left="720" w:hanging="360"/>
      </w:pPr>
      <w:r>
        <w:rPr>
          <w:rFonts w:ascii="Arial" w:cs="Arial" w:eastAsia="Arial" w:hAnsi="Arial"/>
          <w:sz w:val="22"/>
          <w:szCs w:val="22"/>
        </w:rPr>
        <w:t xml:space="preserve">Boyack et al. (2025) </w:t>
      </w:r>
      <w:r>
        <w:rPr>
          <w:rFonts w:ascii="Arial" w:cs="Arial" w:eastAsia="Arial" w:hAnsi="Arial"/>
          <w:i/>
          <w:iCs/>
          <w:sz w:val="22"/>
          <w:szCs w:val="22"/>
        </w:rPr>
        <w:t xml:space="preserve">Scientific Reports</w:t>
      </w:r>
      <w:r>
        <w:rPr>
          <w:rFonts w:ascii="Arial" w:cs="Arial" w:eastAsia="Arial" w:hAnsi="Arial"/>
          <w:sz w:val="22"/>
          <w:szCs w:val="22"/>
        </w:rPr>
        <w:t xml:space="preserve"> 15:4312 — Limits to AI-driven discovery acceleration (counterpoint)</w:t>
      </w:r>
    </w:p>
    <w:p>
      <w:pPr>
        <w:pStyle w:val="Heading3"/>
        <w:spacing w:after="120" w:before="240"/>
      </w:pPr>
      <w:r>
        <w:rPr>
          <w:rFonts w:ascii="Arial" w:cs="Arial" w:eastAsia="Arial" w:hAnsi="Arial"/>
        </w:rPr>
        <w:t xml:space="preserve">DOE and Metagenomics Infrastructure</w:t>
      </w:r>
    </w:p>
    <w:p>
      <w:pPr>
        <w:spacing w:after="40" w:before="40"/>
        <w:ind w:left="720" w:hanging="360"/>
      </w:pPr>
      <w:r>
        <w:rPr>
          <w:rFonts w:ascii="Arial" w:cs="Arial" w:eastAsia="Arial" w:hAnsi="Arial"/>
          <w:sz w:val="22"/>
          <w:szCs w:val="22"/>
        </w:rPr>
        <w:t xml:space="preserve">Meyer et al. (2022) </w:t>
      </w:r>
      <w:r>
        <w:rPr>
          <w:rFonts w:ascii="Arial" w:cs="Arial" w:eastAsia="Arial" w:hAnsi="Arial"/>
          <w:i/>
          <w:iCs/>
          <w:sz w:val="22"/>
          <w:szCs w:val="22"/>
        </w:rPr>
        <w:t xml:space="preserve">Nature Methods</w:t>
      </w:r>
      <w:r>
        <w:rPr>
          <w:rFonts w:ascii="Arial" w:cs="Arial" w:eastAsia="Arial" w:hAnsi="Arial"/>
          <w:sz w:val="22"/>
          <w:szCs w:val="22"/>
        </w:rPr>
        <w:t xml:space="preserve"> 19:429 — CAMI II definitive metagenomics benchmark</w:t>
      </w:r>
    </w:p>
    <w:p>
      <w:pPr>
        <w:spacing w:after="40" w:before="40"/>
        <w:ind w:left="720" w:hanging="360"/>
      </w:pPr>
      <w:r>
        <w:rPr>
          <w:rFonts w:ascii="Arial" w:cs="Arial" w:eastAsia="Arial" w:hAnsi="Arial"/>
          <w:sz w:val="22"/>
          <w:szCs w:val="22"/>
        </w:rPr>
        <w:t xml:space="preserve">Eloe-Fadrosh et al. (2021) </w:t>
      </w:r>
      <w:r>
        <w:rPr>
          <w:rFonts w:ascii="Arial" w:cs="Arial" w:eastAsia="Arial" w:hAnsi="Arial"/>
          <w:i/>
          <w:iCs/>
          <w:sz w:val="22"/>
          <w:szCs w:val="22"/>
        </w:rPr>
        <w:t xml:space="preserve">Nature Microbiology</w:t>
      </w:r>
      <w:r>
        <w:rPr>
          <w:rFonts w:ascii="Arial" w:cs="Arial" w:eastAsia="Arial" w:hAnsi="Arial"/>
          <w:sz w:val="22"/>
          <w:szCs w:val="22"/>
        </w:rPr>
        <w:t xml:space="preserve"> 6:987 — NMDC standardized workflows</w:t>
      </w:r>
    </w:p>
    <w:p>
      <w:pPr>
        <w:pBdr>
          <w:bottom w:val="single" w:color="CCCCCC" w:sz="1" w:space="1"/>
        </w:pBdr>
        <w:spacing w:after="200" w:before="200"/>
      </w:pPr>
    </w:p>
    <w:p>
      <w:pPr>
        <w:spacing w:after="60" w:before="60"/>
      </w:pPr>
      <w:r>
        <w:rPr>
          <w:rFonts w:ascii="Arial" w:cs="Arial" w:eastAsia="Arial" w:hAnsi="Arial"/>
          <w:i/>
          <w:iCs/>
          <w:sz w:val="22"/>
          <w:szCs w:val="22"/>
        </w:rPr>
        <w:t xml:space="preserve">Metrics Framework v2.0 — IMAGINE-AI (DE-FOA-0003612, Focus Area 2-B)</w:t>
      </w:r>
    </w:p>
    <w:p>
      <w:pPr>
        <w:spacing w:after="60" w:before="60"/>
      </w:pPr>
      <w:r>
        <w:rPr>
          <w:rFonts w:ascii="Arial" w:cs="Arial" w:eastAsia="Arial" w:hAnsi="Arial"/>
          <w:i/>
          <w:iCs/>
          <w:sz w:val="22"/>
          <w:szCs w:val="22"/>
        </w:rPr>
        <w:t xml:space="preserve">2026-04-16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AI-Enhanced vs. Traditional Metagenomics — GENESIS AI Grant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34495E"/>
      <w:sz w:val="24"/>
      <w:szCs w:val="24"/>
    </w:rPr>
  </w:style>
  <w:style w:type="paragraph" w:styleId="Heading5">
    <w:name w:val="Heading 5"/>
    <w:basedOn w:val="Normal"/>
    <w:next w:val="Normal"/>
    <w:qFormat/>
    <w:pPr>
      <w:spacing w:after="80" w:before="160"/>
      <w:outlineLvl w:val="4"/>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2026-04-16T23:47:29.916Z</dcterms:created>
  <dcterms:modified xsi:type="dcterms:W3CDTF">2026-04-16T23:47:29.917Z</dcterms:modified>
</cp:coreProperties>
</file>

<file path=docProps/custom.xml><?xml version="1.0" encoding="utf-8"?>
<Properties xmlns="http://schemas.openxmlformats.org/officeDocument/2006/custom-properties" xmlns:vt="http://schemas.openxmlformats.org/officeDocument/2006/docPropsVTypes"/>
</file>