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IMAGINE-AI Metrics and Comparative Advantage Framework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Supplementary material for co-PI review — ideas for integration into the Drafting Narrative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1. Three Levels of AI Advantage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Throughput amplification</w:t>
      </w:r>
      <w:r>
        <w:rPr>
          <w:rFonts w:ascii="Arial" w:cs="Arial" w:eastAsia="Arial" w:hAnsi="Arial"/>
          <w:sz w:val="22"/>
          <w:szCs w:val="22"/>
        </w:rPr>
        <w:t xml:space="preserve"> — agentic accelration of pipeline decision making, iteration, review and revision.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enhancement</w:t>
      </w:r>
      <w:r>
        <w:rPr>
          <w:rFonts w:ascii="Arial" w:cs="Arial" w:eastAsia="Arial" w:hAnsi="Arial"/>
          <w:sz w:val="22"/>
          <w:szCs w:val="22"/>
        </w:rPr>
        <w:t xml:space="preserve"> — increased prediction accuracy from the same data or as the result of improved data gathering and curation.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Latent pattern discovery</w:t>
      </w:r>
      <w:r>
        <w:rPr>
          <w:rFonts w:ascii="Arial" w:cs="Arial" w:eastAsia="Arial" w:hAnsi="Arial"/>
          <w:sz w:val="22"/>
          <w:szCs w:val="22"/>
        </w:rPr>
        <w:t xml:space="preserve"> — finding new dots to connect across multi-omic data, revealing patterns where other methods structurally fail.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2. Five Dimensions of AI Advantage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D1: Feature Representation — From Annotations to Learned Embeddings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Sequence pattern and annotation methods use features that miss unknown proteins and other elements with no database annotation. Protein language models (ESM-style) learn representations directly from sequence, capturing structural and functional signals in unannotated regions.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D2: Interaction Modeling — From Independent Features to Network Awareness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GLMM treats genomic features as independent predictors. Gene-gene interactions, pathway synergies, and regulatory cross-talk are structurally invisible to additive models. GNNs and transformer attention model these explicitly.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D3: Scale and Integration — From Single-Omics to Multi-Modal Fusion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Traditional approaches analyze one data type at a time with post-hoc human integration. Multimodal deep learning jointly models genomics, transcriptomics, metabolomics, and environment in a single representation space.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D4: Data Quality — From Manual Curation to AI-Assisted Harmonization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bias introduces spurious classifications (Marti et al. 2025). LLNL's decontaminated Centrifuge indices (1.0–1.4 trillion nt) address this. AI-assisted harmonization (LLM ontology mapping, neural imputation) breaks the curation bottleneck.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D5: Community Prediction — From Additive Assembly to Emergent Behavior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Summing individual organism contributions fails when community phenotype depends on inter-species interactions. AI models on interaction-aware representations capture these "team effects."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3. What AI Mechanistically Does That Traditional Methods Cannot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Random Forest on Pfam features already achieves F1 0.89–0.97 (Koblitz et al. 2025), what does IMAGINE-AI add? Not only better classifiers, also mechanistically distinct capabilities.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3.1 Learned Representations vs. Curated Annotations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Pfam-based models see only annotated proteins. ESM-2 embeddings generate vectors for any sequence — annotated or not — capturing fold, binding geometry, and evolutionary conservation from billions of sequences. This is a different feature space, not a better classifier on the same features.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 Implicit Combinatorial Interaction Search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20,000 Pfam domains there are ~200M possible pairwise interactions. GLMM can test a handful; multiple testing correction destroys power for exhaustive search. GNNs learn which interactions matter from graph structure by implicit search that linear methods can't approximate.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3.3 Adaptive Methodological Decision-Making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Traditional pipelines are static. Agentic AI workflows make runtime decisions: adjusting preprocessing, selecting architectures, iterating feature engineering, and searching literature based on intermediate results. The process is adaptive, not just the model.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3.4 Semantic Reasoning Over Unstructured Knowledge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LLMs extract features from unstructured text (gene descriptions, literature, pathway docs) and use semantic content alongside numerical features (cf. NLP4Pheno, Gomez-Perez &amp; Keller 2025). Traditional methods operate on structured features only.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3.5 Cross-Property Transfer Learning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Traditional ML trains independently per phenotype. Cross-property transfer (Choudhary 2021,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Nat. Commun.</w:t>
      </w:r>
      <w:r>
        <w:rPr>
          <w:rFonts w:ascii="Arial" w:cs="Arial" w:eastAsia="Arial" w:hAnsi="Arial"/>
          <w:sz w:val="22"/>
          <w:szCs w:val="22"/>
        </w:rPr>
        <w:t xml:space="preserve">) pre-trains on abundant phenotypes then fine-tunes on scarce targets — transferring structural knowledge from data-rich to data-poor domains. Directly applicable: growth rate data is abundant, N₂ fixation data is scarce.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4. Retrospective Benchmarking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benchmark IMAGINE-AI against published G2P studies with known outcomes, running the same data through our pipeline and comparing result quality. This produces two types of evaluation: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comparison</w:t>
      </w:r>
      <w:r>
        <w:rPr>
          <w:rFonts w:ascii="Arial" w:cs="Arial" w:eastAsia="Arial" w:hAnsi="Arial"/>
          <w:sz w:val="22"/>
          <w:szCs w:val="22"/>
        </w:rPr>
        <w:t xml:space="preserve"> (PAA, SE, WEQ): accuracy, scaling, and throughput measured against published performance values on the same data.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Novel discovery validation</w:t>
      </w:r>
      <w:r>
        <w:rPr>
          <w:rFonts w:ascii="Arial" w:cs="Arial" w:eastAsia="Arial" w:hAnsi="Arial"/>
          <w:sz w:val="22"/>
          <w:szCs w:val="22"/>
        </w:rPr>
        <w:t xml:space="preserve"> (PFE, IDR, FPDR): AI-unique predictions — findings that go beyond what the original study reported — are scored using the Reciprocal Confirmation Protocol (§5).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Comparable Studies (~5 per module)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A — Categorical Phenotype Classifiers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Phenotype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Koblitz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Commun. Biol.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Gram, motility, spore, O₂,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 0.89–0.97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BacDive; closest IMAGINE-AI analog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Bizzotto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Environ. Microbiome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(MICROPHERRET)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86 traits incl. N₂ fixation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MCC 0.92 (N-fix)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Covers N-fix use case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 et al. 2023,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PLoS Comput. Biol.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Carbon source utilization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AUROC 0.81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Nutritional strategy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Campbell &amp; Morrissey 2022,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Environ. Microbiol.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Substrate assimilation (qSIP)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Per-taxon 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ISME J.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SynCom colonization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Establishment prediction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B — Growth Rate Predictors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Xu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Commun.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(Phydon)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growth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r=0.93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SOTA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Weissman et al. 2021,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PNAS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(gRodon)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growth rate from CUB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r=0.84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Foundation method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Morrissey, Pett-Ridge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Soil growth vs ¹⁸O-SIP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r²=0.61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gold-standard validation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Greenlon et al. 2022,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qSIP across N/P gradients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Per-taxon 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(4 Co-PIs)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Osburn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Commun.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Global soil growth potential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r²=0.62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Soil; environmental covariates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C — Mechanistic/Trait-Based and Community Models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Marschmann, Pett-Ridge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Microbiol.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CUE, substrate kinetics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r²=0.85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genome traits → DEB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Morrissey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Environ. Microbiol.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CUE from genomic traits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G2P correlation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IMAGINE-AI proof-of-concept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Schwartz &amp; Blazewicz 2022,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mBio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Genome → life history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identification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Gralka et al. 2023,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Microbiol.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Carbon catabolic preferences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 82%, AUROC 0.88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CAZyme features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Geller-McGrath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eLife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(MetaPathPredict)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KEGG modules in incomplete MAGs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AUROC 0.92, F1 0.88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Handles incomplete genomes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Improvement over team-authored baselines is the most credible evidence for AI advantage — it addresses methodology or dataset artifacts.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5. Reciprocal Confirmation: Validating Novel Discoveries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IMAGINE-AI produces predictions beyond what the original study reported, those novel discoveries need validation. "Finding more" is indistinguishable from "hallucinating more" without a principled scoring method. The Reciprocal Confirmation Protocol provides this by using traditional methods as a validation layer — and, bidirectionally, using AI to flag potential false positives in traditional results.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Forward Direction: Validating AI Discoveries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AI-unique prediction is reformulated as a targeted hypothesis for traditional methods: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Discovery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Reciprocal Confirmation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Phenotype prediction for organism 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Fit GLMM with features AI identified; test significance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Gene-gene interaction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specific interaction term to GLMM; test significance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Consortia emergence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Fit additive model + AI-identified non-additive term; test fit improvement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Functional annotation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AI-predicted function for targeted PSI-BLAST/HMM search</w:t>
            </w:r>
          </w:p>
        </w:tc>
      </w:tr>
    </w:tbl>
    <w:p>
      <w:pPr>
        <w:spacing w:after="120" w:before="12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 A — Confirmed</w:t>
      </w:r>
      <w:r>
        <w:rPr>
          <w:rFonts w:ascii="Arial" w:cs="Arial" w:eastAsia="Arial" w:hAnsi="Arial"/>
          <w:sz w:val="22"/>
          <w:szCs w:val="22"/>
        </w:rPr>
        <w:t xml:space="preserve">: Traditional confirms when pointed at the hypothesis. AI advantage = discovery speed.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 B — Unconfirmable</w:t>
      </w:r>
      <w:r>
        <w:rPr>
          <w:rFonts w:ascii="Arial" w:cs="Arial" w:eastAsia="Arial" w:hAnsi="Arial"/>
          <w:sz w:val="22"/>
          <w:szCs w:val="22"/>
        </w:rPr>
        <w:t xml:space="preserve">: Traditional lacks power to test. AI advantage = capability expansion. Candidates for experimental validation.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 C — Refuted</w:t>
      </w:r>
      <w:r>
        <w:rPr>
          <w:rFonts w:ascii="Arial" w:cs="Arial" w:eastAsia="Arial" w:hAnsi="Arial"/>
          <w:sz w:val="22"/>
          <w:szCs w:val="22"/>
        </w:rPr>
        <w:t xml:space="preserve">: Traditional contradicts. False positive.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RCR</w:t>
      </w:r>
      <w:r>
        <w:rPr>
          <w:rFonts w:ascii="Arial" w:cs="Arial" w:eastAsia="Arial" w:hAnsi="Arial"/>
          <w:sz w:val="22"/>
          <w:szCs w:val="22"/>
        </w:rPr>
        <w:t xml:space="preserve"> = A / (A + C).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Capability Expansion Fraction</w:t>
      </w:r>
      <w:r>
        <w:rPr>
          <w:rFonts w:ascii="Arial" w:cs="Arial" w:eastAsia="Arial" w:hAnsi="Arial"/>
          <w:sz w:val="22"/>
          <w:szCs w:val="22"/>
        </w:rPr>
        <w:t xml:space="preserve"> = B / (A + B + C).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Reverse Direction: AI Detecting Traditional False Positives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Confound detection</w:t>
      </w:r>
      <w:r>
        <w:rPr>
          <w:rFonts w:ascii="Arial" w:cs="Arial" w:eastAsia="Arial" w:hAnsi="Arial"/>
          <w:sz w:val="22"/>
          <w:szCs w:val="22"/>
        </w:rPr>
        <w:t xml:space="preserve">: When traditional methods assign high importance to a feature but AI models (in ESM embedding space, independent of phylogenetic correlation) assign low importance, this flags potential confound-driven false positives.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Multi-representation consistency</w:t>
      </w:r>
      <w:r>
        <w:rPr>
          <w:rFonts w:ascii="Arial" w:cs="Arial" w:eastAsia="Arial" w:hAnsi="Arial"/>
          <w:sz w:val="22"/>
          <w:szCs w:val="22"/>
        </w:rPr>
        <w:t xml:space="preserve">: Findings that hold in only one feature space (e.g., Pfam but not KEGG or ESM) may be artifacts of feature construction — cross-paradigm validation, not just cross-data-split validation.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Calibrated uncertainty disagreement</w:t>
      </w:r>
      <w:r>
        <w:rPr>
          <w:rFonts w:ascii="Arial" w:cs="Arial" w:eastAsia="Arial" w:hAnsi="Arial"/>
          <w:sz w:val="22"/>
          <w:szCs w:val="22"/>
        </w:rPr>
        <w:t xml:space="preserve">: Where traditional methods predict confidently but a calibrated AI model shows high uncertainty, the traditional prediction may be in an under-sampled or confounded region.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 D1</w:t>
      </w:r>
      <w:r>
        <w:rPr>
          <w:rFonts w:ascii="Arial" w:cs="Arial" w:eastAsia="Arial" w:hAnsi="Arial"/>
          <w:sz w:val="22"/>
          <w:szCs w:val="22"/>
        </w:rPr>
        <w:t xml:space="preserve">: Independent evidence supports AI's rejection. Traditional finding was false positive.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 D2</w:t>
      </w:r>
      <w:r>
        <w:rPr>
          <w:rFonts w:ascii="Arial" w:cs="Arial" w:eastAsia="Arial" w:hAnsi="Arial"/>
          <w:sz w:val="22"/>
          <w:szCs w:val="22"/>
        </w:rPr>
        <w:t xml:space="preserve">: Inconclusive.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 D3</w:t>
      </w:r>
      <w:r>
        <w:rPr>
          <w:rFonts w:ascii="Arial" w:cs="Arial" w:eastAsia="Arial" w:hAnsi="Arial"/>
          <w:sz w:val="22"/>
          <w:szCs w:val="22"/>
        </w:rPr>
        <w:t xml:space="preserve">: Independent evidence supports traditional finding. AI rejection was wrong.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Statistical Safeguards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Pre-specify disagreement criteria before running either method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Resolve disagreements via independent evidence, not self-evaluation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Report the full A:B:C:D1:D2:D3 distribution as a result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held-out sets unseen by both methods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6. Metrics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Phase 1 (Decision Gate)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PAA</w:t>
      </w:r>
      <w:r>
        <w:rPr>
          <w:rFonts w:ascii="Arial" w:cs="Arial" w:eastAsia="Arial" w:hAnsi="Arial"/>
          <w:sz w:val="22"/>
          <w:szCs w:val="22"/>
        </w:rPr>
        <w:t xml:space="preserve"> — F1/RMSE improvement over baselines and comps. Gate: ≥5 pp F1 or ≥10% RMSE (p&lt;0.05).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 Draft Narrative.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</w:t>
      </w:r>
      <w:r>
        <w:rPr>
          <w:rFonts w:ascii="Arial" w:cs="Arial" w:eastAsia="Arial" w:hAnsi="Arial"/>
          <w:sz w:val="22"/>
          <w:szCs w:val="22"/>
        </w:rPr>
        <w:t xml:space="preserve"> — Scaling exponent: performance vs. training size for AI and traditional on same subsets.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 Draft Narrative. New: compute at increasing biological complexity.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PFE</w:t>
      </w:r>
      <w:r>
        <w:rPr>
          <w:rFonts w:ascii="Arial" w:cs="Arial" w:eastAsia="Arial" w:hAnsi="Arial"/>
          <w:sz w:val="22"/>
          <w:szCs w:val="22"/>
        </w:rPr>
        <w:t xml:space="preserve"> — Prediction Frontier Expansion: organisms where AI predicts but traditional cannot. Controlled via Reciprocal Confirmation.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IDR</w:t>
      </w:r>
      <w:r>
        <w:rPr>
          <w:rFonts w:ascii="Arial" w:cs="Arial" w:eastAsia="Arial" w:hAnsi="Arial"/>
          <w:sz w:val="22"/>
          <w:szCs w:val="22"/>
        </w:rPr>
        <w:t xml:space="preserve"> — Interaction Discovery Rate: AI-found interactions not detectable by pairwise tests, scored A/B/C.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UCI</w:t>
      </w:r>
      <w:r>
        <w:rPr>
          <w:rFonts w:ascii="Arial" w:cs="Arial" w:eastAsia="Arial" w:hAnsi="Arial"/>
          <w:sz w:val="22"/>
          <w:szCs w:val="22"/>
        </w:rPr>
        <w:t xml:space="preserve"> — Uncertainty Calibration: confidence vs. accuracy on held-out phenotypes. Gate: ≥0.85.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WEQ</w:t>
      </w:r>
      <w:r>
        <w:rPr>
          <w:rFonts w:ascii="Arial" w:cs="Arial" w:eastAsia="Arial" w:hAnsi="Arial"/>
          <w:sz w:val="22"/>
          <w:szCs w:val="22"/>
        </w:rPr>
        <w:t xml:space="preserve"> — Workflow Efficiency: IMAGINE-AI wall-clock time vs. data-deposition-to-publication calendar time for comps.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Refines Draft Narrative metric.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CES</w:t>
      </w:r>
      <w:r>
        <w:rPr>
          <w:rFonts w:ascii="Arial" w:cs="Arial" w:eastAsia="Arial" w:hAnsi="Arial"/>
          <w:sz w:val="22"/>
          <w:szCs w:val="22"/>
        </w:rPr>
        <w:t xml:space="preserve"> — Consortia Emergence Score: AI consortia prediction correlation minus additive-sum correlation. Gate: &gt;0 (p&lt;0.05).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FPDR</w:t>
      </w:r>
      <w:r>
        <w:rPr>
          <w:rFonts w:ascii="Arial" w:cs="Arial" w:eastAsia="Arial" w:hAnsi="Arial"/>
          <w:sz w:val="22"/>
          <w:szCs w:val="22"/>
        </w:rPr>
        <w:t xml:space="preserve"> — False Positive Detection Rate: traditional findings flagged by AI disagreement, confirmed via independent evidence (Category D1).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Decision Gate Summary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≥5 pp F1 or ≥10% RMSE (p&lt;0.05)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Held-out taxa, 10×10 CV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α_AI &gt; α_trad (p&lt;0.05)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 subsets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&gt;0%, RCR ≥ 0.70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Reciprocal Confirmation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≥3 Category A or B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GNN/attention + confirmation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0.85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Held-out phenotypes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Comps datasets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0 (p&lt;0.05)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PI/Co-PI consortia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FPDR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 (D1/D2/D3 distribution)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Disagreement analysis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7. Component Contribution Analysis (Future Work)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Systematic removal of individual AI components (embeddings, GNN, multi-omics, agentic workflow) would reveal which drive advantage. Phase 1 tracks contributions qualitatively via interpretability (attention weights, SHAP). Formal analysis recommended for Phase 2.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8. Experimental Validation (Phase 1 Scope)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Limited to planned high-throughput phenotyping: growth rates and metabolites in mono/consortia cultures under N-free conditions, with Horiba A-TEEM fingerprinting. DBTL cycle predictions (Month 9) evaluated against these measurements. Broader Category B validation held for Phase 2.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9. Supplementary Data Sources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Taxonomic backbone</w:t>
      </w:r>
      <w:r>
        <w:rPr>
          <w:rFonts w:ascii="Arial" w:cs="Arial" w:eastAsia="Arial" w:hAnsi="Arial"/>
          <w:sz w:val="22"/>
          <w:szCs w:val="22"/>
        </w:rPr>
        <w:t xml:space="preserve">: LLNL decontaminated Centrifuge databases (Marti et al. 2025).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Transfer learning</w:t>
      </w:r>
      <w:r>
        <w:rPr>
          <w:rFonts w:ascii="Arial" w:cs="Arial" w:eastAsia="Arial" w:hAnsi="Arial"/>
          <w:sz w:val="22"/>
          <w:szCs w:val="22"/>
        </w:rPr>
        <w:t xml:space="preserve">: Choudhary (2021) cross-property approach — pre-train on growth rate, fine-tune on N₂ fixation.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standards</w:t>
      </w:r>
      <w:r>
        <w:rPr>
          <w:rFonts w:ascii="Arial" w:cs="Arial" w:eastAsia="Arial" w:hAnsi="Arial"/>
          <w:sz w:val="22"/>
          <w:szCs w:val="22"/>
        </w:rPr>
        <w:t xml:space="preserve">: Team qSIP follows MISIP (Maillard et al. 2024).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Benchmarking set</w:t>
      </w:r>
      <w:r>
        <w:rPr>
          <w:rFonts w:ascii="Arial" w:cs="Arial" w:eastAsia="Arial" w:hAnsi="Arial"/>
          <w:sz w:val="22"/>
          <w:szCs w:val="22"/>
        </w:rPr>
        <w:t xml:space="preserve">: 15 studies, 3 modules, 5 team-authored.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References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Benchmark Studies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1–9: Koblitz 2025; Bizzotto 2024; Li 2023; Xu 2025; Weissman 2021; Osburn 2024; Gralka 2023; Geller-McGrath 2024; Gomez-Perez 2025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Team Publications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10–21: Marschmann 2024; Blazewicz 2025 PNAS; Morrissey 2024; Campbell 2022; Morrissey 2023; Schwartz 2022; Greenlon 2022; Blazewicz 2023 ISME J; Wilhelm 2022; Kimbrel 2025; Maillard 2025; Pett-Ridge 2022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AI/ML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22–24: Choudhary 2021 Nat Commun; Choudhary 2024 JPCL; Choudhary 2021 npj CM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Data Infrastructure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25–26: Marti 2025; Maillard 2024 GigaScience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Conceptual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27–31: Pavlopoulos 2023; Nearing 2022; Karlsen 2023; Birhane 2023; Gloor 2017</w:t>
      </w:r>
    </w:p>
    <w:p>
      <w:pPr>
        <w:pBdr>
          <w:bottom w:val="single" w:color="CCCCCC" w:sz="1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IMAGINE-AI Metrics Framework v5.1 — 2026-04-16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AI-Enhanced vs. Traditional Metagenomics — GENESIS AI Grant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34495E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2026-04-17T04:30:15.903Z</dcterms:created>
  <dcterms:modified xsi:type="dcterms:W3CDTF">2026-04-17T04:30:15.904Z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