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rPr>
        <w:t xml:space="preserve">Comparative Workflow Design: AI-Enhanced vs. Traditional Metagenomic and Phenotypic Analysis</w:t>
      </w:r>
    </w:p>
    <w:p>
      <w:pPr>
        <w:spacing w:after="60" w:before="60"/>
      </w:pPr>
      <w:r>
        <w:rPr>
          <w:rFonts w:ascii="Arial" w:cs="Arial" w:eastAsia="Arial" w:hAnsi="Arial"/>
          <w:b/>
          <w:bCs/>
          <w:sz w:val="22"/>
          <w:szCs w:val="22"/>
        </w:rPr>
        <w:t xml:space="preserve">Prepared for</w:t>
      </w:r>
      <w:r>
        <w:rPr>
          <w:rFonts w:ascii="Arial" w:cs="Arial" w:eastAsia="Arial" w:hAnsi="Arial"/>
          <w:sz w:val="22"/>
          <w:szCs w:val="22"/>
        </w:rPr>
        <w:t xml:space="preserve">: GENESIS AI Department of Energy Grant Proposal</w:t>
      </w:r>
    </w:p>
    <w:p>
      <w:pPr>
        <w:spacing w:after="60" w:before="60"/>
      </w:pPr>
      <w:r>
        <w:rPr>
          <w:rFonts w:ascii="Arial" w:cs="Arial" w:eastAsia="Arial" w:hAnsi="Arial"/>
          <w:b/>
          <w:bCs/>
          <w:sz w:val="22"/>
          <w:szCs w:val="22"/>
        </w:rPr>
        <w:t xml:space="preserve">Target FOA</w:t>
      </w:r>
      <w:r>
        <w:rPr>
          <w:rFonts w:ascii="Arial" w:cs="Arial" w:eastAsia="Arial" w:hAnsi="Arial"/>
          <w:sz w:val="22"/>
          <w:szCs w:val="22"/>
        </w:rPr>
        <w:t xml:space="preserve">: DE-FOA-0003612 (Genesis Mission, Biotechnology Topic) and/or BER Open Call FY2026</w:t>
      </w:r>
    </w:p>
    <w:p>
      <w:pPr>
        <w:spacing w:after="60" w:before="60"/>
      </w:pPr>
      <w:r>
        <w:rPr>
          <w:rFonts w:ascii="Arial" w:cs="Arial" w:eastAsia="Arial" w:hAnsi="Arial"/>
          <w:b/>
          <w:bCs/>
          <w:sz w:val="22"/>
          <w:szCs w:val="22"/>
        </w:rPr>
        <w:t xml:space="preserve">Date</w:t>
      </w:r>
      <w:r>
        <w:rPr>
          <w:rFonts w:ascii="Arial" w:cs="Arial" w:eastAsia="Arial" w:hAnsi="Arial"/>
          <w:sz w:val="22"/>
          <w:szCs w:val="22"/>
        </w:rPr>
        <w:t xml:space="preserve">: 2026-04-13</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Framework document — ready for integration into grant proposal</w:t>
      </w:r>
    </w:p>
    <w:p>
      <w:pPr>
        <w:pBdr>
          <w:bottom w:val="single" w:color="CCCCCC" w:sz="1" w:space="1"/>
        </w:pBdr>
        <w:spacing w:after="200" w:before="200"/>
      </w:pPr>
    </w:p>
    <w:p>
      <w:pPr>
        <w:pStyle w:val="Heading2"/>
        <w:spacing w:after="200" w:before="360"/>
      </w:pPr>
      <w:r>
        <w:rPr>
          <w:rFonts w:ascii="Arial" w:cs="Arial" w:eastAsia="Arial" w:hAnsi="Arial"/>
        </w:rPr>
        <w:t xml:space="preserve">Table of Contents</w:t>
      </w:r>
    </w:p>
    <w:p>
      <w:pPr>
        <w:spacing w:after="40" w:before="40"/>
        <w:ind w:left="720" w:hanging="360"/>
      </w:pPr>
      <w:r>
        <w:rPr>
          <w:rFonts w:ascii="Arial" w:cs="Arial" w:eastAsia="Arial" w:hAnsi="Arial"/>
          <w:sz w:val="22"/>
          <w:szCs w:val="22"/>
        </w:rPr>
        <w:t xml:space="preserve">Executive Summary</w:t>
      </w:r>
    </w:p>
    <w:p>
      <w:pPr>
        <w:spacing w:after="40" w:before="40"/>
        <w:ind w:left="720" w:hanging="360"/>
      </w:pPr>
      <w:r>
        <w:rPr>
          <w:rFonts w:ascii="Arial" w:cs="Arial" w:eastAsia="Arial" w:hAnsi="Arial"/>
          <w:sz w:val="22"/>
          <w:szCs w:val="22"/>
        </w:rPr>
        <w:t xml:space="preserve">Conceptual Framework: The Five Dimensions of AI Advantage</w:t>
      </w:r>
    </w:p>
    <w:p>
      <w:pPr>
        <w:spacing w:after="40" w:before="40"/>
        <w:ind w:left="720" w:hanging="360"/>
      </w:pPr>
      <w:r>
        <w:rPr>
          <w:rFonts w:ascii="Arial" w:cs="Arial" w:eastAsia="Arial" w:hAnsi="Arial"/>
          <w:sz w:val="22"/>
          <w:szCs w:val="22"/>
        </w:rPr>
        <w:t xml:space="preserve">The Paradigm Shift: Why This Isn't Just "Better Tools"</w:t>
      </w:r>
    </w:p>
    <w:p>
      <w:pPr>
        <w:spacing w:after="40" w:before="40"/>
        <w:ind w:left="720" w:hanging="360"/>
      </w:pPr>
      <w:r>
        <w:rPr>
          <w:rFonts w:ascii="Arial" w:cs="Arial" w:eastAsia="Arial" w:hAnsi="Arial"/>
          <w:sz w:val="22"/>
          <w:szCs w:val="22"/>
        </w:rPr>
        <w:t xml:space="preserve">Comparative Testing Workflow Design</w:t>
      </w:r>
    </w:p>
    <w:p>
      <w:pPr>
        <w:spacing w:after="40" w:before="40"/>
        <w:ind w:left="720" w:hanging="360"/>
      </w:pPr>
      <w:r>
        <w:rPr>
          <w:rFonts w:ascii="Arial" w:cs="Arial" w:eastAsia="Arial" w:hAnsi="Arial"/>
          <w:sz w:val="22"/>
          <w:szCs w:val="22"/>
        </w:rPr>
        <w:t xml:space="preserve">Novel Metrics for Quantifying AI Advantage</w:t>
      </w:r>
    </w:p>
    <w:p>
      <w:pPr>
        <w:spacing w:after="40" w:before="40"/>
        <w:ind w:left="720" w:hanging="360"/>
      </w:pPr>
      <w:r>
        <w:rPr>
          <w:rFonts w:ascii="Arial" w:cs="Arial" w:eastAsia="Arial" w:hAnsi="Arial"/>
          <w:sz w:val="22"/>
          <w:szCs w:val="22"/>
        </w:rPr>
        <w:t xml:space="preserve">Specific Head-to-Head Testing Scenarios</w:t>
      </w:r>
    </w:p>
    <w:p>
      <w:pPr>
        <w:spacing w:after="40" w:before="40"/>
        <w:ind w:left="720" w:hanging="360"/>
      </w:pPr>
      <w:r>
        <w:rPr>
          <w:rFonts w:ascii="Arial" w:cs="Arial" w:eastAsia="Arial" w:hAnsi="Arial"/>
          <w:sz w:val="22"/>
          <w:szCs w:val="22"/>
        </w:rPr>
        <w:t xml:space="preserve">Benchmark Datasets and DOE Integration</w:t>
      </w:r>
    </w:p>
    <w:p>
      <w:pPr>
        <w:spacing w:after="40" w:before="40"/>
        <w:ind w:left="720" w:hanging="360"/>
      </w:pPr>
      <w:r>
        <w:rPr>
          <w:rFonts w:ascii="Arial" w:cs="Arial" w:eastAsia="Arial" w:hAnsi="Arial"/>
          <w:sz w:val="22"/>
          <w:szCs w:val="22"/>
        </w:rPr>
        <w:t xml:space="preserve">Expected Outcomes and Impact Framing</w:t>
      </w:r>
    </w:p>
    <w:p>
      <w:pPr>
        <w:spacing w:after="40" w:before="40"/>
        <w:ind w:left="720" w:hanging="360"/>
      </w:pPr>
      <w:r>
        <w:rPr>
          <w:rFonts w:ascii="Arial" w:cs="Arial" w:eastAsia="Arial" w:hAnsi="Arial"/>
          <w:sz w:val="22"/>
          <w:szCs w:val="22"/>
        </w:rPr>
        <w:t xml:space="preserve">Literature Foundation</w:t>
      </w:r>
    </w:p>
    <w:p>
      <w:pPr>
        <w:spacing w:after="40" w:before="40"/>
        <w:ind w:left="720" w:hanging="360"/>
      </w:pPr>
      <w:r>
        <w:rPr>
          <w:rFonts w:ascii="Arial" w:cs="Arial" w:eastAsia="Arial" w:hAnsi="Arial"/>
          <w:sz w:val="22"/>
          <w:szCs w:val="22"/>
        </w:rPr>
        <w:t xml:space="preserve">Appendix: Grant-Specific Considerations</w:t>
      </w:r>
    </w:p>
    <w:p>
      <w:pPr>
        <w:pBdr>
          <w:bottom w:val="single" w:color="CCCCCC" w:sz="1" w:space="1"/>
        </w:pBdr>
        <w:spacing w:after="200" w:before="200"/>
      </w:pPr>
    </w:p>
    <w:p>
      <w:pPr>
        <w:pStyle w:val="Heading2"/>
        <w:spacing w:after="200" w:before="360"/>
      </w:pPr>
      <w:r>
        <w:rPr>
          <w:rFonts w:ascii="Arial" w:cs="Arial" w:eastAsia="Arial" w:hAnsi="Arial"/>
        </w:rPr>
        <w:t xml:space="preserve">1. Executive Summary</w:t>
      </w:r>
    </w:p>
    <w:p>
      <w:pPr>
        <w:spacing w:after="60" w:before="60"/>
      </w:pPr>
      <w:r>
        <w:rPr>
          <w:rFonts w:ascii="Arial" w:cs="Arial" w:eastAsia="Arial" w:hAnsi="Arial"/>
          <w:sz w:val="22"/>
          <w:szCs w:val="22"/>
        </w:rPr>
        <w:t xml:space="preserve">This document designs a rigorous comparative framework for evaluating AI-enhanced versus traditional approaches to metagenomic and phenotypic microbial analysis. The framework is structured around five analytical dimensions where AI methods differ from conventional bioinformatics not merely in performance but in </w:t>
      </w:r>
      <w:r>
        <w:rPr>
          <w:rFonts w:ascii="Arial" w:cs="Arial" w:eastAsia="Arial" w:hAnsi="Arial"/>
          <w:i/>
          <w:iCs/>
          <w:sz w:val="22"/>
          <w:szCs w:val="22"/>
        </w:rPr>
        <w:t xml:space="preserve">kind</w:t>
      </w:r>
      <w:r>
        <w:rPr>
          <w:rFonts w:ascii="Arial" w:cs="Arial" w:eastAsia="Arial" w:hAnsi="Arial"/>
          <w:sz w:val="22"/>
          <w:szCs w:val="22"/>
        </w:rPr>
        <w:t xml:space="preserve">. For each dimension, we define head-to-head testing scenarios, propose novel quantitative metrics, and ground the comparison in recent peer-reviewed literature.</w:t>
      </w:r>
    </w:p>
    <w:p>
      <w:pPr>
        <w:spacing w:after="60" w:before="60"/>
      </w:pPr>
      <w:r>
        <w:rPr>
          <w:rFonts w:ascii="Arial" w:cs="Arial" w:eastAsia="Arial" w:hAnsi="Arial"/>
          <w:sz w:val="22"/>
          <w:szCs w:val="22"/>
        </w:rPr>
        <w:t xml:space="preserve">The central thesis is that AI advantage in metagenomics operates at three distinct levels — </w:t>
      </w:r>
      <w:r>
        <w:rPr>
          <w:rFonts w:ascii="Arial" w:cs="Arial" w:eastAsia="Arial" w:hAnsi="Arial"/>
          <w:b/>
          <w:bCs/>
          <w:sz w:val="22"/>
          <w:szCs w:val="22"/>
        </w:rPr>
        <w:t xml:space="preserve">throughput amplification</w:t>
      </w:r>
      <w:r>
        <w:rPr>
          <w:rFonts w:ascii="Arial" w:cs="Arial" w:eastAsia="Arial" w:hAnsi="Arial"/>
          <w:sz w:val="22"/>
          <w:szCs w:val="22"/>
        </w:rPr>
        <w:t xml:space="preserve"> (doing the same thing faster), </w:t>
      </w:r>
      <w:r>
        <w:rPr>
          <w:rFonts w:ascii="Arial" w:cs="Arial" w:eastAsia="Arial" w:hAnsi="Arial"/>
          <w:b/>
          <w:bCs/>
          <w:sz w:val="22"/>
          <w:szCs w:val="22"/>
        </w:rPr>
        <w:t xml:space="preserve">capability expansion</w:t>
      </w:r>
      <w:r>
        <w:rPr>
          <w:rFonts w:ascii="Arial" w:cs="Arial" w:eastAsia="Arial" w:hAnsi="Arial"/>
          <w:sz w:val="22"/>
          <w:szCs w:val="22"/>
        </w:rPr>
        <w:t xml:space="preserve"> (doing previously impossible things), and </w:t>
      </w:r>
      <w:r>
        <w:rPr>
          <w:rFonts w:ascii="Arial" w:cs="Arial" w:eastAsia="Arial" w:hAnsi="Arial"/>
          <w:b/>
          <w:bCs/>
          <w:sz w:val="22"/>
          <w:szCs w:val="22"/>
        </w:rPr>
        <w:t xml:space="preserve">quality enhancement</w:t>
      </w:r>
      <w:r>
        <w:rPr>
          <w:rFonts w:ascii="Arial" w:cs="Arial" w:eastAsia="Arial" w:hAnsi="Arial"/>
          <w:sz w:val="22"/>
          <w:szCs w:val="22"/>
        </w:rPr>
        <w:t xml:space="preserve"> (doing existing things more accurately) — and that a competitive grant proposal must quantify all three to satisfy DOE review panels that weight "Scientific/Technical Merit and Impact" as the primary criterion (per DE-FOA-0003612).</w:t>
      </w:r>
    </w:p>
    <w:p>
      <w:pPr>
        <w:spacing w:after="60" w:before="60"/>
      </w:pPr>
      <w:r>
        <w:rPr>
          <w:rFonts w:ascii="Arial" w:cs="Arial" w:eastAsia="Arial" w:hAnsi="Arial"/>
          <w:sz w:val="22"/>
          <w:szCs w:val="22"/>
        </w:rPr>
        <w:t xml:space="preserve">The exemplar AI-enhanced workflow (Koblitz et al. 2025, </w:t>
      </w:r>
      <w:r>
        <w:rPr>
          <w:rFonts w:ascii="Arial" w:cs="Arial" w:eastAsia="Arial" w:hAnsi="Arial"/>
          <w:i/>
          <w:iCs/>
          <w:sz w:val="22"/>
          <w:szCs w:val="22"/>
        </w:rPr>
        <w:t xml:space="preserve">Communications Biology</w:t>
      </w:r>
      <w:r>
        <w:rPr>
          <w:rFonts w:ascii="Arial" w:cs="Arial" w:eastAsia="Arial" w:hAnsi="Arial"/>
          <w:sz w:val="22"/>
          <w:szCs w:val="22"/>
        </w:rPr>
        <w:t xml:space="preserve">) demonstrates phenotype prediction from protein family inventories at 79–98% accuracy across 8 traits, generating ~55,000 new predictions. This document extends that paradigm into a complete comparative framework spanning taxonomic classification, functional annotation, phenotype prediction, data curation, and ecological pattern discovery.</w:t>
      </w:r>
    </w:p>
    <w:p>
      <w:pPr>
        <w:pBdr>
          <w:bottom w:val="single" w:color="CCCCCC" w:sz="1" w:space="1"/>
        </w:pBdr>
        <w:spacing w:after="200" w:before="200"/>
      </w:pPr>
    </w:p>
    <w:p>
      <w:pPr>
        <w:pStyle w:val="Heading2"/>
        <w:spacing w:after="200" w:before="360"/>
      </w:pPr>
      <w:r>
        <w:rPr>
          <w:rFonts w:ascii="Arial" w:cs="Arial" w:eastAsia="Arial" w:hAnsi="Arial"/>
        </w:rPr>
        <w:t xml:space="preserve">2. Conceptual Framework: The Five Dimensions of AI Advantage</w:t>
      </w:r>
    </w:p>
    <w:p>
      <w:pPr>
        <w:pStyle w:val="Heading3"/>
        <w:spacing w:after="120" w:before="240"/>
      </w:pPr>
      <w:r>
        <w:rPr>
          <w:rFonts w:ascii="Arial" w:cs="Arial" w:eastAsia="Arial" w:hAnsi="Arial"/>
        </w:rPr>
        <w:t xml:space="preserve">2.1 Taxonomy of Differences</w:t>
      </w:r>
    </w:p>
    <w:p>
      <w:pPr>
        <w:spacing w:after="60" w:before="60"/>
      </w:pPr>
      <w:r>
        <w:rPr>
          <w:rFonts w:ascii="Arial" w:cs="Arial" w:eastAsia="Arial" w:hAnsi="Arial"/>
          <w:sz w:val="22"/>
          <w:szCs w:val="22"/>
        </w:rPr>
        <w:t xml:space="preserve">Traditional metagenomics and AI-enhanced metagenomics differ along five fundamental dimensions. These are not incremental improvements — they represent qualitative shifts in what questions can be asked and answered.</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Traditional Approach</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AI-Enhanced Approach</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Nature of Difference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D1: Taxonomic Classification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Reference-dependent k-mer matching (Kraken2, MetaPhlAn 4)</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Learned sequence embeddings + semi-supervised refinement (Taxometer, DNABERT-2)</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From lookup to inference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D2: Functional Annotation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Homology-based search (BLAST, DIAMOND → KEGG/COG/Pfam)</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Protein language models + structure prediction (ESM-2, AnnoPRO, DeepGOMeta)</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From alignment to representation</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D3: Phenotype Prediction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Rule-based gene presence/absence (PGAP, eggNOG-mapper)</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ML on protein family inventories (Koblitz et al. 2025), deep forest ensembles (MicroHDF)</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From rules to learned patterns</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D4: Data Curation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Manual expert harmonization, string-matching heuristics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LLM-automated ontology mapping (Reimer et al. 2025), neural imputation (AutoComplete)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From labor to automation</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D5: Ecological Pattern Discovery</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Ordination + hypothesis testing (PERMANOVA, DESeq2, LEfSe)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Neural embeddings, VAE subcommunity detection, contrastive learning (COMEBin, SemiBin2)</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From predefined tests to emergent structure</w:t>
            </w:r>
          </w:p>
        </w:tc>
      </w:tr>
    </w:tbl>
    <w:p>
      <w:pPr>
        <w:spacing w:after="120" w:before="120"/>
      </w:pPr>
    </w:p>
    <w:p>
      <w:pPr>
        <w:pStyle w:val="Heading3"/>
        <w:spacing w:after="120" w:before="240"/>
      </w:pPr>
      <w:r>
        <w:rPr>
          <w:rFonts w:ascii="Arial" w:cs="Arial" w:eastAsia="Arial" w:hAnsi="Arial"/>
        </w:rPr>
        <w:t xml:space="preserve">2.2 The Structural Ceiling Problem</w:t>
      </w:r>
    </w:p>
    <w:p>
      <w:pPr>
        <w:spacing w:after="60" w:before="60"/>
      </w:pPr>
      <w:r>
        <w:rPr>
          <w:rFonts w:ascii="Arial" w:cs="Arial" w:eastAsia="Arial" w:hAnsi="Arial"/>
          <w:sz w:val="22"/>
          <w:szCs w:val="22"/>
        </w:rPr>
        <w:t xml:space="preserve">The most compelling argument for AI advantage is not that AI is better at existing tasks, but that traditional methods hit </w:t>
      </w:r>
      <w:r>
        <w:rPr>
          <w:rFonts w:ascii="Arial" w:cs="Arial" w:eastAsia="Arial" w:hAnsi="Arial"/>
          <w:b/>
          <w:bCs/>
          <w:sz w:val="22"/>
          <w:szCs w:val="22"/>
        </w:rPr>
        <w:t xml:space="preserve">structural ceilings</w:t>
      </w:r>
      <w:r>
        <w:rPr>
          <w:rFonts w:ascii="Arial" w:cs="Arial" w:eastAsia="Arial" w:hAnsi="Arial"/>
          <w:sz w:val="22"/>
          <w:szCs w:val="22"/>
        </w:rPr>
        <w:t xml:space="preserve"> that no amount of additional data or computation can overcome:</w:t>
      </w:r>
    </w:p>
    <w:p>
      <w:pPr>
        <w:spacing w:after="40" w:before="40"/>
        <w:ind w:left="720" w:hanging="360"/>
      </w:pPr>
      <w:r>
        <w:rPr>
          <w:rFonts w:ascii="Arial" w:cs="Arial" w:eastAsia="Arial" w:hAnsi="Arial"/>
          <w:b/>
          <w:bCs/>
          <w:sz w:val="22"/>
          <w:szCs w:val="22"/>
        </w:rPr>
        <w:t xml:space="preserve">The Reference Gap</w:t>
      </w:r>
      <w:r>
        <w:rPr>
          <w:rFonts w:ascii="Arial" w:cs="Arial" w:eastAsia="Arial" w:hAnsi="Arial"/>
          <w:sz w:val="22"/>
          <w:szCs w:val="22"/>
        </w:rPr>
        <w:t xml:space="preserve">: Kraken2 and MetaPhlAn 4 require organisms to be in their reference databases. For soil and ocean metagenomes, 20–60% of reads match nothing (Lu et al. 2022, </w:t>
      </w:r>
      <w:r>
        <w:rPr>
          <w:rFonts w:ascii="Arial" w:cs="Arial" w:eastAsia="Arial" w:hAnsi="Arial"/>
          <w:i/>
          <w:iCs/>
          <w:sz w:val="22"/>
          <w:szCs w:val="22"/>
        </w:rPr>
        <w:t xml:space="preserve">Nature Protocols</w:t>
      </w:r>
      <w:r>
        <w:rPr>
          <w:rFonts w:ascii="Arial" w:cs="Arial" w:eastAsia="Arial" w:hAnsi="Arial"/>
          <w:sz w:val="22"/>
          <w:szCs w:val="22"/>
        </w:rPr>
        <w:t xml:space="preserve">). Adding more reference genomes helps marginally; the novel diversity space grows faster than databases can be populated.</w:t>
      </w:r>
    </w:p>
    <w:p>
      <w:pPr>
        <w:spacing w:after="40" w:before="40"/>
        <w:ind w:left="720" w:hanging="360"/>
      </w:pPr>
      <w:r>
        <w:rPr>
          <w:rFonts w:ascii="Arial" w:cs="Arial" w:eastAsia="Arial" w:hAnsi="Arial"/>
          <w:b/>
          <w:bCs/>
          <w:sz w:val="22"/>
          <w:szCs w:val="22"/>
        </w:rPr>
        <w:t xml:space="preserve">The Functional Dark Matter</w:t>
      </w:r>
      <w:r>
        <w:rPr>
          <w:rFonts w:ascii="Arial" w:cs="Arial" w:eastAsia="Arial" w:hAnsi="Arial"/>
          <w:sz w:val="22"/>
          <w:szCs w:val="22"/>
        </w:rPr>
        <w:t xml:space="preserve">: 40–60% of predicted proteins in environmental metagenomes share no detectable homology with any characterized protein (Pavlopoulos et al. 2023, </w:t>
      </w:r>
      <w:r>
        <w:rPr>
          <w:rFonts w:ascii="Arial" w:cs="Arial" w:eastAsia="Arial" w:hAnsi="Arial"/>
          <w:i/>
          <w:iCs/>
          <w:sz w:val="22"/>
          <w:szCs w:val="22"/>
        </w:rPr>
        <w:t xml:space="preserve">Nature</w:t>
      </w:r>
      <w:r>
        <w:rPr>
          <w:rFonts w:ascii="Arial" w:cs="Arial" w:eastAsia="Arial" w:hAnsi="Arial"/>
          <w:sz w:val="22"/>
          <w:szCs w:val="22"/>
        </w:rPr>
        <w:t xml:space="preserve">). BLAST-based annotation collapses below 30% sequence identity — a physics-like hard limit of alignment-based methods (Steinegger &amp; Söding 2018).</w:t>
      </w:r>
    </w:p>
    <w:p>
      <w:pPr>
        <w:spacing w:after="40" w:before="40"/>
        <w:ind w:left="720" w:hanging="360"/>
      </w:pPr>
      <w:r>
        <w:rPr>
          <w:rFonts w:ascii="Arial" w:cs="Arial" w:eastAsia="Arial" w:hAnsi="Arial"/>
          <w:b/>
          <w:bCs/>
          <w:sz w:val="22"/>
          <w:szCs w:val="22"/>
        </w:rPr>
        <w:t xml:space="preserve">The Compositionality Violation</w:t>
      </w:r>
      <w:r>
        <w:rPr>
          <w:rFonts w:ascii="Arial" w:cs="Arial" w:eastAsia="Arial" w:hAnsi="Arial"/>
          <w:sz w:val="22"/>
          <w:szCs w:val="22"/>
        </w:rPr>
        <w:t xml:space="preserve">: Standard statistical methods (DESeq2, LEfSe, PERMANOVA on Bray-Curtis) are mathematically incorrect for relative abundance data (Gloor et al. 2017; Nearing et al. 2022 found &lt;25% concordance between 14 differential abundance methods across 38 datasets). This is not a tuning problem — it is a structural error in the mathematical framework.</w:t>
      </w:r>
    </w:p>
    <w:p>
      <w:pPr>
        <w:spacing w:after="40" w:before="40"/>
        <w:ind w:left="720" w:hanging="360"/>
      </w:pPr>
      <w:r>
        <w:rPr>
          <w:rFonts w:ascii="Arial" w:cs="Arial" w:eastAsia="Arial" w:hAnsi="Arial"/>
          <w:b/>
          <w:bCs/>
          <w:sz w:val="22"/>
          <w:szCs w:val="22"/>
        </w:rPr>
        <w:t xml:space="preserve">The Polygenic Prediction Wall</w:t>
      </w:r>
      <w:r>
        <w:rPr>
          <w:rFonts w:ascii="Arial" w:cs="Arial" w:eastAsia="Arial" w:hAnsi="Arial"/>
          <w:sz w:val="22"/>
          <w:szCs w:val="22"/>
        </w:rPr>
        <w:t xml:space="preserve">: Rule-based phenotype prediction works for single-gene traits (antibiotic resistance, spore formation) but fails for polygenic traits requiring gene interaction networks (Karlsen et al. 2023, </w:t>
      </w:r>
      <w:r>
        <w:rPr>
          <w:rFonts w:ascii="Arial" w:cs="Arial" w:eastAsia="Arial" w:hAnsi="Arial"/>
          <w:i/>
          <w:iCs/>
          <w:sz w:val="22"/>
          <w:szCs w:val="22"/>
        </w:rPr>
        <w:t xml:space="preserve">FEMS Microbiology Reviews</w:t>
      </w:r>
      <w:r>
        <w:rPr>
          <w:rFonts w:ascii="Arial" w:cs="Arial" w:eastAsia="Arial" w:hAnsi="Arial"/>
          <w:sz w:val="22"/>
          <w:szCs w:val="22"/>
        </w:rPr>
        <w:t xml:space="preserve">). Nearest-neighbor assignment from genotype ignores epistatic context (Brbić et al. 2022).</w:t>
      </w:r>
    </w:p>
    <w:p>
      <w:pPr>
        <w:spacing w:after="60" w:before="60"/>
      </w:pPr>
      <w:r>
        <w:rPr>
          <w:rFonts w:ascii="Arial" w:cs="Arial" w:eastAsia="Arial" w:hAnsi="Arial"/>
          <w:b/>
          <w:bCs/>
          <w:sz w:val="22"/>
          <w:szCs w:val="22"/>
        </w:rPr>
        <w:t xml:space="preserve">AI methods bypass these ceilings</w:t>
      </w:r>
      <w:r>
        <w:rPr>
          <w:rFonts w:ascii="Arial" w:cs="Arial" w:eastAsia="Arial" w:hAnsi="Arial"/>
          <w:sz w:val="22"/>
          <w:szCs w:val="22"/>
        </w:rPr>
        <w:t xml:space="preserve"> not by doing the same computation more efficiently, but by operating in fundamentally different mathematical spaces — learned embeddings instead of alignment scores, distribution-aware models instead of independence-assuming statistics, representation learning instead of lookup tables.</w:t>
      </w:r>
    </w:p>
    <w:p>
      <w:pPr>
        <w:pBdr>
          <w:bottom w:val="single" w:color="CCCCCC" w:sz="1" w:space="1"/>
        </w:pBdr>
        <w:spacing w:after="200" w:before="200"/>
      </w:pPr>
    </w:p>
    <w:p>
      <w:pPr>
        <w:pStyle w:val="Heading2"/>
        <w:spacing w:after="200" w:before="360"/>
      </w:pPr>
      <w:r>
        <w:rPr>
          <w:rFonts w:ascii="Arial" w:cs="Arial" w:eastAsia="Arial" w:hAnsi="Arial"/>
        </w:rPr>
        <w:t xml:space="preserve">3. The Paradigm Shift: Why This Isn't Just "Better Tools"</w:t>
      </w:r>
    </w:p>
    <w:p>
      <w:pPr>
        <w:pStyle w:val="Heading3"/>
        <w:spacing w:after="120" w:before="240"/>
      </w:pPr>
      <w:r>
        <w:rPr>
          <w:rFonts w:ascii="Arial" w:cs="Arial" w:eastAsia="Arial" w:hAnsi="Arial"/>
        </w:rPr>
        <w:t xml:space="preserve">3.1 Three Levels of AI Advantage (after Birhane et al. 2023)</w:t>
      </w:r>
    </w:p>
    <w:p>
      <w:pPr>
        <w:spacing w:after="60" w:before="60"/>
      </w:pPr>
      <w:r>
        <w:rPr>
          <w:rFonts w:ascii="Arial" w:cs="Arial" w:eastAsia="Arial" w:hAnsi="Arial"/>
          <w:sz w:val="22"/>
          <w:szCs w:val="22"/>
        </w:rPr>
        <w:t xml:space="preserve">Following the framework proposed in </w:t>
      </w:r>
      <w:r>
        <w:rPr>
          <w:rFonts w:ascii="Arial" w:cs="Arial" w:eastAsia="Arial" w:hAnsi="Arial"/>
          <w:i/>
          <w:iCs/>
          <w:sz w:val="22"/>
          <w:szCs w:val="22"/>
        </w:rPr>
        <w:t xml:space="preserve">Nature Reviews Physics</w:t>
      </w:r>
      <w:r>
        <w:rPr>
          <w:rFonts w:ascii="Arial" w:cs="Arial" w:eastAsia="Arial" w:hAnsi="Arial"/>
          <w:sz w:val="22"/>
          <w:szCs w:val="22"/>
        </w:rPr>
        <w:t xml:space="preserve"> (Birhane et al. 2023), AI advantage in scientific research operates at three distinct levels:</w:t>
      </w:r>
    </w:p>
    <w:p>
      <w:pPr>
        <w:spacing w:after="60" w:before="60"/>
      </w:pPr>
      <w:r>
        <w:rPr>
          <w:rFonts w:ascii="Arial" w:cs="Arial" w:eastAsia="Arial" w:hAnsi="Arial"/>
          <w:b/>
          <w:bCs/>
          <w:sz w:val="22"/>
          <w:szCs w:val="22"/>
        </w:rPr>
        <w:t xml:space="preserve">Level 1 — Throughput Amplification</w:t>
      </w:r>
      <w:r>
        <w:rPr>
          <w:rFonts w:ascii="Arial" w:cs="Arial" w:eastAsia="Arial" w:hAnsi="Arial"/>
          <w:sz w:val="22"/>
          <w:szCs w:val="22"/>
        </w:rPr>
        <w:t xml:space="preserve">: AI does the same thing faster or cheaper.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Example: ML-based taxonomic classification in seconds vs. hours for assembly-based approaches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Metric: Speed ratio, cost per sample analyzed</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Grant significance: Moderate (necessary but not sufficient for competitive proposals)</w:t>
      </w:r>
    </w:p>
    <w:p>
      <w:pPr>
        <w:spacing w:after="60" w:before="60"/>
      </w:pPr>
      <w:r>
        <w:rPr>
          <w:rFonts w:ascii="Arial" w:cs="Arial" w:eastAsia="Arial" w:hAnsi="Arial"/>
          <w:b/>
          <w:bCs/>
          <w:sz w:val="22"/>
          <w:szCs w:val="22"/>
        </w:rPr>
        <w:t xml:space="preserve">Level 2 — Quality Enhancement</w:t>
      </w:r>
      <w:r>
        <w:rPr>
          <w:rFonts w:ascii="Arial" w:cs="Arial" w:eastAsia="Arial" w:hAnsi="Arial"/>
          <w:sz w:val="22"/>
          <w:szCs w:val="22"/>
        </w:rPr>
        <w:t xml:space="preserve">: AI does existing tasks more accurately.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Example: Taxometer improves species-level classification by 15–25% over Kraken2 (Lamurias et al. 2024); SemiBin2 recovers 9–33% more MAGs than MetaBAT2 (Pan et al. 2023)</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Metric: Accuracy delta, precision/recall improvement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Grant significance: High (directly quantifiable, peer-reviewable)</w:t>
      </w:r>
    </w:p>
    <w:p>
      <w:pPr>
        <w:spacing w:after="60" w:before="60"/>
      </w:pPr>
      <w:r>
        <w:rPr>
          <w:rFonts w:ascii="Arial" w:cs="Arial" w:eastAsia="Arial" w:hAnsi="Arial"/>
          <w:b/>
          <w:bCs/>
          <w:sz w:val="22"/>
          <w:szCs w:val="22"/>
        </w:rPr>
        <w:t xml:space="preserve">Level 3 — Capability Expansion</w:t>
      </w:r>
      <w:r>
        <w:rPr>
          <w:rFonts w:ascii="Arial" w:cs="Arial" w:eastAsia="Arial" w:hAnsi="Arial"/>
          <w:sz w:val="22"/>
          <w:szCs w:val="22"/>
        </w:rPr>
        <w:t xml:space="preserve">: AI enables analyses that were structurally impossible before.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Example: Functional annotation of proteins with &lt;30% identity to any known protein (ESM-2, AnnoPRO); phenotype prediction for uncultured organisms; subcommunity detection via neural embeddings revealing patterns invisible to ordination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Metric: Novel discovery rate, knowledge frontier expansion, dark matter annotation fraction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Grant significance: Highest (this is what separates transformative proposals from incremental ones)</w:t>
      </w:r>
    </w:p>
    <w:p>
      <w:pPr>
        <w:pStyle w:val="Heading3"/>
        <w:spacing w:after="120" w:before="240"/>
      </w:pPr>
      <w:r>
        <w:rPr>
          <w:rFonts w:ascii="Arial" w:cs="Arial" w:eastAsia="Arial" w:hAnsi="Arial"/>
        </w:rPr>
        <w:t xml:space="preserve">3.2 The Epistemological Shift</w:t>
      </w:r>
    </w:p>
    <w:p>
      <w:pPr>
        <w:spacing w:after="60" w:before="60"/>
      </w:pPr>
      <w:r>
        <w:rPr>
          <w:rFonts w:ascii="Arial" w:cs="Arial" w:eastAsia="Arial" w:hAnsi="Arial"/>
          <w:sz w:val="22"/>
          <w:szCs w:val="22"/>
        </w:rPr>
        <w:t xml:space="preserve">Traditional metagenomics asks: </w:t>
      </w:r>
      <w:r>
        <w:rPr>
          <w:rFonts w:ascii="Arial" w:cs="Arial" w:eastAsia="Arial" w:hAnsi="Arial"/>
          <w:b/>
          <w:bCs/>
          <w:sz w:val="22"/>
          <w:szCs w:val="22"/>
        </w:rPr>
        <w:t xml:space="preserve">"What organisms are here, and what known functions do their genes encode?"</w:t>
      </w:r>
      <w:r>
        <w:rPr>
          <w:rFonts w:ascii="Arial" w:cs="Arial" w:eastAsia="Arial" w:hAnsi="Arial"/>
          <w:sz w:val="22"/>
          <w:szCs w:val="22"/>
        </w:rPr>
        <w:t xml:space="preserve"> This is fundamentally a </w:t>
      </w:r>
      <w:r>
        <w:rPr>
          <w:rFonts w:ascii="Arial" w:cs="Arial" w:eastAsia="Arial" w:hAnsi="Arial"/>
          <w:i/>
          <w:iCs/>
          <w:sz w:val="22"/>
          <w:szCs w:val="22"/>
        </w:rPr>
        <w:t xml:space="preserve">lookup</w:t>
      </w:r>
      <w:r>
        <w:rPr>
          <w:rFonts w:ascii="Arial" w:cs="Arial" w:eastAsia="Arial" w:hAnsi="Arial"/>
          <w:sz w:val="22"/>
          <w:szCs w:val="22"/>
        </w:rPr>
        <w:t xml:space="preserve"> operation — matching observations against a reference catalogue.</w:t>
      </w:r>
    </w:p>
    <w:p>
      <w:pPr>
        <w:spacing w:after="60" w:before="60"/>
      </w:pPr>
      <w:r>
        <w:rPr>
          <w:rFonts w:ascii="Arial" w:cs="Arial" w:eastAsia="Arial" w:hAnsi="Arial"/>
          <w:sz w:val="22"/>
          <w:szCs w:val="22"/>
        </w:rPr>
        <w:t xml:space="preserve">AI-enhanced metagenomics asks: </w:t>
      </w:r>
      <w:r>
        <w:rPr>
          <w:rFonts w:ascii="Arial" w:cs="Arial" w:eastAsia="Arial" w:hAnsi="Arial"/>
          <w:b/>
          <w:bCs/>
          <w:sz w:val="22"/>
          <w:szCs w:val="22"/>
        </w:rPr>
        <w:t xml:space="preserve">"What latent structure exists in this data, and what does it predict about emergent biological behavior?"</w:t>
      </w:r>
      <w:r>
        <w:rPr>
          <w:rFonts w:ascii="Arial" w:cs="Arial" w:eastAsia="Arial" w:hAnsi="Arial"/>
          <w:sz w:val="22"/>
          <w:szCs w:val="22"/>
        </w:rPr>
        <w:t xml:space="preserve"> This is fundamentally an </w:t>
      </w:r>
      <w:r>
        <w:rPr>
          <w:rFonts w:ascii="Arial" w:cs="Arial" w:eastAsia="Arial" w:hAnsi="Arial"/>
          <w:i/>
          <w:iCs/>
          <w:sz w:val="22"/>
          <w:szCs w:val="22"/>
        </w:rPr>
        <w:t xml:space="preserve">inference</w:t>
      </w:r>
      <w:r>
        <w:rPr>
          <w:rFonts w:ascii="Arial" w:cs="Arial" w:eastAsia="Arial" w:hAnsi="Arial"/>
          <w:sz w:val="22"/>
          <w:szCs w:val="22"/>
        </w:rPr>
        <w:t xml:space="preserve"> operation — learning patterns that generalize beyond the training set.</w:t>
      </w:r>
    </w:p>
    <w:p>
      <w:pPr>
        <w:spacing w:after="60" w:before="60"/>
      </w:pPr>
      <w:r>
        <w:rPr>
          <w:rFonts w:ascii="Arial" w:cs="Arial" w:eastAsia="Arial" w:hAnsi="Arial"/>
          <w:sz w:val="22"/>
          <w:szCs w:val="22"/>
        </w:rPr>
        <w:t xml:space="preserve">This distinction is critical for the grant proposal because the GENESIS FOA frames the question as "what can AI do that wasn't possible before?" (capability expansion), not merely "what can AI do faster?" (throughput amplification). Reviewers who sit on ASCR-BER panels (January 2026 Workshop Report participants) are looking for Level 3 arguments.</w:t>
      </w:r>
    </w:p>
    <w:p>
      <w:pPr>
        <w:pBdr>
          <w:bottom w:val="single" w:color="CCCCCC" w:sz="1" w:space="1"/>
        </w:pBdr>
        <w:spacing w:after="200" w:before="200"/>
      </w:pPr>
    </w:p>
    <w:p>
      <w:pPr>
        <w:pStyle w:val="Heading2"/>
        <w:spacing w:after="200" w:before="360"/>
      </w:pPr>
      <w:r>
        <w:rPr>
          <w:rFonts w:ascii="Arial" w:cs="Arial" w:eastAsia="Arial" w:hAnsi="Arial"/>
        </w:rPr>
        <w:t xml:space="preserve">4. Comparative Testing Workflow Design</w:t>
      </w:r>
    </w:p>
    <w:p>
      <w:pPr>
        <w:pStyle w:val="Heading3"/>
        <w:spacing w:after="120" w:before="240"/>
      </w:pPr>
      <w:r>
        <w:rPr>
          <w:rFonts w:ascii="Arial" w:cs="Arial" w:eastAsia="Arial" w:hAnsi="Arial"/>
        </w:rPr>
        <w:t xml:space="preserve">4.1 Overall Architecture</w:t>
      </w:r>
    </w:p>
    <w:p>
      <w:pPr>
        <w:spacing w:after="60" w:before="60"/>
      </w:pPr>
      <w:r>
        <w:rPr>
          <w:rFonts w:ascii="Arial" w:cs="Arial" w:eastAsia="Arial" w:hAnsi="Arial"/>
          <w:sz w:val="22"/>
          <w:szCs w:val="22"/>
        </w:rPr>
        <w:t xml:space="preserve">The workflow is designed as a series of </w:t>
      </w:r>
      <w:r>
        <w:rPr>
          <w:rFonts w:ascii="Arial" w:cs="Arial" w:eastAsia="Arial" w:hAnsi="Arial"/>
          <w:b/>
          <w:bCs/>
          <w:sz w:val="22"/>
          <w:szCs w:val="22"/>
        </w:rPr>
        <w:t xml:space="preserve">controlled head-to-head comparisons</w:t>
      </w:r>
      <w:r>
        <w:rPr>
          <w:rFonts w:ascii="Arial" w:cs="Arial" w:eastAsia="Arial" w:hAnsi="Arial"/>
          <w:sz w:val="22"/>
          <w:szCs w:val="22"/>
        </w:rPr>
        <w:t xml:space="preserve"> across the five dimensions, using shared benchmark datasets and a standardized evaluation framework.</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     SHARED INPUT DATASETS        │</w:t>
      </w:r>
    </w:p>
    <w:p>
      <w:pPr>
        <w:shd w:fill="F4F4F4" w:val="clear"/>
        <w:spacing w:after="20" w:before="20"/>
        <w:ind w:left="360"/>
      </w:pPr>
      <w:r>
        <w:rPr>
          <w:rFonts w:ascii="Courier New" w:cs="Courier New" w:eastAsia="Courier New" w:hAnsi="Courier New"/>
          <w:color w:val="2C3E50"/>
          <w:sz w:val="18"/>
          <w:szCs w:val="18"/>
        </w:rPr>
        <w:t xml:space="preserve">                    │  (CAMI II/III, EMP, NMDC, HMP2)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  TRADITIONAL    │  │  AI-ENHANCED │  │  HYBRID       │</w:t>
      </w:r>
    </w:p>
    <w:p>
      <w:pPr>
        <w:shd w:fill="F4F4F4" w:val="clear"/>
        <w:spacing w:after="20" w:before="20"/>
        <w:ind w:left="360"/>
      </w:pPr>
      <w:r>
        <w:rPr>
          <w:rFonts w:ascii="Courier New" w:cs="Courier New" w:eastAsia="Courier New" w:hAnsi="Courier New"/>
          <w:color w:val="2C3E50"/>
          <w:sz w:val="18"/>
          <w:szCs w:val="18"/>
        </w:rPr>
        <w:t xml:space="preserve">     │  PIPELINE       │  │  PIPELINE    │  │  PIPELINE     │</w:t>
      </w:r>
    </w:p>
    <w:p>
      <w:pPr>
        <w:shd w:fill="F4F4F4" w:val="clear"/>
        <w:spacing w:after="20" w:before="20"/>
        <w:ind w:left="360"/>
      </w:pPr>
      <w:r>
        <w:rPr>
          <w:rFonts w:ascii="Courier New" w:cs="Courier New" w:eastAsia="Courier New" w:hAnsi="Courier New"/>
          <w:color w:val="2C3E50"/>
          <w:sz w:val="18"/>
          <w:szCs w:val="18"/>
        </w:rPr>
        <w:t xml:space="preserve">     │                 │  │              │  │  (AI+Trad)    │</w:t>
      </w:r>
    </w:p>
    <w:p>
      <w:pPr>
        <w:shd w:fill="F4F4F4" w:val="clear"/>
        <w:spacing w:after="20" w:before="20"/>
        <w:ind w:left="360"/>
      </w:pPr>
      <w:r>
        <w:rPr>
          <w:rFonts w:ascii="Courier New" w:cs="Courier New" w:eastAsia="Courier New" w:hAnsi="Courier New"/>
          <w:color w:val="2C3E50"/>
          <w:sz w:val="18"/>
          <w:szCs w:val="18"/>
        </w:rPr>
        <w:t xml:space="preserve">     │ Kraken2         │  │ Taxometer    │  │ Best of both  │</w:t>
      </w:r>
    </w:p>
    <w:p>
      <w:pPr>
        <w:shd w:fill="F4F4F4" w:val="clear"/>
        <w:spacing w:after="20" w:before="20"/>
        <w:ind w:left="360"/>
      </w:pPr>
      <w:r>
        <w:rPr>
          <w:rFonts w:ascii="Courier New" w:cs="Courier New" w:eastAsia="Courier New" w:hAnsi="Courier New"/>
          <w:color w:val="2C3E50"/>
          <w:sz w:val="18"/>
          <w:szCs w:val="18"/>
        </w:rPr>
        <w:t xml:space="preserve">     │ MetaPhlAn 4     │  │ COMEBin      │  │ (ablation)    │</w:t>
      </w:r>
    </w:p>
    <w:p>
      <w:pPr>
        <w:shd w:fill="F4F4F4" w:val="clear"/>
        <w:spacing w:after="20" w:before="20"/>
        <w:ind w:left="360"/>
      </w:pPr>
      <w:r>
        <w:rPr>
          <w:rFonts w:ascii="Courier New" w:cs="Courier New" w:eastAsia="Courier New" w:hAnsi="Courier New"/>
          <w:color w:val="2C3E50"/>
          <w:sz w:val="18"/>
          <w:szCs w:val="18"/>
        </w:rPr>
        <w:t xml:space="preserve">     │ DIAMOND+KEGG    │  │ ESM-2/Anno   │  │               │</w:t>
      </w:r>
    </w:p>
    <w:p>
      <w:pPr>
        <w:shd w:fill="F4F4F4" w:val="clear"/>
        <w:spacing w:after="20" w:before="20"/>
        <w:ind w:left="360"/>
      </w:pPr>
      <w:r>
        <w:rPr>
          <w:rFonts w:ascii="Courier New" w:cs="Courier New" w:eastAsia="Courier New" w:hAnsi="Courier New"/>
          <w:color w:val="2C3E50"/>
          <w:sz w:val="18"/>
          <w:szCs w:val="18"/>
        </w:rPr>
        <w:t xml:space="preserve">     │ MetaBAT2        │  │ PRO          │  │               │</w:t>
      </w:r>
    </w:p>
    <w:p>
      <w:pPr>
        <w:shd w:fill="F4F4F4" w:val="clear"/>
        <w:spacing w:after="20" w:before="20"/>
        <w:ind w:left="360"/>
      </w:pPr>
      <w:r>
        <w:rPr>
          <w:rFonts w:ascii="Courier New" w:cs="Courier New" w:eastAsia="Courier New" w:hAnsi="Courier New"/>
          <w:color w:val="2C3E50"/>
          <w:sz w:val="18"/>
          <w:szCs w:val="18"/>
        </w:rPr>
        <w:t xml:space="preserve">     │ DESeq2/LEfSe    │  │ Koblitz RF   │  │               │</w:t>
      </w:r>
    </w:p>
    <w:p>
      <w:pPr>
        <w:shd w:fill="F4F4F4" w:val="clear"/>
        <w:spacing w:after="20" w:before="20"/>
        <w:ind w:left="360"/>
      </w:pPr>
      <w:r>
        <w:rPr>
          <w:rFonts w:ascii="Courier New" w:cs="Courier New" w:eastAsia="Courier New" w:hAnsi="Courier New"/>
          <w:color w:val="2C3E50"/>
          <w:sz w:val="18"/>
          <w:szCs w:val="18"/>
        </w:rPr>
        <w:t xml:space="preserve">     │ Manual curation │  │ LLM curation │  │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                │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w:t>
      </w:r>
    </w:p>
    <w:p>
      <w:pPr>
        <w:shd w:fill="F4F4F4" w:val="clear"/>
        <w:spacing w:after="20" w:before="20"/>
        <w:ind w:left="360"/>
      </w:pPr>
      <w:r>
        <w:rPr>
          <w:rFonts w:ascii="Courier New" w:cs="Courier New" w:eastAsia="Courier New" w:hAnsi="Courier New"/>
          <w:color w:val="2C3E50"/>
          <w:sz w:val="18"/>
          <w:szCs w:val="18"/>
        </w:rPr>
        <w:t xml:space="preserve">                    │    UNIFIED EVALUATION FRAMEWORK   │</w:t>
      </w:r>
    </w:p>
    <w:p>
      <w:pPr>
        <w:shd w:fill="F4F4F4" w:val="clear"/>
        <w:spacing w:after="20" w:before="20"/>
        <w:ind w:left="360"/>
      </w:pPr>
      <w:r>
        <w:rPr>
          <w:rFonts w:ascii="Courier New" w:cs="Courier New" w:eastAsia="Courier New" w:hAnsi="Courier New"/>
          <w:color w:val="2C3E50"/>
          <w:sz w:val="18"/>
          <w:szCs w:val="18"/>
        </w:rPr>
        <w:t xml:space="preserve">                    │                                   │</w:t>
      </w:r>
    </w:p>
    <w:p>
      <w:pPr>
        <w:shd w:fill="F4F4F4" w:val="clear"/>
        <w:spacing w:after="20" w:before="20"/>
        <w:ind w:left="360"/>
      </w:pPr>
      <w:r>
        <w:rPr>
          <w:rFonts w:ascii="Courier New" w:cs="Courier New" w:eastAsia="Courier New" w:hAnsi="Courier New"/>
          <w:color w:val="2C3E50"/>
          <w:sz w:val="18"/>
          <w:szCs w:val="18"/>
        </w:rPr>
        <w:t xml:space="preserve">                    │  Per-dimension metrics (D1–D5)    │</w:t>
      </w:r>
    </w:p>
    <w:p>
      <w:pPr>
        <w:shd w:fill="F4F4F4" w:val="clear"/>
        <w:spacing w:after="20" w:before="20"/>
        <w:ind w:left="360"/>
      </w:pPr>
      <w:r>
        <w:rPr>
          <w:rFonts w:ascii="Courier New" w:cs="Courier New" w:eastAsia="Courier New" w:hAnsi="Courier New"/>
          <w:color w:val="2C3E50"/>
          <w:sz w:val="18"/>
          <w:szCs w:val="18"/>
        </w:rPr>
        <w:t xml:space="preserve">                    │  Cross-dimension composite score  │</w:t>
      </w:r>
    </w:p>
    <w:p>
      <w:pPr>
        <w:shd w:fill="F4F4F4" w:val="clear"/>
        <w:spacing w:after="20" w:before="20"/>
        <w:ind w:left="360"/>
      </w:pPr>
      <w:r>
        <w:rPr>
          <w:rFonts w:ascii="Courier New" w:cs="Courier New" w:eastAsia="Courier New" w:hAnsi="Courier New"/>
          <w:color w:val="2C3E50"/>
          <w:sz w:val="18"/>
          <w:szCs w:val="18"/>
        </w:rPr>
        <w:t xml:space="preserve">                    │  Novel discovery audit            │</w:t>
      </w:r>
    </w:p>
    <w:p>
      <w:pPr>
        <w:shd w:fill="F4F4F4" w:val="clear"/>
        <w:spacing w:after="20" w:before="20"/>
        <w:ind w:left="360"/>
      </w:pPr>
      <w:r>
        <w:rPr>
          <w:rFonts w:ascii="Courier New" w:cs="Courier New" w:eastAsia="Courier New" w:hAnsi="Courier New"/>
          <w:color w:val="2C3E50"/>
          <w:sz w:val="18"/>
          <w:szCs w:val="18"/>
        </w:rPr>
        <w:t xml:space="preserve">                    │  Human expert validation panel    │</w:t>
      </w:r>
    </w:p>
    <w:p>
      <w:pPr>
        <w:shd w:fill="F4F4F4" w:val="clear"/>
        <w:spacing w:after="20" w:before="20"/>
        <w:ind w:left="360"/>
      </w:pPr>
      <w:r>
        <w:rPr>
          <w:rFonts w:ascii="Courier New" w:cs="Courier New" w:eastAsia="Courier New" w:hAnsi="Courier New"/>
          <w:color w:val="2C3E50"/>
          <w:sz w:val="18"/>
          <w:szCs w:val="18"/>
        </w:rPr>
        <w:t xml:space="preserve">                    └──────────────────────────────────┘</w:t>
      </w:r>
    </w:p>
    <w:p>
      <w:pPr>
        <w:spacing w:after="80"/>
      </w:pPr>
    </w:p>
    <w:p>
      <w:pPr>
        <w:pStyle w:val="Heading3"/>
        <w:spacing w:after="120" w:before="240"/>
      </w:pPr>
      <w:r>
        <w:rPr>
          <w:rFonts w:ascii="Arial" w:cs="Arial" w:eastAsia="Arial" w:hAnsi="Arial"/>
        </w:rPr>
        <w:t xml:space="preserve">4.2 The Three-Arm Design</w:t>
      </w:r>
    </w:p>
    <w:p>
      <w:pPr>
        <w:spacing w:after="60" w:before="60"/>
      </w:pPr>
      <w:r>
        <w:rPr>
          <w:rFonts w:ascii="Arial" w:cs="Arial" w:eastAsia="Arial" w:hAnsi="Arial"/>
          <w:sz w:val="22"/>
          <w:szCs w:val="22"/>
        </w:rPr>
        <w:t xml:space="preserve">The inclusion of a </w:t>
      </w:r>
      <w:r>
        <w:rPr>
          <w:rFonts w:ascii="Arial" w:cs="Arial" w:eastAsia="Arial" w:hAnsi="Arial"/>
          <w:b/>
          <w:bCs/>
          <w:sz w:val="22"/>
          <w:szCs w:val="22"/>
        </w:rPr>
        <w:t xml:space="preserve">Hybrid pipeline</w:t>
      </w:r>
      <w:r>
        <w:rPr>
          <w:rFonts w:ascii="Arial" w:cs="Arial" w:eastAsia="Arial" w:hAnsi="Arial"/>
          <w:sz w:val="22"/>
          <w:szCs w:val="22"/>
        </w:rPr>
        <w:t xml:space="preserve"> (arm 3) is strategically important. It allows:</w:t>
      </w:r>
    </w:p>
    <w:p>
      <w:pPr>
        <w:spacing w:after="40" w:before="40"/>
        <w:ind w:left="720" w:hanging="360"/>
      </w:pPr>
      <w:r>
        <w:rPr>
          <w:rFonts w:ascii="Arial" w:cs="Arial" w:eastAsia="Arial" w:hAnsi="Arial"/>
          <w:b/>
          <w:bCs/>
          <w:sz w:val="22"/>
          <w:szCs w:val="22"/>
        </w:rPr>
        <w:t xml:space="preserve">Ablation analysis</w:t>
      </w:r>
      <w:r>
        <w:rPr>
          <w:rFonts w:ascii="Arial" w:cs="Arial" w:eastAsia="Arial" w:hAnsi="Arial"/>
          <w:sz w:val="22"/>
          <w:szCs w:val="22"/>
        </w:rPr>
        <w:t xml:space="preserve">: Which specific AI components contribute the most improvement?</w:t>
      </w:r>
    </w:p>
    <w:p>
      <w:pPr>
        <w:spacing w:after="40" w:before="40"/>
        <w:ind w:left="720" w:hanging="360"/>
      </w:pPr>
      <w:r>
        <w:rPr>
          <w:rFonts w:ascii="Arial" w:cs="Arial" w:eastAsia="Arial" w:hAnsi="Arial"/>
          <w:b/>
          <w:bCs/>
          <w:sz w:val="22"/>
          <w:szCs w:val="22"/>
        </w:rPr>
        <w:t xml:space="preserve">Practical guidance</w:t>
      </w:r>
      <w:r>
        <w:rPr>
          <w:rFonts w:ascii="Arial" w:cs="Arial" w:eastAsia="Arial" w:hAnsi="Arial"/>
          <w:sz w:val="22"/>
          <w:szCs w:val="22"/>
        </w:rPr>
        <w:t xml:space="preserve">: What is the minimum AI integration needed for meaningful gain?</w:t>
      </w:r>
    </w:p>
    <w:p>
      <w:pPr>
        <w:spacing w:after="40" w:before="40"/>
        <w:ind w:left="720" w:hanging="360"/>
      </w:pPr>
      <w:r>
        <w:rPr>
          <w:rFonts w:ascii="Arial" w:cs="Arial" w:eastAsia="Arial" w:hAnsi="Arial"/>
          <w:b/>
          <w:bCs/>
          <w:sz w:val="22"/>
          <w:szCs w:val="22"/>
        </w:rPr>
        <w:t xml:space="preserve">Reviewer credibility</w:t>
      </w:r>
      <w:r>
        <w:rPr>
          <w:rFonts w:ascii="Arial" w:cs="Arial" w:eastAsia="Arial" w:hAnsi="Arial"/>
          <w:sz w:val="22"/>
          <w:szCs w:val="22"/>
        </w:rPr>
        <w:t xml:space="preserve">: Shows the study isn't advocating "AI replaces everything" but rather identifying where AI adds the most value</w:t>
      </w:r>
    </w:p>
    <w:p>
      <w:pPr>
        <w:pStyle w:val="Heading3"/>
        <w:spacing w:after="120" w:before="240"/>
      </w:pPr>
      <w:r>
        <w:rPr>
          <w:rFonts w:ascii="Arial" w:cs="Arial" w:eastAsia="Arial" w:hAnsi="Arial"/>
        </w:rPr>
        <w:t xml:space="preserve">4.3 Workflow Phases</w:t>
      </w:r>
    </w:p>
    <w:p>
      <w:pPr>
        <w:spacing w:after="60" w:before="60"/>
      </w:pPr>
      <w:r>
        <w:rPr>
          <w:rFonts w:ascii="Arial" w:cs="Arial" w:eastAsia="Arial" w:hAnsi="Arial"/>
          <w:b/>
          <w:bCs/>
          <w:sz w:val="22"/>
          <w:szCs w:val="22"/>
        </w:rPr>
        <w:t xml:space="preserve">Phase 0: Dataset Preparation and Standardization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Acquire benchmark datasets (CAMI II ground truth, EMP cross-biome, NMDC standardized metagenomes)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Standardize input formats (FASTQ, assembled contigs, protein ORFs)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Establish blind evaluation sets (samples withheld from all training)</w:t>
      </w:r>
    </w:p>
    <w:p>
      <w:pPr>
        <w:spacing w:after="60" w:before="60"/>
      </w:pPr>
      <w:r>
        <w:rPr>
          <w:rFonts w:ascii="Arial" w:cs="Arial" w:eastAsia="Arial" w:hAnsi="Arial"/>
          <w:b/>
          <w:bCs/>
          <w:sz w:val="22"/>
          <w:szCs w:val="22"/>
        </w:rPr>
        <w:t xml:space="preserve">Phase 1: Per-Dimension Head-to-Head (D1–D5)</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Run traditional and AI pipelines on identical inputs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Collect all metrics per dimension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Human expert panel evaluates biological plausibility of outputs</w:t>
      </w:r>
    </w:p>
    <w:p>
      <w:pPr>
        <w:spacing w:after="60" w:before="60"/>
      </w:pPr>
      <w:r>
        <w:rPr>
          <w:rFonts w:ascii="Arial" w:cs="Arial" w:eastAsia="Arial" w:hAnsi="Arial"/>
          <w:b/>
          <w:bCs/>
          <w:sz w:val="22"/>
          <w:szCs w:val="22"/>
        </w:rPr>
        <w:t xml:space="preserve">Phase 2: Cross-Dimension Integration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Compute composite AI Advantage scores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Identify interactions (e.g., better annotation → better phenotype prediction)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Ablation analysis via Hybrid arm</w:t>
      </w:r>
    </w:p>
    <w:p>
      <w:pPr>
        <w:spacing w:after="60" w:before="60"/>
      </w:pPr>
      <w:r>
        <w:rPr>
          <w:rFonts w:ascii="Arial" w:cs="Arial" w:eastAsia="Arial" w:hAnsi="Arial"/>
          <w:b/>
          <w:bCs/>
          <w:sz w:val="22"/>
          <w:szCs w:val="22"/>
        </w:rPr>
        <w:t xml:space="preserve">Phase 3: Novel Discovery Audit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Identify predictions made by AI pipelines that traditional pipelines could not make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Subset to experimentally validatable predictions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Validate a random sample (e.g., phenotype predictions via wet lab assays)</w:t>
      </w:r>
    </w:p>
    <w:p>
      <w:pPr>
        <w:spacing w:after="60" w:before="60"/>
      </w:pPr>
      <w:r>
        <w:rPr>
          <w:rFonts w:ascii="Arial" w:cs="Arial" w:eastAsia="Arial" w:hAnsi="Arial"/>
          <w:b/>
          <w:bCs/>
          <w:sz w:val="22"/>
          <w:szCs w:val="22"/>
        </w:rPr>
        <w:t xml:space="preserve">Phase 4: Generalizability Assessment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Test on held-out environment types not in training data</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Evaluate performance degradation curves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Assess transfer learning potential across biomes</w:t>
      </w:r>
    </w:p>
    <w:p>
      <w:pPr>
        <w:pBdr>
          <w:bottom w:val="single" w:color="CCCCCC" w:sz="1" w:space="1"/>
        </w:pBdr>
        <w:spacing w:after="200" w:before="200"/>
      </w:pPr>
    </w:p>
    <w:p>
      <w:pPr>
        <w:pStyle w:val="Heading2"/>
        <w:spacing w:after="200" w:before="360"/>
      </w:pPr>
      <w:r>
        <w:rPr>
          <w:rFonts w:ascii="Arial" w:cs="Arial" w:eastAsia="Arial" w:hAnsi="Arial"/>
        </w:rPr>
        <w:t xml:space="preserve">5. Novel Metrics for Quantifying AI Advantage</w:t>
      </w:r>
    </w:p>
    <w:p>
      <w:pPr>
        <w:pStyle w:val="Heading3"/>
        <w:spacing w:after="120" w:before="240"/>
      </w:pPr>
      <w:r>
        <w:rPr>
          <w:rFonts w:ascii="Arial" w:cs="Arial" w:eastAsia="Arial" w:hAnsi="Arial"/>
        </w:rPr>
        <w:t xml:space="preserve">5.1 Design Philosophy</w:t>
      </w:r>
    </w:p>
    <w:p>
      <w:pPr>
        <w:spacing w:after="60" w:before="60"/>
      </w:pPr>
      <w:r>
        <w:rPr>
          <w:rFonts w:ascii="Arial" w:cs="Arial" w:eastAsia="Arial" w:hAnsi="Arial"/>
          <w:sz w:val="22"/>
          <w:szCs w:val="22"/>
        </w:rPr>
        <w:t xml:space="preserve">The GENESIS FOA calls for "creative and insightful metrics of their own design." Standard metrics (accuracy, F1, AUC) are necessary but not sufficient. The following metrics are designed to capture dimensions of AI advantage that standard metrics miss.</w:t>
      </w:r>
    </w:p>
    <w:p>
      <w:pPr>
        <w:pStyle w:val="Heading3"/>
        <w:spacing w:after="120" w:before="240"/>
      </w:pPr>
      <w:r>
        <w:rPr>
          <w:rFonts w:ascii="Arial" w:cs="Arial" w:eastAsia="Arial" w:hAnsi="Arial"/>
        </w:rPr>
        <w:t xml:space="preserve">5.2 Proposed Metrics Suite</w:t>
      </w:r>
    </w:p>
    <w:p>
      <w:pPr>
        <w:pStyle w:val="Heading4"/>
        <w:spacing w:after="120" w:before="240"/>
      </w:pPr>
      <w:r>
        <w:rPr>
          <w:rFonts w:ascii="Arial" w:cs="Arial" w:eastAsia="Arial" w:hAnsi="Arial"/>
        </w:rPr>
        <w:t xml:space="preserve">Metric 1: **Dark Matter Illumination Rate (DMIR)**</w:t>
      </w:r>
    </w:p>
    <w:p>
      <w:pPr>
        <w:spacing w:after="60" w:before="60"/>
      </w:pPr>
      <w:r>
        <w:rPr>
          <w:rFonts w:ascii="Arial" w:cs="Arial" w:eastAsia="Arial" w:hAnsi="Arial"/>
          <w:i/>
          <w:iCs/>
          <w:sz w:val="22"/>
          <w:szCs w:val="22"/>
        </w:rPr>
        <w:t xml:space="preserve">What it measures</w:t>
      </w:r>
      <w:r>
        <w:rPr>
          <w:rFonts w:ascii="Arial" w:cs="Arial" w:eastAsia="Arial" w:hAnsi="Arial"/>
          <w:sz w:val="22"/>
          <w:szCs w:val="22"/>
        </w:rPr>
        <w:t xml:space="preserve">: The fraction of previously unannotatable sequence space that AI methods can functionally characterize.</w:t>
      </w:r>
    </w:p>
    <w:p>
      <w:pPr>
        <w:spacing w:after="60" w:before="60"/>
      </w:pPr>
      <w:r>
        <w:rPr>
          <w:rFonts w:ascii="Arial" w:cs="Arial" w:eastAsia="Arial" w:hAnsi="Arial"/>
          <w:i/>
          <w:i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DMIR = (Proteins annotated by AI but NOT by traditional) / (Total unannotated by traditional)</w:t>
      </w:r>
    </w:p>
    <w:p>
      <w:pPr>
        <w:spacing w:after="80"/>
      </w:pPr>
    </w:p>
    <w:p>
      <w:pPr>
        <w:spacing w:after="60" w:before="60"/>
      </w:pPr>
      <w:r>
        <w:rPr>
          <w:rFonts w:ascii="Arial" w:cs="Arial" w:eastAsia="Arial" w:hAnsi="Arial"/>
          <w:i/>
          <w:iCs/>
          <w:sz w:val="22"/>
          <w:szCs w:val="22"/>
        </w:rPr>
        <w:t xml:space="preserve">Rationale</w:t>
      </w:r>
      <w:r>
        <w:rPr>
          <w:rFonts w:ascii="Arial" w:cs="Arial" w:eastAsia="Arial" w:hAnsi="Arial"/>
          <w:sz w:val="22"/>
          <w:szCs w:val="22"/>
        </w:rPr>
        <w:t xml:space="preserve">: Pavlopoulos et al. (2023) established that 40–60% of environmental metagenomic proteins are "dark matter" — no detectable homology to known functions. Traditional methods structurally cannot annotate these proteins. DMIR measures how much of this dark matter AI illuminates. A DMIR of 0.35 means AI annotates 35% of what traditional methods leave blank.</w:t>
      </w:r>
    </w:p>
    <w:p>
      <w:pPr>
        <w:spacing w:after="60" w:before="60"/>
      </w:pPr>
      <w:r>
        <w:rPr>
          <w:rFonts w:ascii="Arial" w:cs="Arial" w:eastAsia="Arial" w:hAnsi="Arial"/>
          <w:i/>
          <w:iCs/>
          <w:sz w:val="22"/>
          <w:szCs w:val="22"/>
        </w:rPr>
        <w:t xml:space="preserve">Baseline</w:t>
      </w:r>
      <w:r>
        <w:rPr>
          <w:rFonts w:ascii="Arial" w:cs="Arial" w:eastAsia="Arial" w:hAnsi="Arial"/>
          <w:sz w:val="22"/>
          <w:szCs w:val="22"/>
        </w:rPr>
        <w:t xml:space="preserve">: Traditional methods have DMIR = 0 by definition. Maranga et al. (2023) showed GCN+ESM-2 annotations increased coverage by 15–40%; DeepGOMeta (Kulmanov et al. 2024) annotated 35% more ORFs at equivalent precision. Expected AI DMIR range: </w:t>
      </w:r>
      <w:r>
        <w:rPr>
          <w:rFonts w:ascii="Arial" w:cs="Arial" w:eastAsia="Arial" w:hAnsi="Arial"/>
          <w:b/>
          <w:bCs/>
          <w:sz w:val="22"/>
          <w:szCs w:val="22"/>
        </w:rPr>
        <w:t xml:space="preserve">0.15–0.40</w:t>
      </w:r>
      <w:r>
        <w:rPr>
          <w:rFonts w:ascii="Arial" w:cs="Arial" w:eastAsia="Arial" w:hAnsi="Arial"/>
          <w:sz w:val="22"/>
          <w:szCs w:val="22"/>
        </w:rPr>
        <w:t xml:space="preserve">.</w:t>
      </w:r>
    </w:p>
    <w:p>
      <w:pPr>
        <w:spacing w:after="60" w:before="60"/>
      </w:pPr>
      <w:r>
        <w:rPr>
          <w:rFonts w:ascii="Arial" w:cs="Arial" w:eastAsia="Arial" w:hAnsi="Arial"/>
          <w:i/>
          <w:iCs/>
          <w:sz w:val="22"/>
          <w:szCs w:val="22"/>
        </w:rPr>
        <w:t xml:space="preserve">Validation</w:t>
      </w:r>
      <w:r>
        <w:rPr>
          <w:rFonts w:ascii="Arial" w:cs="Arial" w:eastAsia="Arial" w:hAnsi="Arial"/>
          <w:sz w:val="22"/>
          <w:szCs w:val="22"/>
        </w:rPr>
        <w:t xml:space="preserve">: A random sample of AI-only annotations is evaluated by domain experts for biological plausibility and, where possible, by experimental assay.</w:t>
      </w:r>
    </w:p>
    <w:p>
      <w:pPr>
        <w:pBdr>
          <w:bottom w:val="single" w:color="CCCCCC" w:sz="1" w:space="1"/>
        </w:pBdr>
        <w:spacing w:after="200" w:before="200"/>
      </w:pPr>
    </w:p>
    <w:p>
      <w:pPr>
        <w:pStyle w:val="Heading4"/>
        <w:spacing w:after="120" w:before="240"/>
      </w:pPr>
      <w:r>
        <w:rPr>
          <w:rFonts w:ascii="Arial" w:cs="Arial" w:eastAsia="Arial" w:hAnsi="Arial"/>
        </w:rPr>
        <w:t xml:space="preserve">Metric 2: **Phenotypic Prediction Frontier (PPF)**</w:t>
      </w:r>
    </w:p>
    <w:p>
      <w:pPr>
        <w:spacing w:after="60" w:before="60"/>
      </w:pPr>
      <w:r>
        <w:rPr>
          <w:rFonts w:ascii="Arial" w:cs="Arial" w:eastAsia="Arial" w:hAnsi="Arial"/>
          <w:i/>
          <w:iCs/>
          <w:sz w:val="22"/>
          <w:szCs w:val="22"/>
        </w:rPr>
        <w:t xml:space="preserve">What it measures</w:t>
      </w:r>
      <w:r>
        <w:rPr>
          <w:rFonts w:ascii="Arial" w:cs="Arial" w:eastAsia="Arial" w:hAnsi="Arial"/>
          <w:sz w:val="22"/>
          <w:szCs w:val="22"/>
        </w:rPr>
        <w:t xml:space="preserve">: The taxonomic and trait-space breadth of organisms for which phenotypic predictions can be made.</w:t>
      </w:r>
    </w:p>
    <w:p>
      <w:pPr>
        <w:spacing w:after="60" w:before="60"/>
      </w:pPr>
      <w:r>
        <w:rPr>
          <w:rFonts w:ascii="Arial" w:cs="Arial" w:eastAsia="Arial" w:hAnsi="Arial"/>
          <w:i/>
          <w:i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PPF = (Organisms with ≥1 confident phenotype prediction) / (Total organisms in dataset)</w:t>
      </w:r>
    </w:p>
    <w:p>
      <w:pPr>
        <w:spacing w:after="80"/>
      </w:pPr>
    </w:p>
    <w:p>
      <w:pPr>
        <w:spacing w:after="60" w:before="60"/>
      </w:pPr>
      <w:r>
        <w:rPr>
          <w:rFonts w:ascii="Arial" w:cs="Arial" w:eastAsia="Arial" w:hAnsi="Arial"/>
          <w:sz w:val="22"/>
          <w:szCs w:val="22"/>
        </w:rPr>
        <w:t xml:space="preserve">Where "confident" = prediction probability ≥ 0.8 for classification traits or R² ≥ 0.6 for continuous traits.</w:t>
      </w:r>
    </w:p>
    <w:p>
      <w:pPr>
        <w:spacing w:after="60" w:before="60"/>
      </w:pPr>
      <w:r>
        <w:rPr>
          <w:rFonts w:ascii="Arial" w:cs="Arial" w:eastAsia="Arial" w:hAnsi="Arial"/>
          <w:i/>
          <w:iCs/>
          <w:sz w:val="22"/>
          <w:szCs w:val="22"/>
        </w:rPr>
        <w:t xml:space="preserve">Rationale</w:t>
      </w:r>
      <w:r>
        <w:rPr>
          <w:rFonts w:ascii="Arial" w:cs="Arial" w:eastAsia="Arial" w:hAnsi="Arial"/>
          <w:sz w:val="22"/>
          <w:szCs w:val="22"/>
        </w:rPr>
        <w:t xml:space="preserve">: Koblitz et al. (2025) demonstrated that Random Forest models trained on BacDive data can predict 8 traits with 79–98% accuracy, generating ~55,000 new predictions. Traditional rule-based methods (PGAP, homology-based) can only predict phenotypes for organisms with close characterized relatives. PPF captures the expansion of the "prediction frontier" — how many organisms move from "phenotype unknown" to "phenotype predicted."</w:t>
      </w:r>
    </w:p>
    <w:p>
      <w:pPr>
        <w:spacing w:after="60" w:before="60"/>
      </w:pPr>
      <w:r>
        <w:rPr>
          <w:rFonts w:ascii="Arial" w:cs="Arial" w:eastAsia="Arial" w:hAnsi="Arial"/>
          <w:i/>
          <w:iCs/>
          <w:sz w:val="22"/>
          <w:szCs w:val="22"/>
        </w:rPr>
        <w:t xml:space="preserve">Baseline</w:t>
      </w:r>
      <w:r>
        <w:rPr>
          <w:rFonts w:ascii="Arial" w:cs="Arial" w:eastAsia="Arial" w:hAnsi="Arial"/>
          <w:sz w:val="22"/>
          <w:szCs w:val="22"/>
        </w:rPr>
        <w:t xml:space="preserve">: Traditional rule-based PPF typically covers 30–50% of organisms in environmental metagenomes (limited by reference proximity). AI-enhanced PPF expected: </w:t>
      </w:r>
      <w:r>
        <w:rPr>
          <w:rFonts w:ascii="Arial" w:cs="Arial" w:eastAsia="Arial" w:hAnsi="Arial"/>
          <w:b/>
          <w:bCs/>
          <w:sz w:val="22"/>
          <w:szCs w:val="22"/>
        </w:rPr>
        <w:t xml:space="preserve">60–85%</w:t>
      </w:r>
      <w:r>
        <w:rPr>
          <w:rFonts w:ascii="Arial" w:cs="Arial" w:eastAsia="Arial" w:hAnsi="Arial"/>
          <w:sz w:val="22"/>
          <w:szCs w:val="22"/>
        </w:rPr>
        <w:t xml:space="preserve">.</w:t>
      </w:r>
    </w:p>
    <w:p>
      <w:pPr>
        <w:spacing w:after="60" w:before="60"/>
      </w:pPr>
      <w:r>
        <w:rPr>
          <w:rFonts w:ascii="Arial" w:cs="Arial" w:eastAsia="Arial" w:hAnsi="Arial"/>
          <w:i/>
          <w:iCs/>
          <w:sz w:val="22"/>
          <w:szCs w:val="22"/>
        </w:rPr>
        <w:t xml:space="preserve">Composite variant — PPF-Δ</w:t>
      </w:r>
      <w:r>
        <w:rPr>
          <w:rFonts w:ascii="Arial" w:cs="Arial" w:eastAsia="Arial" w:hAnsi="Arial"/>
          <w:sz w:val="22"/>
          <w:szCs w:val="22"/>
        </w:rPr>
        <w:t xml:space="preserve">: The delta between AI and traditional PPF, representing the population of organisms for which AI uniquely enables phenotype characterization. This is the Level 3 (capability expansion) component.</w:t>
      </w:r>
    </w:p>
    <w:p>
      <w:pPr>
        <w:pBdr>
          <w:bottom w:val="single" w:color="CCCCCC" w:sz="1" w:space="1"/>
        </w:pBdr>
        <w:spacing w:after="200" w:before="200"/>
      </w:pPr>
    </w:p>
    <w:p>
      <w:pPr>
        <w:pStyle w:val="Heading4"/>
        <w:spacing w:after="120" w:before="240"/>
      </w:pPr>
      <w:r>
        <w:rPr>
          <w:rFonts w:ascii="Arial" w:cs="Arial" w:eastAsia="Arial" w:hAnsi="Arial"/>
        </w:rPr>
        <w:t xml:space="preserve">Metric 3: **Discovery Throughput Index (DTI)**</w:t>
      </w:r>
    </w:p>
    <w:p>
      <w:pPr>
        <w:spacing w:after="60" w:before="60"/>
      </w:pPr>
      <w:r>
        <w:rPr>
          <w:rFonts w:ascii="Arial" w:cs="Arial" w:eastAsia="Arial" w:hAnsi="Arial"/>
          <w:i/>
          <w:iCs/>
          <w:sz w:val="22"/>
          <w:szCs w:val="22"/>
        </w:rPr>
        <w:t xml:space="preserve">What it measures</w:t>
      </w:r>
      <w:r>
        <w:rPr>
          <w:rFonts w:ascii="Arial" w:cs="Arial" w:eastAsia="Arial" w:hAnsi="Arial"/>
          <w:sz w:val="22"/>
          <w:szCs w:val="22"/>
        </w:rPr>
        <w:t xml:space="preserve">: The rate at which analytically novel findings (new species, new functions, new ecological associations) are produced per unit of computational and human effort.</w:t>
      </w:r>
    </w:p>
    <w:p>
      <w:pPr>
        <w:spacing w:after="60" w:before="60"/>
      </w:pPr>
      <w:r>
        <w:rPr>
          <w:rFonts w:ascii="Arial" w:cs="Arial" w:eastAsia="Arial" w:hAnsi="Arial"/>
          <w:i/>
          <w:i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DTI = (Novel findings validated by expert panel) / (Total compute-hours + FTE-hours)</w:t>
      </w:r>
    </w:p>
    <w:p>
      <w:pPr>
        <w:spacing w:after="80"/>
      </w:pPr>
    </w:p>
    <w:p>
      <w:pPr>
        <w:spacing w:after="60" w:before="60"/>
      </w:pPr>
      <w:r>
        <w:rPr>
          <w:rFonts w:ascii="Arial" w:cs="Arial" w:eastAsia="Arial" w:hAnsi="Arial"/>
          <w:i/>
          <w:iCs/>
          <w:sz w:val="22"/>
          <w:szCs w:val="22"/>
        </w:rPr>
        <w:t xml:space="preserve">Rationale</w:t>
      </w:r>
      <w:r>
        <w:rPr>
          <w:rFonts w:ascii="Arial" w:cs="Arial" w:eastAsia="Arial" w:hAnsi="Arial"/>
          <w:sz w:val="22"/>
          <w:szCs w:val="22"/>
        </w:rPr>
        <w:t xml:space="preserve">: The OPAL project (DOE-funded, LBNL) used "weeks to hours" language for time-to-discovery. Gao et al. (2024, </w:t>
      </w:r>
      <w:r>
        <w:rPr>
          <w:rFonts w:ascii="Arial" w:cs="Arial" w:eastAsia="Arial" w:hAnsi="Arial"/>
          <w:i/>
          <w:iCs/>
          <w:sz w:val="22"/>
          <w:szCs w:val="22"/>
        </w:rPr>
        <w:t xml:space="preserve">Nature Human Behaviour</w:t>
      </w:r>
      <w:r>
        <w:rPr>
          <w:rFonts w:ascii="Arial" w:cs="Arial" w:eastAsia="Arial" w:hAnsi="Arial"/>
          <w:sz w:val="22"/>
          <w:szCs w:val="22"/>
        </w:rPr>
        <w:t xml:space="preserve">) showed AI-adopting biologists publish 3.02× more papers. DTI operationalizes this by measuring discoveries per effort unit, capturing both the speed and the human labor dimensions.</w:t>
      </w:r>
    </w:p>
    <w:p>
      <w:pPr>
        <w:spacing w:after="60" w:before="60"/>
      </w:pPr>
      <w:r>
        <w:rPr>
          <w:rFonts w:ascii="Arial" w:cs="Arial" w:eastAsia="Arial" w:hAnsi="Arial"/>
          <w:i/>
          <w:iCs/>
          <w:sz w:val="22"/>
          <w:szCs w:val="22"/>
        </w:rPr>
        <w:t xml:space="preserve">"Novel finding" definition</w:t>
      </w:r>
      <w:r>
        <w:rPr>
          <w:rFonts w:ascii="Arial" w:cs="Arial" w:eastAsia="Arial" w:hAnsi="Arial"/>
          <w:sz w:val="22"/>
          <w:szCs w:val="22"/>
        </w:rPr>
        <w:t xml:space="preserve">: A finding is considered novel if it (a) was not present in any training database, (b) was not predictable by the traditional pipeline on the same data, and (c) passes expert plausibility review. Categories: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New species (MAG with &lt;95% ANI to any reference genome)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New functional assignment (protein annotated by AI only, validated by structure/experiment)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New ecological association (co-occurrence or causal link detected by AI only)</w:t>
      </w:r>
    </w:p>
    <w:p>
      <w:pPr>
        <w:spacing w:after="60" w:before="60"/>
      </w:pPr>
      <w:r>
        <w:rPr>
          <w:rFonts w:ascii="Arial" w:cs="Arial" w:eastAsia="Arial" w:hAnsi="Arial"/>
          <w:i/>
          <w:iCs/>
          <w:sz w:val="22"/>
          <w:szCs w:val="22"/>
        </w:rPr>
        <w:t xml:space="preserve">Baseline</w:t>
      </w:r>
      <w:r>
        <w:rPr>
          <w:rFonts w:ascii="Arial" w:cs="Arial" w:eastAsia="Arial" w:hAnsi="Arial"/>
          <w:sz w:val="22"/>
          <w:szCs w:val="22"/>
        </w:rPr>
        <w:t xml:space="preserve">: Traditional pipelines produce findings at a rate constrained by manual curation bottlenecks. Expected AI DTI improvement: </w:t>
      </w:r>
      <w:r>
        <w:rPr>
          <w:rFonts w:ascii="Arial" w:cs="Arial" w:eastAsia="Arial" w:hAnsi="Arial"/>
          <w:b/>
          <w:bCs/>
          <w:sz w:val="22"/>
          <w:szCs w:val="22"/>
        </w:rPr>
        <w:t xml:space="preserve">3–10×</w:t>
      </w:r>
      <w:r>
        <w:rPr>
          <w:rFonts w:ascii="Arial" w:cs="Arial" w:eastAsia="Arial" w:hAnsi="Arial"/>
          <w:sz w:val="22"/>
          <w:szCs w:val="22"/>
        </w:rPr>
        <w:t xml:space="preserve"> (based on Han et al. 2025 showing 22% more MAGs per analysis run, compounded with speed improvements).</w:t>
      </w:r>
    </w:p>
    <w:p>
      <w:pPr>
        <w:pBdr>
          <w:bottom w:val="single" w:color="CCCCCC" w:sz="1" w:space="1"/>
        </w:pBdr>
        <w:spacing w:after="200" w:before="200"/>
      </w:pPr>
    </w:p>
    <w:p>
      <w:pPr>
        <w:pStyle w:val="Heading4"/>
        <w:spacing w:after="120" w:before="240"/>
      </w:pPr>
      <w:r>
        <w:rPr>
          <w:rFonts w:ascii="Arial" w:cs="Arial" w:eastAsia="Arial" w:hAnsi="Arial"/>
        </w:rPr>
        <w:t xml:space="preserve">Metric 4: **Compositional Fidelity Score (CFS)**</w:t>
      </w:r>
    </w:p>
    <w:p>
      <w:pPr>
        <w:spacing w:after="60" w:before="60"/>
      </w:pPr>
      <w:r>
        <w:rPr>
          <w:rFonts w:ascii="Arial" w:cs="Arial" w:eastAsia="Arial" w:hAnsi="Arial"/>
          <w:i/>
          <w:iCs/>
          <w:sz w:val="22"/>
          <w:szCs w:val="22"/>
        </w:rPr>
        <w:t xml:space="preserve">What it measures</w:t>
      </w:r>
      <w:r>
        <w:rPr>
          <w:rFonts w:ascii="Arial" w:cs="Arial" w:eastAsia="Arial" w:hAnsi="Arial"/>
          <w:sz w:val="22"/>
          <w:szCs w:val="22"/>
        </w:rPr>
        <w:t xml:space="preserve">: How well a method respects the compositional nature of microbiome data, avoiding false discoveries caused by mathematical artifacts.</w:t>
      </w:r>
    </w:p>
    <w:p>
      <w:pPr>
        <w:spacing w:after="60" w:before="60"/>
      </w:pPr>
      <w:r>
        <w:rPr>
          <w:rFonts w:ascii="Arial" w:cs="Arial" w:eastAsia="Arial" w:hAnsi="Arial"/>
          <w:i/>
          <w:i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CFS = 1 - (False discovery rate attributable to compositionality violation)</w:t>
      </w:r>
    </w:p>
    <w:p>
      <w:pPr>
        <w:spacing w:after="80"/>
      </w:pPr>
    </w:p>
    <w:p>
      <w:pPr>
        <w:spacing w:after="60" w:before="60"/>
      </w:pPr>
      <w:r>
        <w:rPr>
          <w:rFonts w:ascii="Arial" w:cs="Arial" w:eastAsia="Arial" w:hAnsi="Arial"/>
          <w:sz w:val="22"/>
          <w:szCs w:val="22"/>
        </w:rPr>
        <w:t xml:space="preserve">Operationalized as: Apply each method to a synthetic dataset with known compositionality structure (e.g., generated from a Dirichlet-multinomial model with known differentially abundant taxa). Measure how many false positives each method generates that are attributable to compositional artifacts (identified by running the same analysis on data transformed to absolute abundances using spike-in or flow cytometry normalization).</w:t>
      </w:r>
    </w:p>
    <w:p>
      <w:pPr>
        <w:spacing w:after="60" w:before="60"/>
      </w:pPr>
      <w:r>
        <w:rPr>
          <w:rFonts w:ascii="Arial" w:cs="Arial" w:eastAsia="Arial" w:hAnsi="Arial"/>
          <w:i/>
          <w:iCs/>
          <w:sz w:val="22"/>
          <w:szCs w:val="22"/>
        </w:rPr>
        <w:t xml:space="preserve">Rationale</w:t>
      </w:r>
      <w:r>
        <w:rPr>
          <w:rFonts w:ascii="Arial" w:cs="Arial" w:eastAsia="Arial" w:hAnsi="Arial"/>
          <w:sz w:val="22"/>
          <w:szCs w:val="22"/>
        </w:rPr>
        <w:t xml:space="preserve">: Nearing et al. (2022) showed &lt;25% concordance between 14 traditional differential abundance methods. Gloor et al. (2017) demonstrated that standard methods applied to compositional data have inflated false discovery rates. AI methods that learn distributional properties directly (Dirichlet-multinomial neural models, VAE-based approaches) should exhibit higher CFS.</w:t>
      </w:r>
    </w:p>
    <w:p>
      <w:pPr>
        <w:spacing w:after="60" w:before="60"/>
      </w:pPr>
      <w:r>
        <w:rPr>
          <w:rFonts w:ascii="Arial" w:cs="Arial" w:eastAsia="Arial" w:hAnsi="Arial"/>
          <w:i/>
          <w:iCs/>
          <w:sz w:val="22"/>
          <w:szCs w:val="22"/>
        </w:rPr>
        <w:t xml:space="preserve">Baseline</w:t>
      </w:r>
      <w:r>
        <w:rPr>
          <w:rFonts w:ascii="Arial" w:cs="Arial" w:eastAsia="Arial" w:hAnsi="Arial"/>
          <w:sz w:val="22"/>
          <w:szCs w:val="22"/>
        </w:rPr>
        <w:t xml:space="preserve">: Traditional methods (DESeq2, LEfSe) — CFS estimated at 0.60–0.75 (based on Nearing et al. FDR inflation). AI methods (distribution-aware models) — expected CFS: </w:t>
      </w:r>
      <w:r>
        <w:rPr>
          <w:rFonts w:ascii="Arial" w:cs="Arial" w:eastAsia="Arial" w:hAnsi="Arial"/>
          <w:b/>
          <w:bCs/>
          <w:sz w:val="22"/>
          <w:szCs w:val="22"/>
        </w:rPr>
        <w:t xml:space="preserve">0.85–0.95</w:t>
      </w:r>
      <w:r>
        <w:rPr>
          <w:rFonts w:ascii="Arial" w:cs="Arial" w:eastAsia="Arial" w:hAnsi="Arial"/>
          <w:sz w:val="22"/>
          <w:szCs w:val="22"/>
        </w:rPr>
        <w:t xml:space="preserve">.</w:t>
      </w:r>
    </w:p>
    <w:p>
      <w:pPr>
        <w:pBdr>
          <w:bottom w:val="single" w:color="CCCCCC" w:sz="1" w:space="1"/>
        </w:pBdr>
        <w:spacing w:after="200" w:before="200"/>
      </w:pPr>
    </w:p>
    <w:p>
      <w:pPr>
        <w:pStyle w:val="Heading4"/>
        <w:spacing w:after="120" w:before="240"/>
      </w:pPr>
      <w:r>
        <w:rPr>
          <w:rFonts w:ascii="Arial" w:cs="Arial" w:eastAsia="Arial" w:hAnsi="Arial"/>
        </w:rPr>
        <w:t xml:space="preserve">Metric 5: **Cross-Biome Generalization Index (CBGI)**</w:t>
      </w:r>
    </w:p>
    <w:p>
      <w:pPr>
        <w:spacing w:after="60" w:before="60"/>
      </w:pPr>
      <w:r>
        <w:rPr>
          <w:rFonts w:ascii="Arial" w:cs="Arial" w:eastAsia="Arial" w:hAnsi="Arial"/>
          <w:i/>
          <w:iCs/>
          <w:sz w:val="22"/>
          <w:szCs w:val="22"/>
        </w:rPr>
        <w:t xml:space="preserve">What it measures</w:t>
      </w:r>
      <w:r>
        <w:rPr>
          <w:rFonts w:ascii="Arial" w:cs="Arial" w:eastAsia="Arial" w:hAnsi="Arial"/>
          <w:sz w:val="22"/>
          <w:szCs w:val="22"/>
        </w:rPr>
        <w:t xml:space="preserve">: How well a trained model transfers to environments not represented in its training data.</w:t>
      </w:r>
    </w:p>
    <w:p>
      <w:pPr>
        <w:spacing w:after="60" w:before="60"/>
      </w:pPr>
      <w:r>
        <w:rPr>
          <w:rFonts w:ascii="Arial" w:cs="Arial" w:eastAsia="Arial" w:hAnsi="Arial"/>
          <w:i/>
          <w:i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CBGI = Performance(held-out biome) / Performance(training biome)</w:t>
      </w:r>
    </w:p>
    <w:p>
      <w:pPr>
        <w:spacing w:after="80"/>
      </w:pPr>
    </w:p>
    <w:p>
      <w:pPr>
        <w:spacing w:after="60" w:before="60"/>
      </w:pPr>
      <w:r>
        <w:rPr>
          <w:rFonts w:ascii="Arial" w:cs="Arial" w:eastAsia="Arial" w:hAnsi="Arial"/>
          <w:sz w:val="22"/>
          <w:szCs w:val="22"/>
        </w:rPr>
        <w:t xml:space="preserve">Where performance is measured by the task-appropriate metric (F1 for classification, Pearson r for regression, etc.).</w:t>
      </w:r>
    </w:p>
    <w:p>
      <w:pPr>
        <w:spacing w:after="60" w:before="60"/>
      </w:pPr>
      <w:r>
        <w:rPr>
          <w:rFonts w:ascii="Arial" w:cs="Arial" w:eastAsia="Arial" w:hAnsi="Arial"/>
          <w:i/>
          <w:iCs/>
          <w:sz w:val="22"/>
          <w:szCs w:val="22"/>
        </w:rPr>
        <w:t xml:space="preserve">Rationale</w:t>
      </w:r>
      <w:r>
        <w:rPr>
          <w:rFonts w:ascii="Arial" w:cs="Arial" w:eastAsia="Arial" w:hAnsi="Arial"/>
          <w:sz w:val="22"/>
          <w:szCs w:val="22"/>
        </w:rPr>
        <w:t xml:space="preserve">: A fundamental limitation of reference-dependent methods is that they are implicitly trained on well-studied environments (human gut, agricultural soil). Environmental metagenomics from novel biomes (deep subsurface, hypersaline lakes, permafrost) is precisely where DOE's ESS and GSP programs focus. CBGI measures whether AI models genuinely learn transferable biology or just memorize training environments.</w:t>
      </w:r>
    </w:p>
    <w:p>
      <w:pPr>
        <w:spacing w:after="60" w:before="60"/>
      </w:pPr>
      <w:r>
        <w:rPr>
          <w:rFonts w:ascii="Arial" w:cs="Arial" w:eastAsia="Arial" w:hAnsi="Arial"/>
          <w:i/>
          <w:iCs/>
          <w:sz w:val="22"/>
          <w:szCs w:val="22"/>
        </w:rPr>
        <w:t xml:space="preserve">Design</w:t>
      </w:r>
      <w:r>
        <w:rPr>
          <w:rFonts w:ascii="Arial" w:cs="Arial" w:eastAsia="Arial" w:hAnsi="Arial"/>
          <w:sz w:val="22"/>
          <w:szCs w:val="22"/>
        </w:rPr>
        <w:t xml:space="preserve">: Train on CAMI II + HMP2 (human/gut-enriched). Evaluate on EMP marine, EMP soil, TARA Oceans, and DOE-specific NMDC datasets. A CBGI near 1.0 indicates robust generalization; below 0.5 indicates environment-specific overfitting.</w:t>
      </w:r>
    </w:p>
    <w:p>
      <w:pPr>
        <w:spacing w:after="60" w:before="60"/>
      </w:pPr>
      <w:r>
        <w:rPr>
          <w:rFonts w:ascii="Arial" w:cs="Arial" w:eastAsia="Arial" w:hAnsi="Arial"/>
          <w:i/>
          <w:iCs/>
          <w:sz w:val="22"/>
          <w:szCs w:val="22"/>
        </w:rPr>
        <w:t xml:space="preserve">Baseline</w:t>
      </w:r>
      <w:r>
        <w:rPr>
          <w:rFonts w:ascii="Arial" w:cs="Arial" w:eastAsia="Arial" w:hAnsi="Arial"/>
          <w:sz w:val="22"/>
          <w:szCs w:val="22"/>
        </w:rPr>
        <w:t xml:space="preserve">: Traditional reference-based methods show sharp performance drops for novel biomes (Saheb Kashaf et al. 2022 showed 60% → &gt;90% classified reads only after adding targeted reference genomes). AI foundation models (pre-trained on diverse sequences) expected CBGI: </w:t>
      </w:r>
      <w:r>
        <w:rPr>
          <w:rFonts w:ascii="Arial" w:cs="Arial" w:eastAsia="Arial" w:hAnsi="Arial"/>
          <w:b/>
          <w:bCs/>
          <w:sz w:val="22"/>
          <w:szCs w:val="22"/>
        </w:rPr>
        <w:t xml:space="preserve">0.70–0.85</w:t>
      </w:r>
      <w:r>
        <w:rPr>
          <w:rFonts w:ascii="Arial" w:cs="Arial" w:eastAsia="Arial" w:hAnsi="Arial"/>
          <w:sz w:val="22"/>
          <w:szCs w:val="22"/>
        </w:rPr>
        <w:t xml:space="preserve">.</w:t>
      </w:r>
    </w:p>
    <w:p>
      <w:pPr>
        <w:pBdr>
          <w:bottom w:val="single" w:color="CCCCCC" w:sz="1" w:space="1"/>
        </w:pBdr>
        <w:spacing w:after="200" w:before="200"/>
      </w:pPr>
    </w:p>
    <w:p>
      <w:pPr>
        <w:pStyle w:val="Heading4"/>
        <w:spacing w:after="120" w:before="240"/>
      </w:pPr>
      <w:r>
        <w:rPr>
          <w:rFonts w:ascii="Arial" w:cs="Arial" w:eastAsia="Arial" w:hAnsi="Arial"/>
        </w:rPr>
        <w:t xml:space="preserve">Metric 6: **Curation Efficiency Ratio (CER)**</w:t>
      </w:r>
    </w:p>
    <w:p>
      <w:pPr>
        <w:spacing w:after="60" w:before="60"/>
      </w:pPr>
      <w:r>
        <w:rPr>
          <w:rFonts w:ascii="Arial" w:cs="Arial" w:eastAsia="Arial" w:hAnsi="Arial"/>
          <w:i/>
          <w:iCs/>
          <w:sz w:val="22"/>
          <w:szCs w:val="22"/>
        </w:rPr>
        <w:t xml:space="preserve">What it measures</w:t>
      </w:r>
      <w:r>
        <w:rPr>
          <w:rFonts w:ascii="Arial" w:cs="Arial" w:eastAsia="Arial" w:hAnsi="Arial"/>
          <w:sz w:val="22"/>
          <w:szCs w:val="22"/>
        </w:rPr>
        <w:t xml:space="preserve">: The ratio of data quality improvement per unit of human expert effort, comparing AI-assisted vs. manual curation workflows.</w:t>
      </w:r>
    </w:p>
    <w:p>
      <w:pPr>
        <w:spacing w:after="60" w:before="60"/>
      </w:pPr>
      <w:r>
        <w:rPr>
          <w:rFonts w:ascii="Arial" w:cs="Arial" w:eastAsia="Arial" w:hAnsi="Arial"/>
          <w:i/>
          <w:i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CER = (Ontology-compliance improvement rate) / (FTE-hours invested)</w:t>
      </w:r>
    </w:p>
    <w:p>
      <w:pPr>
        <w:spacing w:after="80"/>
      </w:pPr>
    </w:p>
    <w:p>
      <w:pPr>
        <w:spacing w:after="60" w:before="60"/>
      </w:pPr>
      <w:r>
        <w:rPr>
          <w:rFonts w:ascii="Arial" w:cs="Arial" w:eastAsia="Arial" w:hAnsi="Arial"/>
          <w:i/>
          <w:iCs/>
          <w:sz w:val="22"/>
          <w:szCs w:val="22"/>
        </w:rPr>
        <w:t xml:space="preserve">Rationale</w:t>
      </w:r>
      <w:r>
        <w:rPr>
          <w:rFonts w:ascii="Arial" w:cs="Arial" w:eastAsia="Arial" w:hAnsi="Arial"/>
          <w:sz w:val="22"/>
          <w:szCs w:val="22"/>
        </w:rPr>
        <w:t xml:space="preserve">: Reimer et al. (2025) showed LLM-based metadata harmonization achieves 89% expert agreement vs. 67% for rule-based approaches, with 60% reduction in manual curation time. The quality of training data is the primary bottleneck for ML model performance in metagenomics (acknowledged by Koblitz et al. 2025). CER captures whether AI can break the data quality bottleneck that limits downstream AI performance — a virtuous cycle metric.</w:t>
      </w:r>
    </w:p>
    <w:p>
      <w:pPr>
        <w:spacing w:after="60" w:before="60"/>
      </w:pPr>
      <w:r>
        <w:rPr>
          <w:rFonts w:ascii="Arial" w:cs="Arial" w:eastAsia="Arial" w:hAnsi="Arial"/>
          <w:i/>
          <w:iCs/>
          <w:sz w:val="22"/>
          <w:szCs w:val="22"/>
        </w:rPr>
        <w:t xml:space="preserve">Baseline</w:t>
      </w:r>
      <w:r>
        <w:rPr>
          <w:rFonts w:ascii="Arial" w:cs="Arial" w:eastAsia="Arial" w:hAnsi="Arial"/>
          <w:sz w:val="22"/>
          <w:szCs w:val="22"/>
        </w:rPr>
        <w:t xml:space="preserve">: Manual curation CER = 1.0 (normalized). Rule-based CER ≈ 1.5. LLM-assisted CER expected: </w:t>
      </w:r>
      <w:r>
        <w:rPr>
          <w:rFonts w:ascii="Arial" w:cs="Arial" w:eastAsia="Arial" w:hAnsi="Arial"/>
          <w:b/>
          <w:bCs/>
          <w:sz w:val="22"/>
          <w:szCs w:val="22"/>
        </w:rPr>
        <w:t xml:space="preserve">3.0–5.0</w:t>
      </w:r>
      <w:r>
        <w:rPr>
          <w:rFonts w:ascii="Arial" w:cs="Arial" w:eastAsia="Arial" w:hAnsi="Arial"/>
          <w:sz w:val="22"/>
          <w:szCs w:val="22"/>
        </w:rPr>
        <w:t xml:space="preserve"> (based on Reimer et al. 60% time reduction with higher accuracy).</w:t>
      </w:r>
    </w:p>
    <w:p>
      <w:pPr>
        <w:pBdr>
          <w:bottom w:val="single" w:color="CCCCCC" w:sz="1" w:space="1"/>
        </w:pBdr>
        <w:spacing w:after="200" w:before="200"/>
      </w:pPr>
    </w:p>
    <w:p>
      <w:pPr>
        <w:pStyle w:val="Heading4"/>
        <w:spacing w:after="120" w:before="240"/>
      </w:pPr>
      <w:r>
        <w:rPr>
          <w:rFonts w:ascii="Arial" w:cs="Arial" w:eastAsia="Arial" w:hAnsi="Arial"/>
        </w:rPr>
        <w:t xml:space="preserve">Metric 7: **Hypothesis Novelty Yield (HNY)**</w:t>
      </w:r>
    </w:p>
    <w:p>
      <w:pPr>
        <w:spacing w:after="60" w:before="60"/>
      </w:pPr>
      <w:r>
        <w:rPr>
          <w:rFonts w:ascii="Arial" w:cs="Arial" w:eastAsia="Arial" w:hAnsi="Arial"/>
          <w:i/>
          <w:iCs/>
          <w:sz w:val="22"/>
          <w:szCs w:val="22"/>
        </w:rPr>
        <w:t xml:space="preserve">What it measures</w:t>
      </w:r>
      <w:r>
        <w:rPr>
          <w:rFonts w:ascii="Arial" w:cs="Arial" w:eastAsia="Arial" w:hAnsi="Arial"/>
          <w:sz w:val="22"/>
          <w:szCs w:val="22"/>
        </w:rPr>
        <w:t xml:space="preserve">: The rate at which AI-generated hypotheses are both (a) novel (not derivable from traditional analysis) and (b) biologically validated.</w:t>
      </w:r>
    </w:p>
    <w:p>
      <w:pPr>
        <w:spacing w:after="60" w:before="60"/>
      </w:pPr>
      <w:r>
        <w:rPr>
          <w:rFonts w:ascii="Arial" w:cs="Arial" w:eastAsia="Arial" w:hAnsi="Arial"/>
          <w:i/>
          <w:iCs/>
          <w:sz w:val="22"/>
          <w:szCs w:val="22"/>
        </w:rPr>
        <w:t xml:space="preserve">Definition</w:t>
      </w:r>
      <w:r>
        <w:rPr>
          <w:rFonts w:ascii="Arial" w:cs="Arial" w:eastAsia="Arial" w:hAnsi="Arial"/>
          <w:sz w:val="22"/>
          <w:szCs w:val="22"/>
        </w:rPr>
        <w:t xml:space="preserve">:</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HNY = (AI-unique hypotheses confirmed by experiment or expert panel) / (Total AI-generated hypotheses)</w:t>
      </w:r>
    </w:p>
    <w:p>
      <w:pPr>
        <w:spacing w:after="80"/>
      </w:pPr>
    </w:p>
    <w:p>
      <w:pPr>
        <w:spacing w:after="60" w:before="60"/>
      </w:pPr>
      <w:r>
        <w:rPr>
          <w:rFonts w:ascii="Arial" w:cs="Arial" w:eastAsia="Arial" w:hAnsi="Arial"/>
          <w:i/>
          <w:iCs/>
          <w:sz w:val="22"/>
          <w:szCs w:val="22"/>
        </w:rPr>
        <w:t xml:space="preserve">Rationale</w:t>
      </w:r>
      <w:r>
        <w:rPr>
          <w:rFonts w:ascii="Arial" w:cs="Arial" w:eastAsia="Arial" w:hAnsi="Arial"/>
          <w:sz w:val="22"/>
          <w:szCs w:val="22"/>
        </w:rPr>
        <w:t xml:space="preserve">: This is the ultimate Level 3 metric. Boyack et al. (2025, </w:t>
      </w:r>
      <w:r>
        <w:rPr>
          <w:rFonts w:ascii="Arial" w:cs="Arial" w:eastAsia="Arial" w:hAnsi="Arial"/>
          <w:i/>
          <w:iCs/>
          <w:sz w:val="22"/>
          <w:szCs w:val="22"/>
        </w:rPr>
        <w:t xml:space="preserve">Scientific Reports</w:t>
      </w:r>
      <w:r>
        <w:rPr>
          <w:rFonts w:ascii="Arial" w:cs="Arial" w:eastAsia="Arial" w:hAnsi="Arial"/>
          <w:sz w:val="22"/>
          <w:szCs w:val="22"/>
        </w:rPr>
        <w:t xml:space="preserve">) cautioned that AI accelerates information processing but has not yet measurably increased the rate of genuinely novel experimental findings at the field level. HNY directly measures whether, in a controlled study, AI generates validated new biology that humans would not have found.</w:t>
      </w:r>
    </w:p>
    <w:p>
      <w:pPr>
        <w:spacing w:after="60" w:before="60"/>
      </w:pPr>
      <w:r>
        <w:rPr>
          <w:rFonts w:ascii="Arial" w:cs="Arial" w:eastAsia="Arial" w:hAnsi="Arial"/>
          <w:i/>
          <w:iCs/>
          <w:sz w:val="22"/>
          <w:szCs w:val="22"/>
        </w:rPr>
        <w:t xml:space="preserve">Design</w:t>
      </w:r>
      <w:r>
        <w:rPr>
          <w:rFonts w:ascii="Arial" w:cs="Arial" w:eastAsia="Arial" w:hAnsi="Arial"/>
          <w:sz w:val="22"/>
          <w:szCs w:val="22"/>
        </w:rPr>
        <w:t xml:space="preserve">: After running both pipelines on identical data, extract predictions unique to each. Submit both sets (blinded) to a panel of 3+ domain experts for plausibility scoring. Select a random subset for experimental validation (e.g., phenotype predictions tested via growth assays, functional predictions tested via heterologous expression).</w:t>
      </w:r>
    </w:p>
    <w:p>
      <w:pPr>
        <w:spacing w:after="60" w:before="60"/>
      </w:pPr>
      <w:r>
        <w:rPr>
          <w:rFonts w:ascii="Arial" w:cs="Arial" w:eastAsia="Arial" w:hAnsi="Arial"/>
          <w:i/>
          <w:iCs/>
          <w:sz w:val="22"/>
          <w:szCs w:val="22"/>
        </w:rPr>
        <w:t xml:space="preserve">Expected range</w:t>
      </w:r>
      <w:r>
        <w:rPr>
          <w:rFonts w:ascii="Arial" w:cs="Arial" w:eastAsia="Arial" w:hAnsi="Arial"/>
          <w:sz w:val="22"/>
          <w:szCs w:val="22"/>
        </w:rPr>
        <w:t xml:space="preserve">: HNY is anticipated to be low (0.05–0.20) — most AI predictions will be either confirmatory of traditional results or false positives. But even a HNY of 0.10 across thousands of predictions represents hundreds of genuine new biological insights per dataset, which is transformative for a field currently bottlenecked by manual hypothesis generation.</w:t>
      </w:r>
    </w:p>
    <w:p>
      <w:pPr>
        <w:pBdr>
          <w:bottom w:val="single" w:color="CCCCCC" w:sz="1" w:space="1"/>
        </w:pBdr>
        <w:spacing w:after="200" w:before="200"/>
      </w:pPr>
    </w:p>
    <w:p>
      <w:pPr>
        <w:pStyle w:val="Heading3"/>
        <w:spacing w:after="120" w:before="240"/>
      </w:pPr>
      <w:r>
        <w:rPr>
          <w:rFonts w:ascii="Arial" w:cs="Arial" w:eastAsia="Arial" w:hAnsi="Arial"/>
        </w:rPr>
        <w:t xml:space="preserve">5.3 Composite Score: AI Advantage Index (AAI)</w:t>
      </w:r>
    </w:p>
    <w:p>
      <w:pPr>
        <w:spacing w:after="60" w:before="60"/>
      </w:pPr>
      <w:r>
        <w:rPr>
          <w:rFonts w:ascii="Arial" w:cs="Arial" w:eastAsia="Arial" w:hAnsi="Arial"/>
          <w:sz w:val="22"/>
          <w:szCs w:val="22"/>
        </w:rPr>
        <w:t xml:space="preserve">To provide a single summary statistic for grant reporting:</w:t>
      </w:r>
    </w:p>
    <w:p>
      <w:pPr>
        <w:spacing w:before="80"/>
      </w:pPr>
    </w:p>
    <w:p>
      <w:pPr>
        <w:shd w:fill="F4F4F4" w:val="clear"/>
        <w:spacing w:after="20" w:before="20"/>
        <w:ind w:left="360"/>
      </w:pPr>
      <w:r>
        <w:rPr>
          <w:rFonts w:ascii="Courier New" w:cs="Courier New" w:eastAsia="Courier New" w:hAnsi="Courier New"/>
          <w:color w:val="2C3E50"/>
          <w:sz w:val="18"/>
          <w:szCs w:val="18"/>
        </w:rPr>
        <w:t xml:space="preserve">AAI = w₁·DMIR + w₂·PPF-Δ + w₃·log₂(DTI_AI/DTI_trad) + w₄·(CFS_AI - CFS_trad) + w₅·CBGI + w₆·log₂(CER) + w₇·HNY</w:t>
      </w:r>
    </w:p>
    <w:p>
      <w:pPr>
        <w:spacing w:after="80"/>
      </w:pPr>
    </w:p>
    <w:p>
      <w:pPr>
        <w:spacing w:after="60" w:before="60"/>
      </w:pPr>
      <w:r>
        <w:rPr>
          <w:rFonts w:ascii="Arial" w:cs="Arial" w:eastAsia="Arial" w:hAnsi="Arial"/>
          <w:sz w:val="22"/>
          <w:szCs w:val="22"/>
        </w:rPr>
        <w:t xml:space="preserve">Where weights w₁–w₇ are set by the research team based on relative importance to the specific DOE program priorities (suggested: weight capability expansion metrics — DMIR, PPF-Δ, HNY — more heavily for GENESIS; weight throughput metrics — DTI, CER — more heavily for BER Open Call).</w:t>
      </w:r>
    </w:p>
    <w:p>
      <w:pPr>
        <w:spacing w:after="60" w:before="60"/>
      </w:pPr>
      <w:r>
        <w:rPr>
          <w:rFonts w:ascii="Arial" w:cs="Arial" w:eastAsia="Arial" w:hAnsi="Arial"/>
          <w:sz w:val="22"/>
          <w:szCs w:val="22"/>
        </w:rPr>
        <w:t xml:space="preserve">AAI &gt; 0 indicates net AI advantage; AAI components reveal where the advantage is concentrated.</w:t>
      </w:r>
    </w:p>
    <w:p>
      <w:pPr>
        <w:pBdr>
          <w:bottom w:val="single" w:color="CCCCCC" w:sz="1" w:space="1"/>
        </w:pBdr>
        <w:spacing w:after="200" w:before="200"/>
      </w:pPr>
    </w:p>
    <w:p>
      <w:pPr>
        <w:pStyle w:val="Heading2"/>
        <w:spacing w:after="200" w:before="360"/>
      </w:pPr>
      <w:r>
        <w:rPr>
          <w:rFonts w:ascii="Arial" w:cs="Arial" w:eastAsia="Arial" w:hAnsi="Arial"/>
        </w:rPr>
        <w:t xml:space="preserve">6. Specific Head-to-Head Testing Scenarios</w:t>
      </w:r>
    </w:p>
    <w:p>
      <w:pPr>
        <w:pStyle w:val="Heading3"/>
        <w:spacing w:after="120" w:before="240"/>
      </w:pPr>
      <w:r>
        <w:rPr>
          <w:rFonts w:ascii="Arial" w:cs="Arial" w:eastAsia="Arial" w:hAnsi="Arial"/>
        </w:rPr>
        <w:t xml:space="preserve">Scenario 1: Taxonomic Classification of Environmental Metagenomes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Traditional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Hybrid Arm</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Tool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Kraken2/Bracken (Lu et al. 2022)</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Taxometer (Lamurias et al. 2024)</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Kraken2 → Taxometer refinement</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Input</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Shotgun reads (FASTQ)</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Database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Standard Kraken2 DB (~110K genomes)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DB + learned embeddings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DB + selective DL refinement</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Metrics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Precision, recall, F1 at genus/species level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 CBGI</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 ablation contribution</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Ground truth</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CAMI II simulated communities with known composition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Key comparison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Species-level recall for novel organisms (not in training DB)</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 </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 </w:t>
            </w:r>
          </w:p>
        </w:tc>
      </w:tr>
    </w:tbl>
    <w:p>
      <w:pPr>
        <w:spacing w:after="120" w:before="120"/>
      </w:pPr>
    </w:p>
    <w:p>
      <w:pPr>
        <w:spacing w:after="60" w:before="60"/>
      </w:pPr>
      <w:r>
        <w:rPr>
          <w:rFonts w:ascii="Arial" w:cs="Arial" w:eastAsia="Arial" w:hAnsi="Arial"/>
          <w:i/>
          <w:iCs/>
          <w:sz w:val="22"/>
          <w:szCs w:val="22"/>
        </w:rPr>
        <w:t xml:space="preserve">Expected AI advantage</w:t>
      </w:r>
      <w:r>
        <w:rPr>
          <w:rFonts w:ascii="Arial" w:cs="Arial" w:eastAsia="Arial" w:hAnsi="Arial"/>
          <w:sz w:val="22"/>
          <w:szCs w:val="22"/>
        </w:rPr>
        <w:t xml:space="preserve">: +15–25% species-level accuracy (Lamurias et al. 2024); largest gains for organisms absent from reference databases.</w:t>
      </w:r>
    </w:p>
    <w:p>
      <w:pPr>
        <w:pStyle w:val="Heading3"/>
        <w:spacing w:after="120" w:before="240"/>
      </w:pPr>
      <w:r>
        <w:rPr>
          <w:rFonts w:ascii="Arial" w:cs="Arial" w:eastAsia="Arial" w:hAnsi="Arial"/>
        </w:rPr>
        <w:t xml:space="preserve">Scenario 2: Metagenomic Binning and MAG Recovery</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Traditional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Hybrid Arm</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Tool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MetaBAT2 + CONCOCT (DAS Tool consensus)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COMEBin (Wang et al. 2024) + SemiBin2 (Pan et al. 2023)</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DAS Tool + SemiBin2 consensus</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Input</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Assembled contigs + abundance profiles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Metrics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 near-complete MAGs (&gt;90% complete, &lt;5% contamination), F1 per bin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 DMIR (for novel species MAGs)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 ablation</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Ground truth</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CAMI II + real datasets with CheckM2 validation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bl>
    <w:p>
      <w:pPr>
        <w:spacing w:after="120" w:before="120"/>
      </w:pPr>
    </w:p>
    <w:p>
      <w:pPr>
        <w:spacing w:after="60" w:before="60"/>
      </w:pPr>
      <w:r>
        <w:rPr>
          <w:rFonts w:ascii="Arial" w:cs="Arial" w:eastAsia="Arial" w:hAnsi="Arial"/>
          <w:i/>
          <w:iCs/>
          <w:sz w:val="22"/>
          <w:szCs w:val="22"/>
        </w:rPr>
        <w:t xml:space="preserve">Expected AI advantage</w:t>
      </w:r>
      <w:r>
        <w:rPr>
          <w:rFonts w:ascii="Arial" w:cs="Arial" w:eastAsia="Arial" w:hAnsi="Arial"/>
          <w:sz w:val="22"/>
          <w:szCs w:val="22"/>
        </w:rPr>
        <w:t xml:space="preserve">: +22% near-complete MAGs on average (Han et al. 2025); +33% in soil/ocean (Pan et al. 2023).</w:t>
      </w:r>
    </w:p>
    <w:p>
      <w:pPr>
        <w:pStyle w:val="Heading3"/>
        <w:spacing w:after="120" w:before="240"/>
      </w:pPr>
      <w:r>
        <w:rPr>
          <w:rFonts w:ascii="Arial" w:cs="Arial" w:eastAsia="Arial" w:hAnsi="Arial"/>
        </w:rPr>
        <w:t xml:space="preserve">Scenario 3: Functional Annotation Including Dark Matter</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Traditional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Hybrid Arm</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Tool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DIAMOND → KEGG/COG/Pfam + InterProScan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AnnoPRO (Wang et al. 2024) + DeepGOMeta (Kulmanov et al. 2024)</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DIAMOND first pass → AI on unannotated remainder</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Input</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Predicted protein sequences (Prodigal/MetaGeneMark)</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Metrics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Annotation coverage (% proteins with ≥1 function), DMIR, precision at matched thresholds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Ground truth</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SwissProt reviewed proteins (held out from training), expert panel for novel annotations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bl>
    <w:p>
      <w:pPr>
        <w:spacing w:after="120" w:before="120"/>
      </w:pPr>
    </w:p>
    <w:p>
      <w:pPr>
        <w:spacing w:after="60" w:before="60"/>
      </w:pPr>
      <w:r>
        <w:rPr>
          <w:rFonts w:ascii="Arial" w:cs="Arial" w:eastAsia="Arial" w:hAnsi="Arial"/>
          <w:i/>
          <w:iCs/>
          <w:sz w:val="22"/>
          <w:szCs w:val="22"/>
        </w:rPr>
        <w:t xml:space="preserve">Expected AI advantage</w:t>
      </w:r>
      <w:r>
        <w:rPr>
          <w:rFonts w:ascii="Arial" w:cs="Arial" w:eastAsia="Arial" w:hAnsi="Arial"/>
          <w:sz w:val="22"/>
          <w:szCs w:val="22"/>
        </w:rPr>
        <w:t xml:space="preserve">: DMIR 0.15–0.40 (35% more ORFs annotated at equivalent precision per DeepGOMeta); +23% AUPR for novel proteins (AnnoPRO).</w:t>
      </w:r>
    </w:p>
    <w:p>
      <w:pPr>
        <w:pStyle w:val="Heading3"/>
        <w:spacing w:after="120" w:before="240"/>
      </w:pPr>
      <w:r>
        <w:rPr>
          <w:rFonts w:ascii="Arial" w:cs="Arial" w:eastAsia="Arial" w:hAnsi="Arial"/>
        </w:rPr>
        <w:t xml:space="preserve">Scenario 4: Phenotype Prediction from Genotype</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Traditional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Hybrid Arm</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Tool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PGAP annotation + rule-based trait assignment (eggNOG-mapper)</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Random Forest on protein family profiles (Koblitz et al. 2025 method) + MicroHDF (Peng et al. 2024)</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Rule-based for single-gene traits + ML for polygenic traits</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Input</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Genome/MAG sequences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Traits tested</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Spore formation, motility, Gram stain, oxygen tolerance, temperature range, pH range, salt requirement, pathogenicity</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8 traits (per Koblitz et al.) + carbon source utilization, secondary metabolite production</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Metrics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Per-trait accuracy, PPF, PPF-Δ</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Ground truth</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 curated phenotypes (held-out test set) + wet lab validation for novel predictions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bl>
    <w:p>
      <w:pPr>
        <w:spacing w:after="120" w:before="120"/>
      </w:pPr>
    </w:p>
    <w:p>
      <w:pPr>
        <w:spacing w:after="60" w:before="60"/>
      </w:pPr>
      <w:r>
        <w:rPr>
          <w:rFonts w:ascii="Arial" w:cs="Arial" w:eastAsia="Arial" w:hAnsi="Arial"/>
          <w:i/>
          <w:iCs/>
          <w:sz w:val="22"/>
          <w:szCs w:val="22"/>
        </w:rPr>
        <w:t xml:space="preserve">Expected AI advantage</w:t>
      </w:r>
      <w:r>
        <w:rPr>
          <w:rFonts w:ascii="Arial" w:cs="Arial" w:eastAsia="Arial" w:hAnsi="Arial"/>
          <w:sz w:val="22"/>
          <w:szCs w:val="22"/>
        </w:rPr>
        <w:t xml:space="preserve">: 79–98% accuracy for ML vs. ~60% for rule-based (Koblitz et al. 2025); PPF-Δ of 20–40 percentage points (organisms for which only AI can predict phenotypes).</w:t>
      </w:r>
    </w:p>
    <w:p>
      <w:pPr>
        <w:pStyle w:val="Heading3"/>
        <w:spacing w:after="120" w:before="240"/>
      </w:pPr>
      <w:r>
        <w:rPr>
          <w:rFonts w:ascii="Arial" w:cs="Arial" w:eastAsia="Arial" w:hAnsi="Arial"/>
        </w:rPr>
        <w:t xml:space="preserve">Scenario 5: Ecological Association Discovery</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Traditional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 Arm</w:t>
            </w:r>
          </w:p>
        </w:tc>
        <w:tc>
          <w:tcPr>
            <w:tcW w:type="dxa" w:w="234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Hybrid Arm</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Tool</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PERMANOVA + DESeq2 + LEfSe + co-occurrence networks (SparCC)</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VAE subcommunity detection (ISME 2025) + graph neural networks + Dirichlet-multinomial models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Traditional tests + AI for pattern detection on residuals</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Input</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OTU/ASV tables or species-level profiles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 (+ raw k-mer profiles for k-mer-based ML per Lesimple et al. 2023)</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Metrics</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CFS, number of significant associations, concordance between methods, HNY</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Ground truth</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Synthetic communities with known associations + expert panel plausibility review</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c>
          <w:tcPr>
            <w:tcW w:type="dxa" w:w="234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bl>
    <w:p>
      <w:pPr>
        <w:spacing w:after="120" w:before="120"/>
      </w:pPr>
    </w:p>
    <w:p>
      <w:pPr>
        <w:spacing w:after="60" w:before="60"/>
      </w:pPr>
      <w:r>
        <w:rPr>
          <w:rFonts w:ascii="Arial" w:cs="Arial" w:eastAsia="Arial" w:hAnsi="Arial"/>
          <w:i/>
          <w:iCs/>
          <w:sz w:val="22"/>
          <w:szCs w:val="22"/>
        </w:rPr>
        <w:t xml:space="preserve">Expected AI advantage</w:t>
      </w:r>
      <w:r>
        <w:rPr>
          <w:rFonts w:ascii="Arial" w:cs="Arial" w:eastAsia="Arial" w:hAnsi="Arial"/>
          <w:sz w:val="22"/>
          <w:szCs w:val="22"/>
        </w:rPr>
        <w:t xml:space="preserve">: CFS improvement of 0.10–0.25; detection of subcommunity structures invisible to ordination; k-mer features performing comparably to curated profiles without requiring taxonomic annotation.</w:t>
      </w:r>
    </w:p>
    <w:p>
      <w:pPr>
        <w:pStyle w:val="Heading3"/>
        <w:spacing w:after="120" w:before="240"/>
      </w:pPr>
      <w:r>
        <w:rPr>
          <w:rFonts w:ascii="Arial" w:cs="Arial" w:eastAsia="Arial" w:hAnsi="Arial"/>
        </w:rPr>
        <w:t xml:space="preserve">Scenario 6: Data Curation and Metadata Harmonization</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Traditional Arm</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AI Arm</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Tool</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Rule-based string matching + manual expert review</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LLM-based ontology mapping (Reimer et al. 2025 method) + AutoComplete for missing data (Ahsan et al. 2023)</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Input</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5,000 BioSample records with free-text metadata</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Metrics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CER, agreement with expert gold standard, time-to-completion</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Ground truth</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Expert-curated gold standard subset (500 records)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Same</w:t>
            </w:r>
          </w:p>
        </w:tc>
      </w:tr>
    </w:tbl>
    <w:p>
      <w:pPr>
        <w:spacing w:after="120" w:before="120"/>
      </w:pPr>
    </w:p>
    <w:p>
      <w:pPr>
        <w:spacing w:after="60" w:before="60"/>
      </w:pPr>
      <w:r>
        <w:rPr>
          <w:rFonts w:ascii="Arial" w:cs="Arial" w:eastAsia="Arial" w:hAnsi="Arial"/>
          <w:i/>
          <w:iCs/>
          <w:sz w:val="22"/>
          <w:szCs w:val="22"/>
        </w:rPr>
        <w:t xml:space="preserve">Expected AI advantage</w:t>
      </w:r>
      <w:r>
        <w:rPr>
          <w:rFonts w:ascii="Arial" w:cs="Arial" w:eastAsia="Arial" w:hAnsi="Arial"/>
          <w:sz w:val="22"/>
          <w:szCs w:val="22"/>
        </w:rPr>
        <w:t xml:space="preserve">: 89% vs. 67% agreement with experts (Reimer et al. 2025); 60% reduction in human curation time; CER improvement of 3–5×.</w:t>
      </w:r>
    </w:p>
    <w:p>
      <w:pPr>
        <w:pBdr>
          <w:bottom w:val="single" w:color="CCCCCC" w:sz="1" w:space="1"/>
        </w:pBdr>
        <w:spacing w:after="200" w:before="200"/>
      </w:pPr>
    </w:p>
    <w:p>
      <w:pPr>
        <w:pStyle w:val="Heading2"/>
        <w:spacing w:after="200" w:before="360"/>
      </w:pPr>
      <w:r>
        <w:rPr>
          <w:rFonts w:ascii="Arial" w:cs="Arial" w:eastAsia="Arial" w:hAnsi="Arial"/>
        </w:rPr>
        <w:t xml:space="preserve">7. Benchmark Datasets and DOE Integration</w:t>
      </w:r>
    </w:p>
    <w:p>
      <w:pPr>
        <w:pStyle w:val="Heading3"/>
        <w:spacing w:after="120" w:before="240"/>
      </w:pPr>
      <w:r>
        <w:rPr>
          <w:rFonts w:ascii="Arial" w:cs="Arial" w:eastAsia="Arial" w:hAnsi="Arial"/>
        </w:rPr>
        <w:t xml:space="preserve">7.1 Primary Benchmark Datasets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Dataset</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Source</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Ground Truth</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Biome Coverage</w:t>
            </w:r>
          </w:p>
        </w:tc>
        <w:tc>
          <w:tcPr>
            <w:tcW w:type="dxa" w:w="1872"/>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DOE Alignment</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CAMI II</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data.cami-challenge.org</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Known synthetic community composition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Marine, strain-mix, plant-associated</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Community standard; publishable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CAMI III</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data.cami-challenge.org</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Long-read + hybrid; extended complexity</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Multiple biomes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Latest benchmark (confirm pub status)</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Earth Microbiome Project</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qiita.ucsd.edu</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30,000+ samples, 97 environments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Global cross-biome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Generalizability testing</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HMP2 (iHMP)</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hmpdacc.org</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Longitudinal multiomics, human-associated</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Human gut, oral, skin</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Baseline performance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NMDC Standardized</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microbiomedata.org</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FAIR-compliant, standardized workflows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Soil, aquatic, host-associated</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Direct DOE alignment</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TARA Oceans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oceans.taraexpeditions.org</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Global ocean metagenomes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Marine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DOE ESS relevance</w:t>
            </w:r>
          </w:p>
        </w:tc>
      </w:tr>
      <w:tr>
        <w:trPr>
          <w:tblHeader w:val="false"/>
        </w:trPr>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BacDive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bacdive.dsmz.de</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Curated phenotypes for ~85,000 strains</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Cultured bacteria/archaea</w:t>
            </w:r>
          </w:p>
        </w:tc>
        <w:tc>
          <w:tcPr>
            <w:tcW w:type="dxa" w:w="1872"/>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Phenotype prediction ground truth</w:t>
            </w:r>
          </w:p>
        </w:tc>
      </w:tr>
    </w:tbl>
    <w:p>
      <w:pPr>
        <w:spacing w:after="120" w:before="120"/>
      </w:pPr>
    </w:p>
    <w:p>
      <w:pPr>
        <w:pStyle w:val="Heading3"/>
        <w:spacing w:after="120" w:before="240"/>
      </w:pPr>
      <w:r>
        <w:rPr>
          <w:rFonts w:ascii="Arial" w:cs="Arial" w:eastAsia="Arial" w:hAnsi="Arial"/>
        </w:rPr>
        <w:t xml:space="preserve">7.2 DOE User Facility Integration</w:t>
      </w:r>
    </w:p>
    <w:p>
      <w:pPr>
        <w:spacing w:after="60" w:before="60"/>
      </w:pPr>
      <w:r>
        <w:rPr>
          <w:rFonts w:ascii="Arial" w:cs="Arial" w:eastAsia="Arial" w:hAnsi="Arial"/>
          <w:sz w:val="22"/>
          <w:szCs w:val="22"/>
        </w:rPr>
        <w:t xml:space="preserve">Competitive proposals must demonstrate integration with DOE infrastructure. Recommended touchpoints: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Facility</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Integration Point</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Grant Benefit</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JGI IMG/M</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Use JGI-annotated metagenomes as baseline; compare AI annotation against JGI pipeline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Establishes improvement over DOE's own tools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KBase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Deploy AI workflows as KBase apps; use BERIL agentic AI interface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Demonstrates deployability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NMDC</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Use NMDC EDGE standardized outputs as traditional baseline; contribute AI-enhanced results back</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FAIR compliance; DOE ecosystem participation</w:t>
            </w:r>
          </w:p>
        </w:tc>
      </w:tr>
    </w:tbl>
    <w:p>
      <w:pPr>
        <w:spacing w:after="120" w:before="120"/>
      </w:pPr>
    </w:p>
    <w:p>
      <w:pPr>
        <w:pStyle w:val="Heading3"/>
        <w:spacing w:after="120" w:before="240"/>
      </w:pPr>
      <w:r>
        <w:rPr>
          <w:rFonts w:ascii="Arial" w:cs="Arial" w:eastAsia="Arial" w:hAnsi="Arial"/>
        </w:rPr>
        <w:t xml:space="preserve">7.3 Experimental Validation Component</w:t>
      </w:r>
    </w:p>
    <w:p>
      <w:pPr>
        <w:spacing w:after="60" w:before="60"/>
      </w:pPr>
      <w:r>
        <w:rPr>
          <w:rFonts w:ascii="Arial" w:cs="Arial" w:eastAsia="Arial" w:hAnsi="Arial"/>
          <w:sz w:val="22"/>
          <w:szCs w:val="22"/>
        </w:rPr>
        <w:t xml:space="preserve">A subset of AI-unique predictions (phenotype, function, ecological association) should be experimentally validated: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Phenotype predictions</w:t>
      </w:r>
      <w:r>
        <w:rPr>
          <w:rFonts w:ascii="Arial" w:cs="Arial" w:eastAsia="Arial" w:hAnsi="Arial"/>
          <w:sz w:val="22"/>
          <w:szCs w:val="22"/>
        </w:rPr>
        <w:t xml:space="preserve">: Growth assays under predicted conditions (temperature, pH, oxygen, salt)</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Functional annotations</w:t>
      </w:r>
      <w:r>
        <w:rPr>
          <w:rFonts w:ascii="Arial" w:cs="Arial" w:eastAsia="Arial" w:hAnsi="Arial"/>
          <w:sz w:val="22"/>
          <w:szCs w:val="22"/>
        </w:rPr>
        <w:t xml:space="preserve">: Heterologous expression or knockout experiments for predicted enzyme activities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Ecological associations</w:t>
      </w:r>
      <w:r>
        <w:rPr>
          <w:rFonts w:ascii="Arial" w:cs="Arial" w:eastAsia="Arial" w:hAnsi="Arial"/>
          <w:sz w:val="22"/>
          <w:szCs w:val="22"/>
        </w:rPr>
        <w:t xml:space="preserve">: Controlled co-culture or mesocosm experiments testing predicted interactions</w:t>
      </w:r>
    </w:p>
    <w:p>
      <w:pPr>
        <w:spacing w:after="60" w:before="60"/>
      </w:pPr>
      <w:r>
        <w:rPr>
          <w:rFonts w:ascii="Arial" w:cs="Arial" w:eastAsia="Arial" w:hAnsi="Arial"/>
          <w:sz w:val="22"/>
          <w:szCs w:val="22"/>
        </w:rPr>
        <w:t xml:space="preserve">Budget estimate: 15–25% of Phase I funding allocated to validation experiments. This is critical — Boyack et al. (2025) showed that AI's limitation is not informatic but experimental. A proposal that includes validation signals methodological maturity to reviewers.</w:t>
      </w:r>
    </w:p>
    <w:p>
      <w:pPr>
        <w:pBdr>
          <w:bottom w:val="single" w:color="CCCCCC" w:sz="1" w:space="1"/>
        </w:pBdr>
        <w:spacing w:after="200" w:before="200"/>
      </w:pPr>
    </w:p>
    <w:p>
      <w:pPr>
        <w:pStyle w:val="Heading2"/>
        <w:spacing w:after="200" w:before="360"/>
      </w:pPr>
      <w:r>
        <w:rPr>
          <w:rFonts w:ascii="Arial" w:cs="Arial" w:eastAsia="Arial" w:hAnsi="Arial"/>
        </w:rPr>
        <w:t xml:space="preserve">8. Expected Outcomes and Impact Framing</w:t>
      </w:r>
    </w:p>
    <w:p>
      <w:pPr>
        <w:pStyle w:val="Heading3"/>
        <w:spacing w:after="120" w:before="240"/>
      </w:pPr>
      <w:r>
        <w:rPr>
          <w:rFonts w:ascii="Arial" w:cs="Arial" w:eastAsia="Arial" w:hAnsi="Arial"/>
        </w:rPr>
        <w:t xml:space="preserve">8.1 Quantitative Projections (Conservative Estimates)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Expected AI Advantage</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Evidence Base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Species-level classification accuracy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+15–25%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Lamurias et al. 2024</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Near-complete MAG recovery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+22–33%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Han et al. 2025; Pan et al. 2023</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Functional annotation coverage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+15–40% (DMIR 0.15–0.40)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Maranga et al. 2023; Kulmanov et al. 2024</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Phenotype prediction coverage</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+20–40 pp (PPF-Δ)</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Koblitz et al. 2025</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Curation efficiency</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3–5× (CER)</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Reimer et al. 2025</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False discovery reduction</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CFS +0.10–0.25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Nearing et al. 2022 (baseline)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Discovery throughput</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3–10× (DTI)</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Gao et al. 2024; OPAL framing</w:t>
            </w:r>
          </w:p>
        </w:tc>
      </w:tr>
    </w:tbl>
    <w:p>
      <w:pPr>
        <w:spacing w:after="120" w:before="120"/>
      </w:pPr>
    </w:p>
    <w:p>
      <w:pPr>
        <w:pStyle w:val="Heading3"/>
        <w:spacing w:after="120" w:before="240"/>
      </w:pPr>
      <w:r>
        <w:rPr>
          <w:rFonts w:ascii="Arial" w:cs="Arial" w:eastAsia="Arial" w:hAnsi="Arial"/>
        </w:rPr>
        <w:t xml:space="preserve">8.2 DOE Mission Impact Language</w:t>
      </w:r>
    </w:p>
    <w:p>
      <w:pPr>
        <w:spacing w:after="60" w:before="60"/>
      </w:pPr>
      <w:r>
        <w:rPr>
          <w:rFonts w:ascii="Arial" w:cs="Arial" w:eastAsia="Arial" w:hAnsi="Arial"/>
          <w:sz w:val="22"/>
          <w:szCs w:val="22"/>
        </w:rPr>
        <w:t xml:space="preserve">Adopt the language patterns that successful DOE proposals use:</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"Weeks to hours"</w:t>
      </w:r>
      <w:r>
        <w:rPr>
          <w:rFonts w:ascii="Arial" w:cs="Arial" w:eastAsia="Arial" w:hAnsi="Arial"/>
          <w:sz w:val="22"/>
          <w:szCs w:val="22"/>
        </w:rPr>
        <w:t xml:space="preserve">: "The AI-enhanced pipeline reduces sample-to-insight time from weeks of manual curation to hours of automated analysis" (OPAL-style framing)</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"Scale previously impossible"</w:t>
      </w:r>
      <w:r>
        <w:rPr>
          <w:rFonts w:ascii="Arial" w:cs="Arial" w:eastAsia="Arial" w:hAnsi="Arial"/>
          <w:sz w:val="22"/>
          <w:szCs w:val="22"/>
        </w:rPr>
        <w:t xml:space="preserve">: "AI enables phenotype prediction for the 40–60% of environmental microbes that are structurally invisible to traditional methods"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"Foundational capability"</w:t>
      </w:r>
      <w:r>
        <w:rPr>
          <w:rFonts w:ascii="Arial" w:cs="Arial" w:eastAsia="Arial" w:hAnsi="Arial"/>
          <w:sz w:val="22"/>
          <w:szCs w:val="22"/>
        </w:rPr>
        <w:t xml:space="preserve">: "This framework is not a single-application tool but a generalizable approach applicable across DOE biological research programs"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"FAIR and deployable"</w:t>
      </w:r>
      <w:r>
        <w:rPr>
          <w:rFonts w:ascii="Arial" w:cs="Arial" w:eastAsia="Arial" w:hAnsi="Arial"/>
          <w:sz w:val="22"/>
          <w:szCs w:val="22"/>
        </w:rPr>
        <w:t xml:space="preserve">: "All methods will be deployed as KBase apps and NMDC-compatible workflows, ensuring community access"</w:t>
      </w:r>
    </w:p>
    <w:p>
      <w:pPr>
        <w:pStyle w:val="Heading3"/>
        <w:spacing w:after="120" w:before="240"/>
      </w:pPr>
      <w:r>
        <w:rPr>
          <w:rFonts w:ascii="Arial" w:cs="Arial" w:eastAsia="Arial" w:hAnsi="Arial"/>
        </w:rPr>
        <w:t xml:space="preserve">8.3 Broader Impacts</w:t>
      </w:r>
    </w:p>
    <w:p>
      <w:pPr>
        <w:spacing w:after="40" w:before="40"/>
        <w:ind w:left="720" w:hanging="360"/>
      </w:pPr>
      <w:r>
        <w:rPr>
          <w:rFonts w:ascii="Arial" w:cs="Arial" w:eastAsia="Arial" w:hAnsi="Arial"/>
          <w:b/>
          <w:bCs/>
          <w:sz w:val="22"/>
          <w:szCs w:val="22"/>
        </w:rPr>
        <w:t xml:space="preserve">Dataset contribution</w:t>
      </w:r>
      <w:r>
        <w:rPr>
          <w:rFonts w:ascii="Arial" w:cs="Arial" w:eastAsia="Arial" w:hAnsi="Arial"/>
          <w:sz w:val="22"/>
          <w:szCs w:val="22"/>
        </w:rPr>
        <w:t xml:space="preserve">: All benchmark results and AI-annotated metagenomes contributed to NMDC</w:t>
      </w:r>
    </w:p>
    <w:p>
      <w:pPr>
        <w:spacing w:after="40" w:before="40"/>
        <w:ind w:left="720" w:hanging="360"/>
      </w:pPr>
      <w:r>
        <w:rPr>
          <w:rFonts w:ascii="Arial" w:cs="Arial" w:eastAsia="Arial" w:hAnsi="Arial"/>
          <w:b/>
          <w:bCs/>
          <w:sz w:val="22"/>
          <w:szCs w:val="22"/>
        </w:rPr>
        <w:t xml:space="preserve">Open-source tools</w:t>
      </w:r>
      <w:r>
        <w:rPr>
          <w:rFonts w:ascii="Arial" w:cs="Arial" w:eastAsia="Arial" w:hAnsi="Arial"/>
          <w:sz w:val="22"/>
          <w:szCs w:val="22"/>
        </w:rPr>
        <w:t xml:space="preserve">: AI pipelines released as reproducible Nextflow/Snakemake workflows</w:t>
      </w:r>
    </w:p>
    <w:p>
      <w:pPr>
        <w:spacing w:after="40" w:before="40"/>
        <w:ind w:left="720" w:hanging="360"/>
      </w:pPr>
      <w:r>
        <w:rPr>
          <w:rFonts w:ascii="Arial" w:cs="Arial" w:eastAsia="Arial" w:hAnsi="Arial"/>
          <w:b/>
          <w:bCs/>
          <w:sz w:val="22"/>
          <w:szCs w:val="22"/>
        </w:rPr>
        <w:t xml:space="preserve">Training</w:t>
      </w:r>
      <w:r>
        <w:rPr>
          <w:rFonts w:ascii="Arial" w:cs="Arial" w:eastAsia="Arial" w:hAnsi="Arial"/>
          <w:sz w:val="22"/>
          <w:szCs w:val="22"/>
        </w:rPr>
        <w:t xml:space="preserve">: Workshop series on AI metagenomics methods at DOE user facility annual meetings</w:t>
      </w:r>
    </w:p>
    <w:p>
      <w:pPr>
        <w:spacing w:after="40" w:before="40"/>
        <w:ind w:left="720" w:hanging="360"/>
      </w:pPr>
      <w:r>
        <w:rPr>
          <w:rFonts w:ascii="Arial" w:cs="Arial" w:eastAsia="Arial" w:hAnsi="Arial"/>
          <w:b/>
          <w:bCs/>
          <w:sz w:val="22"/>
          <w:szCs w:val="22"/>
        </w:rPr>
        <w:t xml:space="preserve">Equity</w:t>
      </w:r>
      <w:r>
        <w:rPr>
          <w:rFonts w:ascii="Arial" w:cs="Arial" w:eastAsia="Arial" w:hAnsi="Arial"/>
          <w:sz w:val="22"/>
          <w:szCs w:val="22"/>
        </w:rPr>
        <w:t xml:space="preserve">: AI methods reduce the expertise barrier for metagenomics analysis at under-resourced institutions</w:t>
      </w:r>
    </w:p>
    <w:p>
      <w:pPr>
        <w:pBdr>
          <w:bottom w:val="single" w:color="CCCCCC" w:sz="1" w:space="1"/>
        </w:pBdr>
        <w:spacing w:after="200" w:before="200"/>
      </w:pPr>
    </w:p>
    <w:p>
      <w:pPr>
        <w:pStyle w:val="Heading2"/>
        <w:spacing w:after="200" w:before="360"/>
      </w:pPr>
      <w:r>
        <w:rPr>
          <w:rFonts w:ascii="Arial" w:cs="Arial" w:eastAsia="Arial" w:hAnsi="Arial"/>
        </w:rPr>
        <w:t xml:space="preserve">9. Literature Foundation</w:t>
      </w:r>
    </w:p>
    <w:p>
      <w:pPr>
        <w:pStyle w:val="Heading3"/>
        <w:spacing w:after="120" w:before="240"/>
      </w:pPr>
      <w:r>
        <w:rPr>
          <w:rFonts w:ascii="Arial" w:cs="Arial" w:eastAsia="Arial" w:hAnsi="Arial"/>
        </w:rPr>
        <w:t xml:space="preserve">9.1 AI-Enhanced Metagenomics (Primary References)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Citation</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Key Contribution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Koblitz et al. (2025) </w:t>
            </w:r>
            <w:r>
              <w:rPr>
                <w:rFonts w:ascii="Arial" w:cs="Arial" w:eastAsia="Arial" w:hAnsi="Arial"/>
                <w:i/>
                <w:iCs/>
                <w:sz w:val="22"/>
                <w:szCs w:val="22"/>
              </w:rPr>
              <w:t xml:space="preserve">Communications Biology</w:t>
            </w:r>
            <w:r>
              <w:rPr>
                <w:rFonts w:ascii="Arial" w:cs="Arial" w:eastAsia="Arial" w:hAnsi="Arial"/>
                <w:sz w:val="22"/>
                <w:szCs w:val="22"/>
              </w:rPr>
              <w:t xml:space="preserve"> 8:527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RF phenotype prediction from protein families; 79–98% accuracy, ~55K new predictions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Lamurias et al. (2024) </w:t>
            </w:r>
            <w:r>
              <w:rPr>
                <w:rFonts w:ascii="Arial" w:cs="Arial" w:eastAsia="Arial" w:hAnsi="Arial"/>
                <w:i/>
                <w:iCs/>
                <w:sz w:val="22"/>
                <w:szCs w:val="22"/>
              </w:rPr>
              <w:t xml:space="preserve">Nature Communications</w:t>
            </w:r>
            <w:r>
              <w:rPr>
                <w:rFonts w:ascii="Arial" w:cs="Arial" w:eastAsia="Arial" w:hAnsi="Arial"/>
                <w:sz w:val="22"/>
                <w:szCs w:val="22"/>
              </w:rPr>
              <w:t xml:space="preserve"> 15:1560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Taxometer: DL taxonomic refinement; +15–25% species accuracy over Kraken2</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Wang et al. (2024) </w:t>
            </w:r>
            <w:r>
              <w:rPr>
                <w:rFonts w:ascii="Arial" w:cs="Arial" w:eastAsia="Arial" w:hAnsi="Arial"/>
                <w:i/>
                <w:iCs/>
                <w:sz w:val="22"/>
                <w:szCs w:val="22"/>
              </w:rPr>
              <w:t xml:space="preserve">Nature Communications</w:t>
            </w:r>
            <w:r>
              <w:rPr>
                <w:rFonts w:ascii="Arial" w:cs="Arial" w:eastAsia="Arial" w:hAnsi="Arial"/>
                <w:sz w:val="22"/>
                <w:szCs w:val="22"/>
              </w:rPr>
              <w:t xml:space="preserve"> 15:585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COMEBin: contrastive self-supervised binning; CAMI II SOTA</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Pan et al. (2023) </w:t>
            </w:r>
            <w:r>
              <w:rPr>
                <w:rFonts w:ascii="Arial" w:cs="Arial" w:eastAsia="Arial" w:hAnsi="Arial"/>
                <w:i/>
                <w:iCs/>
                <w:sz w:val="22"/>
                <w:szCs w:val="22"/>
              </w:rPr>
              <w:t xml:space="preserve">Bioinformatics</w:t>
            </w:r>
            <w:r>
              <w:rPr>
                <w:rFonts w:ascii="Arial" w:cs="Arial" w:eastAsia="Arial" w:hAnsi="Arial"/>
                <w:sz w:val="22"/>
                <w:szCs w:val="22"/>
              </w:rPr>
              <w:t xml:space="preserve"> 39:btac817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SemiBin2: siamese NN binning; +9–33% MAGs across environments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Han et al. (2025) </w:t>
            </w:r>
            <w:r>
              <w:rPr>
                <w:rFonts w:ascii="Arial" w:cs="Arial" w:eastAsia="Arial" w:hAnsi="Arial"/>
                <w:i/>
                <w:iCs/>
                <w:sz w:val="22"/>
                <w:szCs w:val="22"/>
              </w:rPr>
              <w:t xml:space="preserve">Nature Communications</w:t>
            </w:r>
            <w:r>
              <w:rPr>
                <w:rFonts w:ascii="Arial" w:cs="Arial" w:eastAsia="Arial" w:hAnsi="Arial"/>
                <w:sz w:val="22"/>
                <w:szCs w:val="22"/>
              </w:rPr>
              <w:t xml:space="preserve"> 16:2041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Comprehensive binning benchmark: DL methods +22% MAGs mean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6</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Maranga et al. (2023) </w:t>
            </w:r>
            <w:r>
              <w:rPr>
                <w:rFonts w:ascii="Arial" w:cs="Arial" w:eastAsia="Arial" w:hAnsi="Arial"/>
                <w:i/>
                <w:iCs/>
                <w:sz w:val="22"/>
                <w:szCs w:val="22"/>
              </w:rPr>
              <w:t xml:space="preserve">mSystems</w:t>
            </w:r>
            <w:r>
              <w:rPr>
                <w:rFonts w:ascii="Arial" w:cs="Arial" w:eastAsia="Arial" w:hAnsi="Arial"/>
                <w:sz w:val="22"/>
                <w:szCs w:val="22"/>
              </w:rPr>
              <w:t xml:space="preserve"> 8:e00290-23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GCN+ESM-2 functional annotation; +15–40% coverage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Kulmanov et al. (2024) </w:t>
            </w:r>
            <w:r>
              <w:rPr>
                <w:rFonts w:ascii="Arial" w:cs="Arial" w:eastAsia="Arial" w:hAnsi="Arial"/>
                <w:i/>
                <w:iCs/>
                <w:sz w:val="22"/>
                <w:szCs w:val="22"/>
              </w:rPr>
              <w:t xml:space="preserve">Scientific Reports</w:t>
            </w:r>
            <w:r>
              <w:rPr>
                <w:rFonts w:ascii="Arial" w:cs="Arial" w:eastAsia="Arial" w:hAnsi="Arial"/>
                <w:sz w:val="22"/>
                <w:szCs w:val="22"/>
              </w:rPr>
              <w:t xml:space="preserve"> 14:2181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DeepGOMeta: ontology-aware DL; 35% more ORFs annotated</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Wang et al. (2024) </w:t>
            </w:r>
            <w:r>
              <w:rPr>
                <w:rFonts w:ascii="Arial" w:cs="Arial" w:eastAsia="Arial" w:hAnsi="Arial"/>
                <w:i/>
                <w:iCs/>
                <w:sz w:val="22"/>
                <w:szCs w:val="22"/>
              </w:rPr>
              <w:t xml:space="preserve">Genome Biology</w:t>
            </w:r>
            <w:r>
              <w:rPr>
                <w:rFonts w:ascii="Arial" w:cs="Arial" w:eastAsia="Arial" w:hAnsi="Arial"/>
                <w:sz w:val="22"/>
                <w:szCs w:val="22"/>
              </w:rPr>
              <w:t xml:space="preserve"> 25:34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AnnoPRO: dual-path protein annotation; +23% AUPR</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9</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Lesimple et al. (2023) </w:t>
            </w:r>
            <w:r>
              <w:rPr>
                <w:rFonts w:ascii="Arial" w:cs="Arial" w:eastAsia="Arial" w:hAnsi="Arial"/>
                <w:i/>
                <w:iCs/>
                <w:sz w:val="22"/>
                <w:szCs w:val="22"/>
              </w:rPr>
              <w:t xml:space="preserve">mSystems</w:t>
            </w:r>
            <w:r>
              <w:rPr>
                <w:rFonts w:ascii="Arial" w:cs="Arial" w:eastAsia="Arial" w:hAnsi="Arial"/>
                <w:sz w:val="22"/>
                <w:szCs w:val="22"/>
              </w:rPr>
              <w:t xml:space="preserve"> 8:e00407-23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k-mer ML phenotype prediction; no annotation required</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Peng et al. (2024) </w:t>
            </w:r>
            <w:r>
              <w:rPr>
                <w:rFonts w:ascii="Arial" w:cs="Arial" w:eastAsia="Arial" w:hAnsi="Arial"/>
                <w:i/>
                <w:iCs/>
                <w:sz w:val="22"/>
                <w:szCs w:val="22"/>
              </w:rPr>
              <w:t xml:space="preserve">Briefings in Bioinformatics</w:t>
            </w:r>
            <w:r>
              <w:rPr>
                <w:rFonts w:ascii="Arial" w:cs="Arial" w:eastAsia="Arial" w:hAnsi="Arial"/>
                <w:sz w:val="22"/>
                <w:szCs w:val="22"/>
              </w:rPr>
              <w:t xml:space="preserve"> 25:bbad527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MicroHDF: deep forest disease classification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Reimer et al. (2025) </w:t>
            </w:r>
            <w:r>
              <w:rPr>
                <w:rFonts w:ascii="Arial" w:cs="Arial" w:eastAsia="Arial" w:hAnsi="Arial"/>
                <w:i/>
                <w:iCs/>
                <w:sz w:val="22"/>
                <w:szCs w:val="22"/>
              </w:rPr>
              <w:t xml:space="preserve">Bioinformatics Advances</w:t>
            </w:r>
            <w:r>
              <w:rPr>
                <w:rFonts w:ascii="Arial" w:cs="Arial" w:eastAsia="Arial" w:hAnsi="Arial"/>
                <w:sz w:val="22"/>
                <w:szCs w:val="22"/>
              </w:rPr>
              <w:t xml:space="preserve"> 5:vbaf021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LLM metadata harmonization; 89% vs 67% agreement</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Ahsan et al. (2023) </w:t>
            </w:r>
            <w:r>
              <w:rPr>
                <w:rFonts w:ascii="Arial" w:cs="Arial" w:eastAsia="Arial" w:hAnsi="Arial"/>
                <w:i/>
                <w:iCs/>
                <w:sz w:val="22"/>
                <w:szCs w:val="22"/>
              </w:rPr>
              <w:t xml:space="preserve">Nature Genetics</w:t>
            </w:r>
            <w:r>
              <w:rPr>
                <w:rFonts w:ascii="Arial" w:cs="Arial" w:eastAsia="Arial" w:hAnsi="Arial"/>
                <w:sz w:val="22"/>
                <w:szCs w:val="22"/>
              </w:rPr>
              <w:t xml:space="preserve"> 55:2096</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AutoComplete: neural phenotype imputation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UniProt Consortium (2025) </w:t>
            </w:r>
            <w:r>
              <w:rPr>
                <w:rFonts w:ascii="Arial" w:cs="Arial" w:eastAsia="Arial" w:hAnsi="Arial"/>
                <w:i/>
                <w:iCs/>
                <w:sz w:val="22"/>
                <w:szCs w:val="22"/>
              </w:rPr>
              <w:t xml:space="preserve">NAR</w:t>
            </w:r>
            <w:r>
              <w:rPr>
                <w:rFonts w:ascii="Arial" w:cs="Arial" w:eastAsia="Arial" w:hAnsi="Arial"/>
                <w:sz w:val="22"/>
                <w:szCs w:val="22"/>
              </w:rPr>
              <w:t xml:space="preserve"> 53:D609</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AI-assisted annotation at scale</w:t>
            </w:r>
          </w:p>
        </w:tc>
      </w:tr>
    </w:tbl>
    <w:p>
      <w:pPr>
        <w:spacing w:after="120" w:before="120"/>
      </w:pPr>
    </w:p>
    <w:p>
      <w:pPr>
        <w:pStyle w:val="Heading3"/>
        <w:spacing w:after="120" w:before="240"/>
      </w:pPr>
      <w:r>
        <w:rPr>
          <w:rFonts w:ascii="Arial" w:cs="Arial" w:eastAsia="Arial" w:hAnsi="Arial"/>
        </w:rPr>
        <w:t xml:space="preserve">9.2 Traditional Methods (Baseline References)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Citation</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Key Contribution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Meyer et al. (2022) </w:t>
            </w:r>
            <w:r>
              <w:rPr>
                <w:rFonts w:ascii="Arial" w:cs="Arial" w:eastAsia="Arial" w:hAnsi="Arial"/>
                <w:i/>
                <w:iCs/>
                <w:sz w:val="22"/>
                <w:szCs w:val="22"/>
              </w:rPr>
              <w:t xml:space="preserve">Nature Methods</w:t>
            </w:r>
            <w:r>
              <w:rPr>
                <w:rFonts w:ascii="Arial" w:cs="Arial" w:eastAsia="Arial" w:hAnsi="Arial"/>
                <w:sz w:val="22"/>
                <w:szCs w:val="22"/>
              </w:rPr>
              <w:t xml:space="preserve"> 19:429</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CAMI II: definitive metagenomics benchmark</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Lu et al. (2022) </w:t>
            </w:r>
            <w:r>
              <w:rPr>
                <w:rFonts w:ascii="Arial" w:cs="Arial" w:eastAsia="Arial" w:hAnsi="Arial"/>
                <w:i/>
                <w:iCs/>
                <w:sz w:val="22"/>
                <w:szCs w:val="22"/>
              </w:rPr>
              <w:t xml:space="preserve">Nature Protocols</w:t>
            </w:r>
            <w:r>
              <w:rPr>
                <w:rFonts w:ascii="Arial" w:cs="Arial" w:eastAsia="Arial" w:hAnsi="Arial"/>
                <w:sz w:val="22"/>
                <w:szCs w:val="22"/>
              </w:rPr>
              <w:t xml:space="preserve"> 17:2815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Kraken2 protocol; database completeness as limiting factor</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16</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Beghini et al. (2021) </w:t>
            </w:r>
            <w:r>
              <w:rPr>
                <w:rFonts w:ascii="Arial" w:cs="Arial" w:eastAsia="Arial" w:hAnsi="Arial"/>
                <w:i/>
                <w:iCs/>
                <w:sz w:val="22"/>
                <w:szCs w:val="22"/>
              </w:rPr>
              <w:t xml:space="preserve">eLife</w:t>
            </w:r>
            <w:r>
              <w:rPr>
                <w:rFonts w:ascii="Arial" w:cs="Arial" w:eastAsia="Arial" w:hAnsi="Arial"/>
                <w:sz w:val="22"/>
                <w:szCs w:val="22"/>
              </w:rPr>
              <w:t xml:space="preserve"> 10:e65088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bioBakery 3 (MetaPhlAn/HUMAnN); 30–50% functional dark matter</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Nearing et al. (2022) </w:t>
            </w:r>
            <w:r>
              <w:rPr>
                <w:rFonts w:ascii="Arial" w:cs="Arial" w:eastAsia="Arial" w:hAnsi="Arial"/>
                <w:i/>
                <w:iCs/>
                <w:sz w:val="22"/>
                <w:szCs w:val="22"/>
              </w:rPr>
              <w:t xml:space="preserve">Nature Communications</w:t>
            </w:r>
            <w:r>
              <w:rPr>
                <w:rFonts w:ascii="Arial" w:cs="Arial" w:eastAsia="Arial" w:hAnsi="Arial"/>
                <w:sz w:val="22"/>
                <w:szCs w:val="22"/>
              </w:rPr>
              <w:t xml:space="preserve"> 13:342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&lt;25% concordance between 14 DA methods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Pavlopoulos et al. (2023) </w:t>
            </w:r>
            <w:r>
              <w:rPr>
                <w:rFonts w:ascii="Arial" w:cs="Arial" w:eastAsia="Arial" w:hAnsi="Arial"/>
                <w:i/>
                <w:iCs/>
                <w:sz w:val="22"/>
                <w:szCs w:val="22"/>
              </w:rPr>
              <w:t xml:space="preserve">Nature</w:t>
            </w:r>
            <w:r>
              <w:rPr>
                <w:rFonts w:ascii="Arial" w:cs="Arial" w:eastAsia="Arial" w:hAnsi="Arial"/>
                <w:sz w:val="22"/>
                <w:szCs w:val="22"/>
              </w:rPr>
              <w:t xml:space="preserve"> 622:594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40–60% functional dark matter in environmental metagenomes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19</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Gloor et al. (2017) </w:t>
            </w:r>
            <w:r>
              <w:rPr>
                <w:rFonts w:ascii="Arial" w:cs="Arial" w:eastAsia="Arial" w:hAnsi="Arial"/>
                <w:i/>
                <w:iCs/>
                <w:sz w:val="22"/>
                <w:szCs w:val="22"/>
              </w:rPr>
              <w:t xml:space="preserve">Frontiers in Microbiology</w:t>
            </w:r>
            <w:r>
              <w:rPr>
                <w:rFonts w:ascii="Arial" w:cs="Arial" w:eastAsia="Arial" w:hAnsi="Arial"/>
                <w:sz w:val="22"/>
                <w:szCs w:val="22"/>
              </w:rPr>
              <w:t xml:space="preserve"> 8:2224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Compositionality violations in standard statistics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Karlsen et al. (2023) </w:t>
            </w:r>
            <w:r>
              <w:rPr>
                <w:rFonts w:ascii="Arial" w:cs="Arial" w:eastAsia="Arial" w:hAnsi="Arial"/>
                <w:i/>
                <w:iCs/>
                <w:sz w:val="22"/>
                <w:szCs w:val="22"/>
              </w:rPr>
              <w:t xml:space="preserve">FEMS Microbiology Reviews</w:t>
            </w:r>
            <w:r>
              <w:rPr>
                <w:rFonts w:ascii="Arial" w:cs="Arial" w:eastAsia="Arial" w:hAnsi="Arial"/>
                <w:sz w:val="22"/>
                <w:szCs w:val="22"/>
              </w:rPr>
              <w:t xml:space="preserve"> 47:fuad025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Phenotype prediction review; structural gaps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Bickhart et al. (2022) </w:t>
            </w:r>
            <w:r>
              <w:rPr>
                <w:rFonts w:ascii="Arial" w:cs="Arial" w:eastAsia="Arial" w:hAnsi="Arial"/>
                <w:i/>
                <w:iCs/>
                <w:sz w:val="22"/>
                <w:szCs w:val="22"/>
              </w:rPr>
              <w:t xml:space="preserve">Nature Biotechnology</w:t>
            </w:r>
            <w:r>
              <w:rPr>
                <w:rFonts w:ascii="Arial" w:cs="Arial" w:eastAsia="Arial" w:hAnsi="Arial"/>
                <w:sz w:val="22"/>
                <w:szCs w:val="22"/>
              </w:rPr>
              <w:t xml:space="preserve"> 40:711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MAG recovery plateau for short-read binning</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Steinegger &amp; Söding (2018) </w:t>
            </w:r>
            <w:r>
              <w:rPr>
                <w:rFonts w:ascii="Arial" w:cs="Arial" w:eastAsia="Arial" w:hAnsi="Arial"/>
                <w:i/>
                <w:iCs/>
                <w:sz w:val="22"/>
                <w:szCs w:val="22"/>
              </w:rPr>
              <w:t xml:space="preserve">Nature Communications</w:t>
            </w:r>
            <w:r>
              <w:rPr>
                <w:rFonts w:ascii="Arial" w:cs="Arial" w:eastAsia="Arial" w:hAnsi="Arial"/>
                <w:sz w:val="22"/>
                <w:szCs w:val="22"/>
              </w:rPr>
              <w:t xml:space="preserve"> 9:2542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MMseqs2; recall collapses below 30% identity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Bolyen et al. (2019) </w:t>
            </w:r>
            <w:r>
              <w:rPr>
                <w:rFonts w:ascii="Arial" w:cs="Arial" w:eastAsia="Arial" w:hAnsi="Arial"/>
                <w:i/>
                <w:iCs/>
                <w:sz w:val="22"/>
                <w:szCs w:val="22"/>
              </w:rPr>
              <w:t xml:space="preserve">Nature Biotechnology</w:t>
            </w:r>
            <w:r>
              <w:rPr>
                <w:rFonts w:ascii="Arial" w:cs="Arial" w:eastAsia="Arial" w:hAnsi="Arial"/>
                <w:sz w:val="22"/>
                <w:szCs w:val="22"/>
              </w:rPr>
              <w:t xml:space="preserve"> 37:852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QIIME 2 framework</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Saheb Kashaf et al. (2022) </w:t>
            </w:r>
            <w:r>
              <w:rPr>
                <w:rFonts w:ascii="Arial" w:cs="Arial" w:eastAsia="Arial" w:hAnsi="Arial"/>
                <w:i/>
                <w:iCs/>
                <w:sz w:val="22"/>
                <w:szCs w:val="22"/>
              </w:rPr>
              <w:t xml:space="preserve">Nature Microbiology</w:t>
            </w:r>
            <w:r>
              <w:rPr>
                <w:rFonts w:ascii="Arial" w:cs="Arial" w:eastAsia="Arial" w:hAnsi="Arial"/>
                <w:sz w:val="22"/>
                <w:szCs w:val="22"/>
              </w:rPr>
              <w:t xml:space="preserve"> 7:169</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Reference gap quantification</w:t>
            </w:r>
          </w:p>
        </w:tc>
      </w:tr>
    </w:tbl>
    <w:p>
      <w:pPr>
        <w:spacing w:after="120" w:before="120"/>
      </w:pPr>
    </w:p>
    <w:p>
      <w:pPr>
        <w:pStyle w:val="Heading3"/>
        <w:spacing w:after="120" w:before="240"/>
      </w:pPr>
      <w:r>
        <w:rPr>
          <w:rFonts w:ascii="Arial" w:cs="Arial" w:eastAsia="Arial" w:hAnsi="Arial"/>
        </w:rPr>
        <w:t xml:space="preserve">9.3 AI Advantage Quantification and Grant Framing</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Citation</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Key Contribution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Gao et al. (2024) </w:t>
            </w:r>
            <w:r>
              <w:rPr>
                <w:rFonts w:ascii="Arial" w:cs="Arial" w:eastAsia="Arial" w:hAnsi="Arial"/>
                <w:i/>
                <w:iCs/>
                <w:sz w:val="22"/>
                <w:szCs w:val="22"/>
              </w:rPr>
              <w:t xml:space="preserve">Nature Human Behaviour</w:t>
            </w:r>
            <w:r>
              <w:rPr>
                <w:rFonts w:ascii="Arial" w:cs="Arial" w:eastAsia="Arial" w:hAnsi="Arial"/>
                <w:sz w:val="22"/>
                <w:szCs w:val="22"/>
              </w:rPr>
              <w:t xml:space="preserve"> / arXiv:2304.10578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3.02× publication rate, 4.84× citation premium for AI-adopting biologists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26</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Birhane et al. (2023) </w:t>
            </w:r>
            <w:r>
              <w:rPr>
                <w:rFonts w:ascii="Arial" w:cs="Arial" w:eastAsia="Arial" w:hAnsi="Arial"/>
                <w:i/>
                <w:iCs/>
                <w:sz w:val="22"/>
                <w:szCs w:val="22"/>
              </w:rPr>
              <w:t xml:space="preserve">Nature Reviews Physics</w:t>
            </w:r>
            <w:r>
              <w:rPr>
                <w:rFonts w:ascii="Arial" w:cs="Arial" w:eastAsia="Arial" w:hAnsi="Arial"/>
                <w:sz w:val="22"/>
                <w:szCs w:val="22"/>
              </w:rPr>
              <w:t xml:space="preserve"> 5:277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Three-level AI advantage framework (throughput/quality/capability)</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Boyack et al. (2025) </w:t>
            </w:r>
            <w:r>
              <w:rPr>
                <w:rFonts w:ascii="Arial" w:cs="Arial" w:eastAsia="Arial" w:hAnsi="Arial"/>
                <w:i/>
                <w:iCs/>
                <w:sz w:val="22"/>
                <w:szCs w:val="22"/>
              </w:rPr>
              <w:t xml:space="preserve">Scientific Reports</w:t>
            </w:r>
            <w:r>
              <w:rPr>
                <w:rFonts w:ascii="Arial" w:cs="Arial" w:eastAsia="Arial" w:hAnsi="Arial"/>
                <w:sz w:val="22"/>
                <w:szCs w:val="22"/>
              </w:rPr>
              <w:t xml:space="preserve"> 15:4312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Counterpoint: AI accelerates informatics but not experimental discovery rate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Toner &amp; Stix (2024) </w:t>
            </w:r>
            <w:r>
              <w:rPr>
                <w:rFonts w:ascii="Arial" w:cs="Arial" w:eastAsia="Arial" w:hAnsi="Arial"/>
                <w:i/>
                <w:iCs/>
                <w:sz w:val="22"/>
                <w:szCs w:val="22"/>
              </w:rPr>
              <w:t xml:space="preserve">Nature</w:t>
            </w:r>
            <w:r>
              <w:rPr>
                <w:rFonts w:ascii="Arial" w:cs="Arial" w:eastAsia="Arial" w:hAnsi="Arial"/>
                <w:sz w:val="22"/>
                <w:szCs w:val="22"/>
              </w:rPr>
              <w:t xml:space="preserve"> 625:626</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12–18% more publications for AI-adopting researchers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29</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Sharma et al. (2025) </w:t>
            </w:r>
            <w:r>
              <w:rPr>
                <w:rFonts w:ascii="Arial" w:cs="Arial" w:eastAsia="Arial" w:hAnsi="Arial"/>
                <w:i/>
                <w:iCs/>
                <w:sz w:val="22"/>
                <w:szCs w:val="22"/>
              </w:rPr>
              <w:t xml:space="preserve">mSystems</w:t>
            </w:r>
            <w:r>
              <w:rPr>
                <w:rFonts w:ascii="Arial" w:cs="Arial" w:eastAsia="Arial" w:hAnsi="Arial"/>
                <w:sz w:val="22"/>
                <w:szCs w:val="22"/>
              </w:rPr>
              <w:t xml:space="preserve"> 10:e01142-24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Comprehensive ML in metagenomics review</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Roy et al. (2024) </w:t>
            </w:r>
            <w:r>
              <w:rPr>
                <w:rFonts w:ascii="Arial" w:cs="Arial" w:eastAsia="Arial" w:hAnsi="Arial"/>
                <w:i/>
                <w:iCs/>
                <w:sz w:val="22"/>
                <w:szCs w:val="22"/>
              </w:rPr>
              <w:t xml:space="preserve">Microbial Genomics</w:t>
            </w:r>
            <w:r>
              <w:rPr>
                <w:rFonts w:ascii="Arial" w:cs="Arial" w:eastAsia="Arial" w:hAnsi="Arial"/>
                <w:sz w:val="22"/>
                <w:szCs w:val="22"/>
              </w:rPr>
              <w:t xml:space="preserve"> 10:001228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 role taxonomy: discovery/validation/automation/prediction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31</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ISME Journal (2025) 19:45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Neural subcommunity detection superior to ordination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32</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Shaffer et al. (2022) </w:t>
            </w:r>
            <w:r>
              <w:rPr>
                <w:rFonts w:ascii="Arial" w:cs="Arial" w:eastAsia="Arial" w:hAnsi="Arial"/>
                <w:i/>
                <w:iCs/>
                <w:sz w:val="22"/>
                <w:szCs w:val="22"/>
              </w:rPr>
              <w:t xml:space="preserve">Nature Microbiology</w:t>
            </w:r>
            <w:r>
              <w:rPr>
                <w:rFonts w:ascii="Arial" w:cs="Arial" w:eastAsia="Arial" w:hAnsi="Arial"/>
                <w:sz w:val="22"/>
                <w:szCs w:val="22"/>
              </w:rPr>
              <w:t xml:space="preserve"> 7:2128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Multi-omics dark matter; structure-aware annotation needed</w:t>
            </w:r>
          </w:p>
        </w:tc>
      </w:tr>
    </w:tbl>
    <w:p>
      <w:pPr>
        <w:spacing w:after="120" w:before="120"/>
      </w:pPr>
    </w:p>
    <w:p>
      <w:pPr>
        <w:pStyle w:val="Heading3"/>
        <w:spacing w:after="120" w:before="240"/>
      </w:pPr>
      <w:r>
        <w:rPr>
          <w:rFonts w:ascii="Arial" w:cs="Arial" w:eastAsia="Arial" w:hAnsi="Arial"/>
        </w:rPr>
        <w:t xml:space="preserve">9.4 DOE Programs and Infrastructure</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Citation/Source</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Relevance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DE-FOA-0003612 (Genesis Mission)</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Primary funding target; $293M, biotechnology topic</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34</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OPAL Project (LBNL, 2025)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Exemplar funded AI-biology project; foundational model framing</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ASCR-BER AI Biology Workshop (Jan 2026)</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Review panel priority roadmap (MUST READ before submission)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36</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Eloe-Fadrosh et al. (2021) </w:t>
            </w:r>
            <w:r>
              <w:rPr>
                <w:rFonts w:ascii="Arial" w:cs="Arial" w:eastAsia="Arial" w:hAnsi="Arial"/>
                <w:i/>
                <w:iCs/>
                <w:sz w:val="22"/>
                <w:szCs w:val="22"/>
              </w:rPr>
              <w:t xml:space="preserve">Nature Microbiology</w:t>
            </w:r>
            <w:r>
              <w:rPr>
                <w:rFonts w:ascii="Arial" w:cs="Arial" w:eastAsia="Arial" w:hAnsi="Arial"/>
                <w:sz w:val="22"/>
                <w:szCs w:val="22"/>
              </w:rPr>
              <w:t xml:space="preserve"> 6:987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NMDC standardized workflows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Mukherjee et al. (2021) </w:t>
            </w:r>
            <w:r>
              <w:rPr>
                <w:rFonts w:ascii="Arial" w:cs="Arial" w:eastAsia="Arial" w:hAnsi="Arial"/>
                <w:i/>
                <w:iCs/>
                <w:sz w:val="22"/>
                <w:szCs w:val="22"/>
              </w:rPr>
              <w:t xml:space="preserve">NAR</w:t>
            </w:r>
            <w:r>
              <w:rPr>
                <w:rFonts w:ascii="Arial" w:cs="Arial" w:eastAsia="Arial" w:hAnsi="Arial"/>
                <w:sz w:val="22"/>
                <w:szCs w:val="22"/>
              </w:rPr>
              <w:t xml:space="preserve"> 49:D723</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JGI IMG/M; annotation rate baselines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38</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Thompson et al. (2017) </w:t>
            </w:r>
            <w:r>
              <w:rPr>
                <w:rFonts w:ascii="Arial" w:cs="Arial" w:eastAsia="Arial" w:hAnsi="Arial"/>
                <w:i/>
                <w:iCs/>
                <w:sz w:val="22"/>
                <w:szCs w:val="22"/>
              </w:rPr>
              <w:t xml:space="preserve">Nature</w:t>
            </w:r>
            <w:r>
              <w:rPr>
                <w:rFonts w:ascii="Arial" w:cs="Arial" w:eastAsia="Arial" w:hAnsi="Arial"/>
                <w:sz w:val="22"/>
                <w:szCs w:val="22"/>
              </w:rPr>
              <w:t xml:space="preserve"> 551:457</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EMP; cross-biome benchmark standard</w:t>
            </w:r>
          </w:p>
        </w:tc>
      </w:tr>
    </w:tbl>
    <w:p>
      <w:pPr>
        <w:spacing w:after="120" w:before="120"/>
      </w:pPr>
    </w:p>
    <w:p>
      <w:pPr>
        <w:pBdr>
          <w:bottom w:val="single" w:color="CCCCCC" w:sz="1" w:space="1"/>
        </w:pBdr>
        <w:spacing w:after="200" w:before="200"/>
      </w:pPr>
    </w:p>
    <w:p>
      <w:pPr>
        <w:pStyle w:val="Heading2"/>
        <w:spacing w:after="200" w:before="360"/>
      </w:pPr>
      <w:r>
        <w:rPr>
          <w:rFonts w:ascii="Arial" w:cs="Arial" w:eastAsia="Arial" w:hAnsi="Arial"/>
        </w:rPr>
        <w:t xml:space="preserve">10. Appendix: Grant-Specific Considerations</w:t>
      </w:r>
    </w:p>
    <w:p>
      <w:pPr>
        <w:pStyle w:val="Heading3"/>
        <w:spacing w:after="120" w:before="240"/>
      </w:pPr>
      <w:r>
        <w:rPr>
          <w:rFonts w:ascii="Arial" w:cs="Arial" w:eastAsia="Arial" w:hAnsi="Arial"/>
        </w:rPr>
        <w:t xml:space="preserve">10.1 Genesis Mission (DE-FOA-0003612) Alignment</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FOA Criterion</w:t>
            </w:r>
          </w:p>
        </w:tc>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Proposal Response</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Scientific/Technical Merit</w:t>
            </w:r>
            <w:r>
              <w:rPr>
                <w:rFonts w:ascii="Arial" w:cs="Arial" w:eastAsia="Arial" w:hAnsi="Arial"/>
                <w:sz w:val="22"/>
                <w:szCs w:val="22"/>
              </w:rPr>
              <w:t xml:space="preserve"> (primary weight)</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Five-dimension comparative framework with novel metrics; grounded in 32+ peer-reviewed publications</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Biotechnology topic</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Metagenomic phenotype prediction directly enables microbial engineering, bioenergy feedstock characterization, environmental remediation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Deployment-ready</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KBase apps, NMDC-compatible workflows, open-source pipelines</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bCs/>
                <w:sz w:val="22"/>
                <w:szCs w:val="22"/>
              </w:rPr>
              <w:t xml:space="preserve">National challenge framing</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Environmental monitoring of DOE sites (soil carbon cycling, contaminant bioremediation, bioenergy crop microbiomes)</w:t>
            </w:r>
          </w:p>
        </w:tc>
      </w:tr>
    </w:tbl>
    <w:p>
      <w:pPr>
        <w:spacing w:after="120" w:before="120"/>
      </w:pPr>
    </w:p>
    <w:p>
      <w:pPr>
        <w:pStyle w:val="Heading3"/>
        <w:spacing w:after="120" w:before="240"/>
      </w:pPr>
      <w:r>
        <w:rPr>
          <w:rFonts w:ascii="Arial" w:cs="Arial" w:eastAsia="Arial" w:hAnsi="Arial"/>
        </w:rPr>
        <w:t xml:space="preserve">10.2 Budget Allocation Guidance (Phase I: $500K–$750K, 9 months)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Personnel (PI + 1 postdoc + 1 grad student)</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50%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Computational pipeline development and evaluation</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Compute (cloud GPU for training AI models)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ESM-2 inference, Random Forest training, COMEBin/SemiBin2 runs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Wet lab validation</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20%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Phenotype growth assays, heterologous expression for functional predictions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Travel + workshops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JGI/KBase liaison visits, DOE user facility workshops</w:t>
            </w:r>
          </w:p>
        </w:tc>
      </w:tr>
      <w:tr>
        <w:trPr>
          <w:tblHeader w:val="false"/>
        </w:trPr>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Indirect costs</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10%</w:t>
            </w:r>
          </w:p>
        </w:tc>
        <w:tc>
          <w:tcPr>
            <w:tcW w:type="dxa" w:w="312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Institutional overhead</w:t>
            </w:r>
          </w:p>
        </w:tc>
      </w:tr>
    </w:tbl>
    <w:p>
      <w:pPr>
        <w:spacing w:after="120" w:before="120"/>
      </w:pPr>
    </w:p>
    <w:p>
      <w:pPr>
        <w:pStyle w:val="Heading3"/>
        <w:spacing w:after="120" w:before="240"/>
      </w:pPr>
      <w:r>
        <w:rPr>
          <w:rFonts w:ascii="Arial" w:cs="Arial" w:eastAsia="Arial" w:hAnsi="Arial"/>
        </w:rPr>
        <w:t xml:space="preserve">10.3 Timeline (Phase I: 9 months)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Month</w:t>
            </w:r>
          </w:p>
        </w:tc>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Activity</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1–2</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Dataset acquisition and standardization; pipeline setup</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3–5</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Head-to-head testing scenarios 1–6; metrics computation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6–7</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Cross-dimension integration; ablation analysis; composite scoring</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8</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Experimental validation (growth assays, expression tests)</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9</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Analysis, manuscript preparation, Phase II proposal</w:t>
            </w:r>
          </w:p>
        </w:tc>
      </w:tr>
    </w:tbl>
    <w:p>
      <w:pPr>
        <w:spacing w:after="120" w:before="120"/>
      </w:pPr>
    </w:p>
    <w:p>
      <w:pPr>
        <w:pStyle w:val="Heading3"/>
        <w:spacing w:after="120" w:before="240"/>
      </w:pPr>
      <w:r>
        <w:rPr>
          <w:rFonts w:ascii="Arial" w:cs="Arial" w:eastAsia="Arial" w:hAnsi="Arial"/>
        </w:rPr>
        <w:t xml:space="preserve">10.4 Key Risks and Mitigations</w:t>
      </w:r>
    </w:p>
    <w:p>
      <w:pPr>
        <w:spacing w:after="120" w:before="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B4F72" w:val="clear"/>
            <w:vAlign w:val="center"/>
          </w:tcPr>
          <w:p>
            <w:pPr>
              <w:spacing w:after="40" w:before="40"/>
            </w:pPr>
            <w:r>
              <w:rPr>
                <w:rFonts w:ascii="Arial" w:cs="Arial" w:eastAsia="Arial" w:hAnsi="Arial"/>
                <w:b/>
                <w:bCs/>
                <w:color w:val="FFFFFF"/>
                <w:sz w:val="20"/>
                <w:szCs w:val="20"/>
              </w:rPr>
              <w:t xml:space="preserve">Mitigation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AI models overfit to human gut data (most training data)</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Use CBGI metric to detect; include NMDC environmental datasets in training</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Experimental validation timeline too tight</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Pre-select high-confidence AI predictions (&gt;0.95 probability) for validation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CAMI III not yet published</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Fall back to CAMI II (published, Nature Methods 2022); add real-dataset validation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Reviewer skepticism about "AI hype"</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Include Boyack et al. (2025) counterargument proactively; emphasize experimental validation</w:t>
            </w:r>
          </w:p>
        </w:tc>
      </w:tr>
      <w:tr>
        <w:trPr>
          <w:tblHeader w:val="false"/>
        </w:trPr>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Compute costs exceed budget</w:t>
            </w:r>
          </w:p>
        </w:tc>
        <w:tc>
          <w:tcPr>
            <w:tcW w:type="dxa" w:w="468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sz w:val="22"/>
                <w:szCs w:val="22"/>
              </w:rPr>
              <w:t xml:space="preserve">Use smaller foundation models (ESM-2 8M instead of 15B); leverage DOE NERSC allocation</w:t>
            </w:r>
          </w:p>
        </w:tc>
      </w:tr>
    </w:tbl>
    <w:p>
      <w:pPr>
        <w:spacing w:after="120" w:before="120"/>
      </w:pPr>
    </w:p>
    <w:p>
      <w:pPr>
        <w:pStyle w:val="Heading3"/>
        <w:spacing w:after="120" w:before="240"/>
      </w:pPr>
      <w:r>
        <w:rPr>
          <w:rFonts w:ascii="Arial" w:cs="Arial" w:eastAsia="Arial" w:hAnsi="Arial"/>
        </w:rPr>
        <w:t xml:space="preserve">10.5 Critical Action Items Before Submission</w:t>
      </w:r>
    </w:p>
    <w:p>
      <w:pPr>
        <w:spacing w:after="40" w:before="40"/>
        <w:ind w:left="720" w:hanging="360"/>
      </w:pPr>
      <w:r>
        <w:rPr>
          <w:rFonts w:ascii="Arial" w:cs="Arial" w:eastAsia="Arial" w:hAnsi="Arial"/>
          <w:b/>
          <w:bCs/>
          <w:sz w:val="22"/>
          <w:szCs w:val="22"/>
        </w:rPr>
        <w:t xml:space="preserve">Download and read the ASCR-BER AI Biology Workshop Report</w:t>
      </w:r>
      <w:r>
        <w:rPr>
          <w:rFonts w:ascii="Arial" w:cs="Arial" w:eastAsia="Arial" w:hAnsi="Arial"/>
          <w:sz w:val="22"/>
          <w:szCs w:val="22"/>
        </w:rPr>
        <w:t xml:space="preserve"> (January 2026) — this directly shapes review panel criteria</w:t>
      </w:r>
    </w:p>
    <w:p>
      <w:pPr>
        <w:spacing w:after="40" w:before="40"/>
        <w:ind w:left="720" w:hanging="360"/>
      </w:pPr>
      <w:r>
        <w:rPr>
          <w:rFonts w:ascii="Arial" w:cs="Arial" w:eastAsia="Arial" w:hAnsi="Arial"/>
          <w:b/>
          <w:bCs/>
          <w:sz w:val="22"/>
          <w:szCs w:val="22"/>
        </w:rPr>
        <w:t xml:space="preserve">Download full DE-FOA-0003612 text</w:t>
      </w:r>
      <w:r>
        <w:rPr>
          <w:rFonts w:ascii="Arial" w:cs="Arial" w:eastAsia="Arial" w:hAnsi="Arial"/>
          <w:sz w:val="22"/>
          <w:szCs w:val="22"/>
        </w:rPr>
        <w:t xml:space="preserve"> from simpler.grants.gov — identify exact biotechnology sub-topic alignment</w:t>
      </w:r>
    </w:p>
    <w:p>
      <w:pPr>
        <w:spacing w:after="40" w:before="40"/>
        <w:ind w:left="720" w:hanging="360"/>
      </w:pPr>
      <w:r>
        <w:rPr>
          <w:rFonts w:ascii="Arial" w:cs="Arial" w:eastAsia="Arial" w:hAnsi="Arial"/>
          <w:b/>
          <w:bCs/>
          <w:sz w:val="22"/>
          <w:szCs w:val="22"/>
        </w:rPr>
        <w:t xml:space="preserve">Contact JGI/KBase facility liaison</w:t>
      </w:r>
      <w:r>
        <w:rPr>
          <w:rFonts w:ascii="Arial" w:cs="Arial" w:eastAsia="Arial" w:hAnsi="Arial"/>
          <w:sz w:val="22"/>
          <w:szCs w:val="22"/>
        </w:rPr>
        <w:t xml:space="preserve"> — obtain facility letter of collaboration</w:t>
      </w:r>
    </w:p>
    <w:p>
      <w:pPr>
        <w:spacing w:after="40" w:before="40"/>
        <w:ind w:left="720" w:hanging="360"/>
      </w:pPr>
      <w:r>
        <w:rPr>
          <w:rFonts w:ascii="Arial" w:cs="Arial" w:eastAsia="Arial" w:hAnsi="Arial"/>
          <w:b/>
          <w:bCs/>
          <w:sz w:val="22"/>
          <w:szCs w:val="22"/>
        </w:rPr>
        <w:t xml:space="preserve">Obtain Gao et al. 2024</w:t>
      </w:r>
      <w:r>
        <w:rPr>
          <w:rFonts w:ascii="Arial" w:cs="Arial" w:eastAsia="Arial" w:hAnsi="Arial"/>
          <w:sz w:val="22"/>
          <w:szCs w:val="22"/>
        </w:rPr>
        <w:t xml:space="preserve"> from Nature Human Behaviour — the 3.02×/4.84× multipliers are the strongest quantitative argument for AI advantage</w:t>
      </w:r>
    </w:p>
    <w:p>
      <w:pPr>
        <w:spacing w:after="40" w:before="40"/>
        <w:ind w:left="720" w:hanging="360"/>
      </w:pPr>
      <w:r>
        <w:rPr>
          <w:rFonts w:ascii="Arial" w:cs="Arial" w:eastAsia="Arial" w:hAnsi="Arial"/>
          <w:b/>
          <w:bCs/>
          <w:sz w:val="22"/>
          <w:szCs w:val="22"/>
        </w:rPr>
        <w:t xml:space="preserve">Verify CAMI III publication status</w:t>
      </w:r>
      <w:r>
        <w:rPr>
          <w:rFonts w:ascii="Arial" w:cs="Arial" w:eastAsia="Arial" w:hAnsi="Arial"/>
          <w:sz w:val="22"/>
          <w:szCs w:val="22"/>
        </w:rPr>
        <w:t xml:space="preserve"> — if published, use it; if preprint only, cite CAMI II as primary</w:t>
      </w:r>
    </w:p>
    <w:p>
      <w:pPr>
        <w:pBdr>
          <w:bottom w:val="single" w:color="CCCCCC" w:sz="1" w:space="1"/>
        </w:pBdr>
        <w:spacing w:after="200" w:before="200"/>
      </w:pPr>
    </w:p>
    <w:p>
      <w:pPr>
        <w:spacing w:after="60" w:before="60"/>
      </w:pPr>
      <w:r>
        <w:rPr>
          <w:rFonts w:ascii="Arial" w:cs="Arial" w:eastAsia="Arial" w:hAnsi="Arial"/>
          <w:i/>
          <w:iCs/>
          <w:sz w:val="22"/>
          <w:szCs w:val="22"/>
        </w:rPr>
        <w:t xml:space="preserve">Document prepared for grant proposal development. All citations should be independently verified against primary sources before submission. DOI links provided where available.</w:t>
      </w:r>
    </w:p>
    <w:p>
      <w:pPr>
        <w:spacing w:after="60" w:before="60"/>
      </w:pPr>
      <w:r>
        <w:rPr>
          <w:rFonts w:ascii="Arial" w:cs="Arial" w:eastAsia="Arial" w:hAnsi="Arial"/>
          <w:i/>
          <w:iCs/>
          <w:sz w:val="22"/>
          <w:szCs w:val="22"/>
        </w:rPr>
        <w:t xml:space="preserve">Comparative Workflow Design v1.0 — 2026-04-13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AI-Enhanced vs. Traditional Metagenomics — GENESIS AI Grant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C3E50"/>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34495E"/>
      <w:sz w:val="24"/>
      <w:szCs w:val="24"/>
    </w:rPr>
  </w:style>
  <w:style w:type="paragraph" w:styleId="Heading5">
    <w:name w:val="Heading 5"/>
    <w:basedOn w:val="Normal"/>
    <w:next w:val="Normal"/>
    <w:qFormat/>
    <w:pPr>
      <w:spacing w:after="80" w:before="160"/>
      <w:outlineLvl w:val="4"/>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2026-04-16T21:41:57.730Z</dcterms:created>
  <dcterms:modified xsi:type="dcterms:W3CDTF">2026-04-16T21:41:57.731Z</dcterms:modified>
</cp:coreProperties>
</file>

<file path=docProps/custom.xml><?xml version="1.0" encoding="utf-8"?>
<Properties xmlns="http://schemas.openxmlformats.org/officeDocument/2006/custom-properties" xmlns:vt="http://schemas.openxmlformats.org/officeDocument/2006/docPropsVTypes"/>
</file>