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C96ACD">
      <w:pPr>
        <w:rPr>
          <w:rFonts w:hint="default" w:ascii="Times New Roman" w:hAnsi="Times New Roman"/>
          <w:sz w:val="28"/>
          <w:szCs w:val="28"/>
        </w:rPr>
      </w:pPr>
      <w:bookmarkStart w:id="0" w:name="_GoBack"/>
      <w:r>
        <w:rPr>
          <w:rFonts w:hint="default" w:ascii="Times New Roman" w:hAnsi="Times New Roman"/>
          <w:sz w:val="28"/>
          <w:szCs w:val="28"/>
        </w:rPr>
        <w:t>2.5. Giai đoạn 1954–1969:</w:t>
      </w:r>
      <w:bookmarkEnd w:id="0"/>
      <w:r>
        <w:rPr>
          <w:rFonts w:hint="default" w:ascii="Times New Roman" w:hAnsi="Times New Roman"/>
          <w:sz w:val="28"/>
          <w:szCs w:val="28"/>
        </w:rPr>
        <w:t xml:space="preserve"> Xây dựng miền Bắc, đấu tranh thống nhất đất nước</w:t>
      </w:r>
    </w:p>
    <w:p w14:paraId="1668628D">
      <w:pPr>
        <w:rPr>
          <w:rFonts w:hint="default" w:ascii="Times New Roman" w:hAnsi="Times New Roman"/>
          <w:sz w:val="28"/>
          <w:szCs w:val="28"/>
        </w:rPr>
      </w:pPr>
    </w:p>
    <w:p w14:paraId="7B245AFB">
      <w:pPr>
        <w:rPr>
          <w:rFonts w:hint="default" w:ascii="Times New Roman" w:hAnsi="Times New Roman"/>
          <w:sz w:val="28"/>
          <w:szCs w:val="28"/>
        </w:rPr>
      </w:pPr>
      <w:r>
        <w:rPr>
          <w:rFonts w:hint="default" w:ascii="Times New Roman" w:hAnsi="Times New Roman"/>
          <w:sz w:val="28"/>
          <w:szCs w:val="28"/>
        </w:rPr>
        <w:t>Sau Hiệp định Giơ-ne-vơ năm 1954, đất nước tạm thời bị chia cắt thành hai miền. Chủ tịch Hồ Chí Minh cùng Trung ương Đảng lãnh đạo thực hiện hai nhiệm vụ chiến lược: xây dựng miền Bắc trở thành hậu phương vững mạnh tiến lên chủ nghĩa xã hội, đồng thời tiếp tục đấu tranh giải phóng miền Nam và thống nhất đất nước.</w:t>
      </w:r>
    </w:p>
    <w:p w14:paraId="75A10A7E">
      <w:pPr>
        <w:rPr>
          <w:rFonts w:hint="default" w:ascii="Times New Roman" w:hAnsi="Times New Roman"/>
          <w:sz w:val="28"/>
          <w:szCs w:val="28"/>
        </w:rPr>
      </w:pPr>
    </w:p>
    <w:p w14:paraId="3BA52755">
      <w:pPr>
        <w:rPr>
          <w:rFonts w:hint="default" w:ascii="Times New Roman" w:hAnsi="Times New Roman"/>
          <w:sz w:val="28"/>
          <w:szCs w:val="28"/>
        </w:rPr>
      </w:pPr>
      <w:r>
        <w:rPr>
          <w:rFonts w:hint="default" w:ascii="Times New Roman" w:hAnsi="Times New Roman"/>
          <w:sz w:val="28"/>
          <w:szCs w:val="28"/>
        </w:rPr>
        <w:t>Trong những năm kháng chiến chống Mỹ, dù tuổi cao và sức khỏe giảm sút, Người vẫn luôn quan tâm, động viên đồng bào và chiến sĩ cả nước, khẳng định quyết tâm thống nhất dân tộc qua lời nói bất hủ: "Nước Việt Nam là một, dân tộc Việt Nam là một...". Ngày 2/9/1969, Chủ tịch Hồ Chí Minh qua đời, để lại niềm tiếc thương vô hạn cùng Bản Di chúc</w:t>
      </w:r>
      <w:r>
        <w:rPr>
          <w:rFonts w:hint="default" w:ascii="Times New Roman" w:hAnsi="Times New Roman"/>
          <w:sz w:val="28"/>
          <w:szCs w:val="28"/>
          <w:lang w:val="vi-VN"/>
        </w:rPr>
        <w:t xml:space="preserve"> </w:t>
      </w:r>
      <w:r>
        <w:rPr>
          <w:rFonts w:hint="default" w:ascii="Times New Roman" w:hAnsi="Times New Roman"/>
          <w:sz w:val="28"/>
          <w:szCs w:val="28"/>
        </w:rPr>
        <w:t>thiêng liêng – di sản tinh thần quý báu, thể hiện trọn vẹn tình yêu nước, thương dân và khát vọng về một nước Việt Nam hòa bình, thống nhất, độc lập và phát triển.</w:t>
      </w:r>
    </w:p>
    <w:p w14:paraId="1910A35B">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B9381A"/>
    <w:rsid w:val="24B93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2026-07-28T17:00:00Z</dcterms:created>
  <dc:creator>Quynh Diem</dc:creator>
  <cp:lastModifiedBy>Quynh Diem</cp:lastModifiedBy>
  <dcterms:modified xsi:type="dcterms:W3CDTF">2026-07-28T17:02:18Z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8B13D477C9BB45DEA42956BEC5CAD731_11</vt:lpwstr>
  </property>
</Properties>
</file>