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17B82">
      <w:pPr>
        <w:pStyle w:val="31"/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售票系统数据库实体与关系设计说明</w:t>
      </w:r>
    </w:p>
    <w:p w14:paraId="7500C915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概述</w:t>
      </w:r>
    </w:p>
    <w:p w14:paraId="54D67A59">
      <w:r>
        <w:t>本文档依据《售票系统需求规格说明书》第 9 节“数据库设计”展开，对系统的逻辑实体、实体属性、实体间关系以及多对多关系的转化进行说明，为后续物理表设计、索引设计与数据初始化提供依据。</w:t>
      </w:r>
    </w:p>
    <w:p w14:paraId="3151F6A6">
      <w:r>
        <w:t>本系统共包含 16 个逻辑实体，按业务职责划分为五个域：权限与用户域、场馆与活动域、交易域、支付与退款域、审计域。逻辑实体名称、主要属性与关键约束如下表所述；物理表名、索引和具体数据库产品在技术设计阶段确定。</w:t>
      </w:r>
    </w:p>
    <w:p w14:paraId="0A8CE2D3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实体清单与属性</w:t>
      </w:r>
    </w:p>
    <w:p w14:paraId="3C53472D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权限与用户域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21E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019092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1D0CEA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主要属性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497601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关键约束</w:t>
            </w:r>
          </w:p>
        </w:tc>
      </w:tr>
      <w:tr w14:paraId="2527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DC8769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users</w:t>
            </w:r>
          </w:p>
        </w:tc>
        <w:tc>
          <w:tcPr>
            <w:tcW w:w="3969" w:type="dxa"/>
            <w:vAlign w:val="center"/>
          </w:tcPr>
          <w:p w14:paraId="2B94B24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user_id（主键）、账号、认证信息、创建时间</w:t>
            </w:r>
          </w:p>
        </w:tc>
        <w:tc>
          <w:tcPr>
            <w:tcW w:w="3402" w:type="dxa"/>
            <w:vAlign w:val="center"/>
          </w:tcPr>
          <w:p w14:paraId="43AFA23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账号标识唯一；普通注册不可提权</w:t>
            </w:r>
          </w:p>
        </w:tc>
      </w:tr>
      <w:tr w14:paraId="48E7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2F285B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role_assignments</w:t>
            </w:r>
          </w:p>
        </w:tc>
        <w:tc>
          <w:tcPr>
            <w:tcW w:w="3969" w:type="dxa"/>
            <w:vAlign w:val="center"/>
          </w:tcPr>
          <w:p w14:paraId="3F49C4F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授权记录 id（主键）、用户、角色、场次、授权时间</w:t>
            </w:r>
          </w:p>
        </w:tc>
        <w:tc>
          <w:tcPr>
            <w:tcW w:w="3402" w:type="dxa"/>
            <w:vAlign w:val="center"/>
          </w:tcPr>
          <w:p w14:paraId="373AA99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用户、角色与场次授权关系唯一</w:t>
            </w:r>
          </w:p>
        </w:tc>
      </w:tr>
    </w:tbl>
    <w:p w14:paraId="2357C0AB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场馆与活动域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D56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303CA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3D8F49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主要属性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16DB486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关键约束</w:t>
            </w:r>
          </w:p>
        </w:tc>
      </w:tr>
      <w:tr w14:paraId="1B49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91F3F7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venues</w:t>
            </w:r>
          </w:p>
        </w:tc>
        <w:tc>
          <w:tcPr>
            <w:tcW w:w="3969" w:type="dxa"/>
            <w:vAlign w:val="center"/>
          </w:tcPr>
          <w:p w14:paraId="482DDCE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venue_id（主键）、场馆名称、区域配置</w:t>
            </w:r>
          </w:p>
        </w:tc>
        <w:tc>
          <w:tcPr>
            <w:tcW w:w="3402" w:type="dxa"/>
            <w:vAlign w:val="center"/>
          </w:tcPr>
          <w:p w14:paraId="77B54AE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本版为单主办方、单场馆</w:t>
            </w:r>
          </w:p>
        </w:tc>
      </w:tr>
      <w:tr w14:paraId="3B3E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1FE260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seats</w:t>
            </w:r>
          </w:p>
        </w:tc>
        <w:tc>
          <w:tcPr>
            <w:tcW w:w="3969" w:type="dxa"/>
            <w:vAlign w:val="center"/>
          </w:tcPr>
          <w:p w14:paraId="3A096DA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seat_id（主键）、场馆、区域、排号、座位号、坐标、相邻分组</w:t>
            </w:r>
          </w:p>
        </w:tc>
        <w:tc>
          <w:tcPr>
            <w:tcW w:w="3402" w:type="dxa"/>
            <w:vAlign w:val="center"/>
          </w:tcPr>
          <w:p w14:paraId="2EF0EEB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同一场馆内座位编码唯一</w:t>
            </w:r>
          </w:p>
        </w:tc>
      </w:tr>
      <w:tr w14:paraId="4D21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998828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events</w:t>
            </w:r>
          </w:p>
        </w:tc>
        <w:tc>
          <w:tcPr>
            <w:tcW w:w="3969" w:type="dxa"/>
            <w:vAlign w:val="center"/>
          </w:tcPr>
          <w:p w14:paraId="6733522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event_id（主键）、名称、简介、封面、主办方</w:t>
            </w:r>
          </w:p>
        </w:tc>
        <w:tc>
          <w:tcPr>
            <w:tcW w:w="3402" w:type="dxa"/>
            <w:vAlign w:val="center"/>
          </w:tcPr>
          <w:p w14:paraId="09FA7E5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一个活动对应多个场次</w:t>
            </w:r>
          </w:p>
        </w:tc>
      </w:tr>
      <w:tr w14:paraId="4131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710EF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sessions</w:t>
            </w:r>
          </w:p>
        </w:tc>
        <w:tc>
          <w:tcPr>
            <w:tcW w:w="3969" w:type="dxa"/>
            <w:vAlign w:val="center"/>
          </w:tcPr>
          <w:p w14:paraId="79D4B69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session_id（主键）、活动、场馆、开场时间、售票时间、核销窗口、状态</w:t>
            </w:r>
          </w:p>
        </w:tc>
        <w:tc>
          <w:tcPr>
            <w:tcW w:w="3402" w:type="dxa"/>
            <w:vAlign w:val="center"/>
          </w:tcPr>
          <w:p w14:paraId="4BC75E6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销售及核销时间关系合法；场次发布后布局固定</w:t>
            </w:r>
          </w:p>
        </w:tc>
      </w:tr>
      <w:tr w14:paraId="03DF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D8957C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price_tiers</w:t>
            </w:r>
          </w:p>
        </w:tc>
        <w:tc>
          <w:tcPr>
            <w:tcW w:w="3969" w:type="dxa"/>
            <w:vAlign w:val="center"/>
          </w:tcPr>
          <w:p w14:paraId="1B720BF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tier_id（主键）、场次、票价区域、当前价格、币种</w:t>
            </w:r>
          </w:p>
        </w:tc>
        <w:tc>
          <w:tcPr>
            <w:tcW w:w="3402" w:type="dxa"/>
            <w:vAlign w:val="center"/>
          </w:tcPr>
          <w:p w14:paraId="752F1FC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金额非负；场次内票价区域可区分</w:t>
            </w:r>
          </w:p>
        </w:tc>
      </w:tr>
    </w:tbl>
    <w:p w14:paraId="1437C286">
      <w:pPr>
        <w:pStyle w:val="4"/>
        <w:spacing w:before="220" w:after="100"/>
        <w:rPr>
          <w:rFonts w:ascii="Times New Roman" w:hAnsi="Times New Roman" w:eastAsia="黑体"/>
          <w:b/>
          <w:color w:val="000000"/>
          <w:sz w:val="28"/>
        </w:rPr>
      </w:pPr>
      <w:r>
        <w:rPr>
          <w:rFonts w:ascii="Times New Roman" w:hAnsi="Times New Roman" w:eastAsia="黑体"/>
          <w:b/>
          <w:color w:val="000000"/>
          <w:sz w:val="28"/>
        </w:rPr>
        <w:t>2.3 交易域</w:t>
      </w:r>
    </w:p>
    <w:p w14:paraId="0590FF9E"/>
    <w:p w14:paraId="06D5874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93C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1F23F8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C7C8FE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主要属性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1C755C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关键约束</w:t>
            </w:r>
          </w:p>
        </w:tc>
      </w:tr>
      <w:tr w14:paraId="54C4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0C68CF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session_seats</w:t>
            </w:r>
          </w:p>
        </w:tc>
        <w:tc>
          <w:tcPr>
            <w:tcW w:w="3969" w:type="dxa"/>
            <w:vAlign w:val="center"/>
          </w:tcPr>
          <w:p w14:paraId="5C17B0A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session_id + seat_id（联合主键）、票价区、库存状态、当前归属、截止时间</w:t>
            </w:r>
          </w:p>
        </w:tc>
        <w:tc>
          <w:tcPr>
            <w:tcW w:w="3402" w:type="dxa"/>
            <w:vAlign w:val="center"/>
          </w:tcPr>
          <w:p w14:paraId="2E812EB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场次与座位组合唯一</w:t>
            </w:r>
          </w:p>
        </w:tc>
      </w:tr>
      <w:tr w14:paraId="281E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0CF867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w="3969" w:type="dxa"/>
            <w:vAlign w:val="center"/>
          </w:tcPr>
          <w:p w14:paraId="295DA36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order_id（主键）、用户、场次、状态、总额、币种、截止时间、请求标识</w:t>
            </w:r>
          </w:p>
        </w:tc>
        <w:tc>
          <w:tcPr>
            <w:tcW w:w="3402" w:type="dxa"/>
            <w:vAlign w:val="center"/>
          </w:tcPr>
          <w:p w14:paraId="35FFD2C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用户与创建请求标识唯一</w:t>
            </w:r>
          </w:p>
        </w:tc>
      </w:tr>
      <w:tr w14:paraId="5C61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23D279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order_items</w:t>
            </w:r>
          </w:p>
        </w:tc>
        <w:tc>
          <w:tcPr>
            <w:tcW w:w="3969" w:type="dxa"/>
            <w:vAlign w:val="center"/>
          </w:tcPr>
          <w:p w14:paraId="7AC29AC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order_id + session_seat_id（联合主键）、成交价格快照</w:t>
            </w:r>
          </w:p>
        </w:tc>
        <w:tc>
          <w:tcPr>
            <w:tcW w:w="3402" w:type="dxa"/>
            <w:vAlign w:val="center"/>
          </w:tcPr>
          <w:p w14:paraId="71702CB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订单与场次座位组合唯一；允许不同历史订单先后购买同一座位</w:t>
            </w:r>
          </w:p>
        </w:tc>
      </w:tr>
      <w:tr w14:paraId="05A8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0F62DE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tickets</w:t>
            </w:r>
          </w:p>
        </w:tc>
        <w:tc>
          <w:tcPr>
            <w:tcW w:w="3969" w:type="dxa"/>
            <w:vAlign w:val="center"/>
          </w:tcPr>
          <w:p w14:paraId="5E56477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ticket_id（主键）、订单明细、票码校验值、状态</w:t>
            </w:r>
          </w:p>
        </w:tc>
        <w:tc>
          <w:tcPr>
            <w:tcW w:w="3402" w:type="dxa"/>
            <w:vAlign w:val="center"/>
          </w:tcPr>
          <w:p w14:paraId="439DB74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订单明细只生成一张票；票码唯一；旧票作废后才能重新出售该座位</w:t>
            </w:r>
          </w:p>
        </w:tc>
      </w:tr>
      <w:tr w14:paraId="65CB2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3AB5BA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checkins</w:t>
            </w:r>
          </w:p>
        </w:tc>
        <w:tc>
          <w:tcPr>
            <w:tcW w:w="3969" w:type="dxa"/>
            <w:vAlign w:val="center"/>
          </w:tcPr>
          <w:p w14:paraId="60DAF27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checkin_id（主键）、票、验票员、成功核销时间</w:t>
            </w:r>
          </w:p>
        </w:tc>
        <w:tc>
          <w:tcPr>
            <w:tcW w:w="3402" w:type="dxa"/>
            <w:vAlign w:val="center"/>
          </w:tcPr>
          <w:p w14:paraId="0DA5DC9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每张票最多一条成功核销记录</w:t>
            </w:r>
          </w:p>
        </w:tc>
      </w:tr>
    </w:tbl>
    <w:p w14:paraId="58D0481D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支付与退款域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6FEB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29528A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4D36A1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主要属性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530B42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关键约束</w:t>
            </w:r>
          </w:p>
        </w:tc>
      </w:tr>
      <w:tr w14:paraId="57AB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33DA97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payment_attempts</w:t>
            </w:r>
          </w:p>
        </w:tc>
        <w:tc>
          <w:tcPr>
            <w:tcW w:w="3969" w:type="dxa"/>
            <w:vAlign w:val="center"/>
          </w:tcPr>
          <w:p w14:paraId="39865B1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attempt_id（主键）、订单、支付标识、金额、结果、处理类别</w:t>
            </w:r>
          </w:p>
        </w:tc>
        <w:tc>
          <w:tcPr>
            <w:tcW w:w="3402" w:type="dxa"/>
            <w:vAlign w:val="center"/>
          </w:tcPr>
          <w:p w14:paraId="3D36370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支付标识唯一；区分正常履约与待退异常款项</w:t>
            </w:r>
          </w:p>
        </w:tc>
      </w:tr>
      <w:tr w14:paraId="3E5A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93BF0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payment_events</w:t>
            </w:r>
          </w:p>
        </w:tc>
        <w:tc>
          <w:tcPr>
            <w:tcW w:w="3969" w:type="dxa"/>
            <w:vAlign w:val="center"/>
          </w:tcPr>
          <w:p w14:paraId="55EF315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event_id（主键）、来源、通知标识、关联支付、接收及处理结果</w:t>
            </w:r>
          </w:p>
        </w:tc>
        <w:tc>
          <w:tcPr>
            <w:tcW w:w="3402" w:type="dxa"/>
            <w:vAlign w:val="center"/>
          </w:tcPr>
          <w:p w14:paraId="4AFD8C6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来源与通知标识组合唯一；同时按支付业务对象防止重复生效</w:t>
            </w:r>
          </w:p>
        </w:tc>
      </w:tr>
      <w:tr w14:paraId="74D7B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02E43B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refunds</w:t>
            </w:r>
          </w:p>
        </w:tc>
        <w:tc>
          <w:tcPr>
            <w:tcW w:w="3969" w:type="dxa"/>
            <w:vAlign w:val="center"/>
          </w:tcPr>
          <w:p w14:paraId="627AB8E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refund_id（主键）、原支付、原因、金额、请求标识、处理状态</w:t>
            </w:r>
          </w:p>
        </w:tc>
        <w:tc>
          <w:tcPr>
            <w:tcW w:w="3402" w:type="dxa"/>
            <w:vAlign w:val="center"/>
          </w:tcPr>
          <w:p w14:paraId="1C7726D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请求标识唯一；成功退款金额不超过原支付</w:t>
            </w:r>
          </w:p>
        </w:tc>
      </w:tr>
    </w:tbl>
    <w:p w14:paraId="6D9B1EA0">
      <w:pPr>
        <w:pStyle w:val="4"/>
        <w:spacing w:before="220" w:after="100"/>
        <w:rPr>
          <w:rFonts w:hint="eastAsia" w:eastAsia="黑体"/>
          <w:lang w:val="en-US" w:eastAsia="zh-CN"/>
        </w:rPr>
      </w:pPr>
      <w:r>
        <w:rPr>
          <w:rFonts w:ascii="Times New Roman" w:hAnsi="Times New Roman" w:eastAsia="黑体"/>
          <w:b/>
          <w:color w:val="000000"/>
          <w:sz w:val="28"/>
        </w:rPr>
        <w:t>2.5 审计域</w:t>
      </w:r>
      <w:r>
        <w:rPr>
          <w:rFonts w:hint="eastAsia"/>
          <w:b/>
          <w:color w:val="000000"/>
          <w:sz w:val="28"/>
          <w:lang w:val="en-US" w:eastAsia="zh-CN"/>
        </w:rPr>
        <w:t>x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2F17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D0AB55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23F9FA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主要属性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18BED5A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关键约束</w:t>
            </w:r>
          </w:p>
        </w:tc>
      </w:tr>
      <w:tr w14:paraId="3973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19C887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audit_logs</w:t>
            </w:r>
          </w:p>
        </w:tc>
        <w:tc>
          <w:tcPr>
            <w:tcW w:w="3969" w:type="dxa"/>
            <w:vAlign w:val="center"/>
          </w:tcPr>
          <w:p w14:paraId="0D9480A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log_id（主键）、操作者、对象、动作、前后状态摘要、时间、请求标识</w:t>
            </w:r>
          </w:p>
        </w:tc>
        <w:tc>
          <w:tcPr>
            <w:tcW w:w="3402" w:type="dxa"/>
            <w:vAlign w:val="center"/>
          </w:tcPr>
          <w:p w14:paraId="0A4EF75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保留必要追踪信息；去除凭证与不必要个人信息</w:t>
            </w:r>
          </w:p>
        </w:tc>
      </w:tr>
    </w:tbl>
    <w:p w14:paraId="177DB254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实体间关系说明</w:t>
      </w:r>
    </w:p>
    <w:p w14:paraId="215D4F4A">
      <w:r>
        <w:t>以下按业务域说明实体间的关系及基数。关系描述采用“一个……可以有……；一个……只属于……”的文字形式，表示一对多（1:N）或一对一（1:1）的对应关系；多对多（N:M）关系在第 4 章单独说明其识别与转化。</w:t>
      </w:r>
    </w:p>
    <w:p w14:paraId="3130212B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权限与用户域</w:t>
      </w:r>
    </w:p>
    <w:p w14:paraId="5C0BA6B8">
      <w:r>
        <w:t>1. users 与 role_assignments：一个用户可以拥有零条或多条场次授权记录；一条授权记录必须且只能属于一个用户。</w:t>
      </w:r>
    </w:p>
    <w:p w14:paraId="085AAA10">
      <w:r>
        <w:t>2. sessions 与 role_assignments：一个场次可以被零个或多个用户授权（作为验票员）；一条授权记录只关联一个场次。</w:t>
      </w:r>
    </w:p>
    <w:p w14:paraId="4E99C1FE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场馆与活动域</w:t>
      </w:r>
    </w:p>
    <w:p w14:paraId="429F25C3">
      <w:r>
        <w:t>1. events 与 sessions：一个活动可以排期零个或多个场次；一个场次必须且只属于一个活动。</w:t>
      </w:r>
    </w:p>
    <w:p w14:paraId="18CE7BFA">
      <w:r>
        <w:t>2. venues 与 sessions：一个场馆可以举办零个或多个场次；一个场次必须且只在一个场馆举办。</w:t>
      </w:r>
    </w:p>
    <w:p w14:paraId="5A09448B">
      <w:r>
        <w:t>3. venues 与 seats：一个场馆可以拥有一个或多个座位；一个座位必须且只属于一个场馆。</w:t>
      </w:r>
    </w:p>
    <w:p w14:paraId="2FAADDF1">
      <w:r>
        <w:t>4. sessions 与 seats：一个场次可以分配多个座位，一个座位可以出现在多个场次中，双方为多对多关系（转化见 4.1）。</w:t>
      </w:r>
    </w:p>
    <w:p w14:paraId="6461005A">
      <w:r>
        <w:t>5. sessions 与 price_tiers：一个场次可以定义零个或多个票价区；一个票价区必须且只属于一个场次。</w:t>
      </w:r>
    </w:p>
    <w:p w14:paraId="65A5C68B">
      <w:r>
        <w:t>6. price_tiers 与 session_seats：一个票价区可以为零个或多个场次座位定价；一个场次座位记录只采用一个票价区。</w:t>
      </w:r>
    </w:p>
    <w:p w14:paraId="1E9B40B2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交易域</w:t>
      </w:r>
    </w:p>
    <w:p w14:paraId="39AE8505">
      <w:r>
        <w:t>1. users 与 orders：一个用户可以创建零个或多个订单；一个订单必须且只属于一个用户。</w:t>
      </w:r>
    </w:p>
    <w:p w14:paraId="0C34E2DD">
      <w:r>
        <w:t>2. orders 与 session_seats：一个订单可以购买多个场次座位，一个场次座位可以被多个历史订单先后购买，双方为多对多关系（转化见 4.2）。</w:t>
      </w:r>
    </w:p>
    <w:p w14:paraId="0FFC9077">
      <w:r>
        <w:t>3. orders 与 order_items：一个订单可以包含一个或多个订单明细；一个订单明细必须且只属于一个订单。</w:t>
      </w:r>
    </w:p>
    <w:p w14:paraId="3C33076F">
      <w:r>
        <w:t>4. order_items 与 tickets：一个订单明细生成且仅生成一张票；一张票必须且只对应一个订单明细（一对一）。</w:t>
      </w:r>
    </w:p>
    <w:p w14:paraId="39024ECF">
      <w:r>
        <w:t>5. tickets 与 checkins：一张票最多拥有一条成功核销记录（零条或一条）；一条核销记录必须且只对应一张票。</w:t>
      </w:r>
    </w:p>
    <w:p w14:paraId="313F1E25">
      <w:r>
        <w:t>6. users（验票员）与 checkins：一个验票员可以核销零条或多条记录；一条核销记录必须且只属于一个验票员。</w:t>
      </w:r>
    </w:p>
    <w:p w14:paraId="61746869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支付与退款域</w:t>
      </w:r>
    </w:p>
    <w:p w14:paraId="10D142D9">
      <w:r>
        <w:t>1. orders 与 payment_attempts：一个订单可以发起零次或多次支付尝试；一次支付尝试必须且只属于一个订单。</w:t>
      </w:r>
    </w:p>
    <w:p w14:paraId="71407AAA">
      <w:r>
        <w:t>2. payment_attempts 与 payment_events：一次支付尝试可以收到零个或多个支付通知事件；一个支付事件必须且只属于一次支付尝试。</w:t>
      </w:r>
    </w:p>
    <w:p w14:paraId="39A9B6A1">
      <w:r>
        <w:t>3. payment_attempts 与 refunds：一次支付尝试可以产生零条或多条退款记录；一条退款记录必须且只关联一次支付尝试。</w:t>
      </w:r>
    </w:p>
    <w:p w14:paraId="66A09BE4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3.5 审计域</w:t>
      </w:r>
    </w:p>
    <w:p w14:paraId="410BF8C7">
      <w:r>
        <w:t>1. audit_logs 与各业务实体：审计记录通过操作者、对象与动作描述业务事件，与业务实体保持松耦合，通过对象标识关联而不建立严格外键，避免审计写入阻塞业务事务。</w:t>
      </w:r>
    </w:p>
    <w:p w14:paraId="3DFBA3C2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多对多关系的识别与转化</w:t>
      </w:r>
    </w:p>
    <w:p w14:paraId="7E24D233">
      <w:r>
        <w:t>关系数据库无法直接表达多对多关系，必须通过新增中间（关联）实体将其拆分为两个一对多关系。本系统共识别出 4 组需要转化的多对多或联系属性关系，分述如下。</w:t>
      </w:r>
    </w:p>
    <w:p w14:paraId="2AEF0E51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场次与座位的多对多关系转化为 session_seats</w:t>
      </w:r>
    </w:p>
    <w:p w14:paraId="34ED821E">
      <w:r>
        <w:t>一个场次包含多个座位，一个座位可以出现在多个场次中，场次与座位之间为多对多关系。该关系本身携带属性：座位在该场次中的库存状态、当前归属（用户或订单）、截止时间以及所属票价区。</w:t>
      </w:r>
    </w:p>
    <w:p w14:paraId="4239D71D">
      <w:r>
        <w:t>转化方式：新增中间实体 session_seats（场次座位）。场次与 session_seats 为一对多关系，座位与 session_seats 也为一对多关系；原多对多关系携带的属性全部落到 session_seats 上，并以（session_id, seat_id）联合唯一约束保证同一场次内座位唯一。</w:t>
      </w:r>
    </w:p>
    <w:p w14:paraId="430A35E1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订单与场次座位的多对多关系转化为 order_items</w:t>
      </w:r>
    </w:p>
    <w:p w14:paraId="0EB6DBFB">
      <w:r>
        <w:t>一个订单可以购买多个场次座位，一个场次座位可以被多个历史订单先后购买（退款并重新出售后，同一座位可出现于不同历史订单），订单与场次座位之间为多对多关系。该关系必须记录成交时的价格快照，且不允许被后续票价调整覆盖。</w:t>
      </w:r>
    </w:p>
    <w:p w14:paraId="67B79587">
      <w:r>
        <w:t>转化方式：新增中间实体 order_items（订单明细）。订单与 order_items 为一对多关系，session_seats 与 order_items 为一对多关系；成交价格快照作为 order_items 的属性保存，并以（order_id, session_seat_id）联合唯一约束保证订单内座位不重复。</w:t>
      </w:r>
    </w:p>
    <w:p w14:paraId="3AA9BAC1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票据与验票员的核销关系转化为 checkins</w:t>
      </w:r>
    </w:p>
    <w:p w14:paraId="5D210BC6">
      <w:r>
        <w:t>票据与验票员之间的核销行为表现为：一张票最多被核销一次，一个验票员可以核销多张票。核销关系需要记录成功核销时间这一关系属性，同时为了满足“每张票最多一条成功核销记录”的并发约束，将该关系提升为独立实体。</w:t>
      </w:r>
    </w:p>
    <w:p w14:paraId="668DA76C">
      <w:r>
        <w:t>转化方式：新增实体 checkins（核销记录）。票与 checkins 为一对零或一（1:0..1）关系，验票员（users）与 checkins 为一对多关系；以票字段唯一约束保证并发核销下最多一条成功记录。</w:t>
      </w:r>
    </w:p>
    <w:p w14:paraId="26DA7BE8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用户、角色与场次的授权关系转化为 role_assignments</w:t>
      </w:r>
    </w:p>
    <w:p w14:paraId="13B7D6A1">
      <w:r>
        <w:t>用户与角色、场次之间的授权关系为多对多：一个用户可以被授予多个场次的验票权限，一个场次可以授权给多个用户。该授权关系本身即业务语义，需要独立记录。</w:t>
      </w:r>
    </w:p>
    <w:p w14:paraId="3B8AA2F9">
      <w:r>
        <w:t>转化方式：新增实体 role_assignments（授权记录）。用户与 role_assignments 为一对多关系，场次与 role_assignments 为一对多关系，角色作为授权记录的属性保存。</w:t>
      </w:r>
    </w:p>
    <w:p w14:paraId="5E9F5758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4.5 转化规则小结</w:t>
      </w:r>
    </w:p>
    <w:p w14:paraId="229DD199">
      <w:r>
        <w:t>1. 多对多关系在关系数据库中不能直接表达，必须通过新增中间（关联）实体拆分为两个一对多关系。</w:t>
      </w:r>
    </w:p>
    <w:p w14:paraId="7697FFFD">
      <w:r>
        <w:t>2. 中间实体可以承载关系本身携带的属性，例如成交价格快照、库存状态、核销时间等。</w:t>
      </w:r>
    </w:p>
    <w:p w14:paraId="1A843449">
      <w:r>
        <w:t>3. 中间实体可以施加唯一约束以强化业务规则，例如 session_seats 的场次座位组合唯一、checkins 的每票最多一次核销。</w:t>
      </w:r>
    </w:p>
    <w:p w14:paraId="37BDBBFE">
      <w:r>
        <w:t>4. 转化完成后，原多对多关系的两端实体与中间实体均为一对多关系，符合第三范式（3NF）的要求。</w:t>
      </w:r>
    </w:p>
    <w:p w14:paraId="71E682A0">
      <w:pPr>
        <w:pStyle w:val="3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关键约束说明</w:t>
      </w:r>
    </w:p>
    <w:p w14:paraId="62DF6AAD">
      <w:r>
        <w:t>除实体与关系外，设计还需落实以下关键约束，作为物理表设计与测试用例的依据。</w:t>
      </w:r>
    </w:p>
    <w:p w14:paraId="08907333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唯一约束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1A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6C0607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实体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F93674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唯一约束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977531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业务含义</w:t>
            </w:r>
          </w:p>
        </w:tc>
      </w:tr>
      <w:tr w14:paraId="1EE9C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51A6BF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users</w:t>
            </w:r>
          </w:p>
        </w:tc>
        <w:tc>
          <w:tcPr>
            <w:tcW w:w="2835" w:type="dxa"/>
            <w:vAlign w:val="center"/>
          </w:tcPr>
          <w:p w14:paraId="798C8D0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</w:t>
            </w:r>
          </w:p>
        </w:tc>
        <w:tc>
          <w:tcPr>
            <w:tcW w:w="4535" w:type="dxa"/>
            <w:vAlign w:val="center"/>
          </w:tcPr>
          <w:p w14:paraId="1D2328E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一个账号对应一个用户</w:t>
            </w:r>
          </w:p>
        </w:tc>
      </w:tr>
      <w:tr w14:paraId="0FFB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235E5A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session_seats</w:t>
            </w:r>
          </w:p>
        </w:tc>
        <w:tc>
          <w:tcPr>
            <w:tcW w:w="2835" w:type="dxa"/>
            <w:vAlign w:val="center"/>
          </w:tcPr>
          <w:p w14:paraId="3287E0D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（session_id, seat_id）</w:t>
            </w:r>
          </w:p>
        </w:tc>
        <w:tc>
          <w:tcPr>
            <w:tcW w:w="4535" w:type="dxa"/>
            <w:vAlign w:val="center"/>
          </w:tcPr>
          <w:p w14:paraId="628AE7D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场次内座位唯一，支撑并发抢座</w:t>
            </w:r>
          </w:p>
        </w:tc>
      </w:tr>
      <w:tr w14:paraId="1C01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B1725C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w="2835" w:type="dxa"/>
            <w:vAlign w:val="center"/>
          </w:tcPr>
          <w:p w14:paraId="306BC27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请求标识</w:t>
            </w:r>
          </w:p>
        </w:tc>
        <w:tc>
          <w:tcPr>
            <w:tcW w:w="4535" w:type="dxa"/>
            <w:vAlign w:val="center"/>
          </w:tcPr>
          <w:p w14:paraId="40C83C5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同一请求不重复下单</w:t>
            </w:r>
          </w:p>
        </w:tc>
      </w:tr>
      <w:tr w14:paraId="00451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C8925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tickets</w:t>
            </w:r>
          </w:p>
        </w:tc>
        <w:tc>
          <w:tcPr>
            <w:tcW w:w="2835" w:type="dxa"/>
            <w:vAlign w:val="center"/>
          </w:tcPr>
          <w:p w14:paraId="3067C6B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票码校验值</w:t>
            </w:r>
          </w:p>
        </w:tc>
        <w:tc>
          <w:tcPr>
            <w:tcW w:w="4535" w:type="dxa"/>
            <w:vAlign w:val="center"/>
          </w:tcPr>
          <w:p w14:paraId="74DC9DE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一票一码，防止伪造</w:t>
            </w:r>
          </w:p>
        </w:tc>
      </w:tr>
      <w:tr w14:paraId="014A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99128F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checkins</w:t>
            </w:r>
          </w:p>
        </w:tc>
        <w:tc>
          <w:tcPr>
            <w:tcW w:w="2835" w:type="dxa"/>
            <w:vAlign w:val="center"/>
          </w:tcPr>
          <w:p w14:paraId="243F5C9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</w:t>
            </w:r>
          </w:p>
        </w:tc>
        <w:tc>
          <w:tcPr>
            <w:tcW w:w="4535" w:type="dxa"/>
            <w:vAlign w:val="center"/>
          </w:tcPr>
          <w:p w14:paraId="161058A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每张票最多一次成功核销</w:t>
            </w:r>
          </w:p>
        </w:tc>
      </w:tr>
      <w:tr w14:paraId="4236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FE1D1A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payment_events</w:t>
            </w:r>
          </w:p>
        </w:tc>
        <w:tc>
          <w:tcPr>
            <w:tcW w:w="2835" w:type="dxa"/>
            <w:vAlign w:val="center"/>
          </w:tcPr>
          <w:p w14:paraId="169BC0E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（来源, 通知标识）</w:t>
            </w:r>
          </w:p>
        </w:tc>
        <w:tc>
          <w:tcPr>
            <w:tcW w:w="4535" w:type="dxa"/>
            <w:vAlign w:val="center"/>
          </w:tcPr>
          <w:p w14:paraId="517A3DB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重复支付通知只生效一次</w:t>
            </w:r>
          </w:p>
        </w:tc>
      </w:tr>
      <w:tr w14:paraId="10F6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10047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refunds</w:t>
            </w:r>
          </w:p>
        </w:tc>
        <w:tc>
          <w:tcPr>
            <w:tcW w:w="2835" w:type="dxa"/>
            <w:vAlign w:val="center"/>
          </w:tcPr>
          <w:p w14:paraId="7AD7A12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请求标识</w:t>
            </w:r>
          </w:p>
        </w:tc>
        <w:tc>
          <w:tcPr>
            <w:tcW w:w="4535" w:type="dxa"/>
            <w:vAlign w:val="center"/>
          </w:tcPr>
          <w:p w14:paraId="0DBBB38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退款请求幂等</w:t>
            </w:r>
          </w:p>
        </w:tc>
      </w:tr>
    </w:tbl>
    <w:p w14:paraId="389957E8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金额与时间</w:t>
      </w:r>
    </w:p>
    <w:p w14:paraId="26D58C4C">
      <w:r>
        <w:t>金额以整数分存储，取值非负；时间统一使用服务端时间（Asia/Hong_Kong），截止与核销窗口判定均以服务端时间为准。</w:t>
      </w:r>
    </w:p>
    <w:p w14:paraId="0BC98C2C">
      <w:pPr>
        <w:pStyle w:val="4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状态机约束</w:t>
      </w:r>
    </w:p>
    <w:p w14:paraId="11ABBBE2">
      <w:r>
        <w:t>订单、票据与场次座位均通过状态字段表达生命周期，状态转换必须满足业务规则，例如票仅可执行有效转已使用、退款受理与核销互斥等；状态检查与更新须在同一事务内原子完成，避免“先查询、稍后写入”的并发竞态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D9CF8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</w:r>
    <w:r>
      <w:rPr>
        <w:rFonts w:ascii="Times New Roman" w:hAnsi="Times New Roman" w:eastAsia="宋体"/>
        <w:b w:val="0"/>
        <w:color w:val="000000"/>
        <w:sz w:val="18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2F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3178</Words>
  <Characters>4159</Characters>
  <Lines>0</Lines>
  <Paragraphs>0</Paragraphs>
  <TotalTime>4</TotalTime>
  <ScaleCrop>false</ScaleCrop>
  <LinksUpToDate>false</LinksUpToDate>
  <CharactersWithSpaces>4289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狸翔.miss u</cp:lastModifiedBy>
  <dcterms:modified xsi:type="dcterms:W3CDTF">2026-10-07T06:36:26Z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eyJoZGlkIjoiNmYxOGQ1OTE3N2E1NzcwNzhjMzI4ZDM5ODViYWVkOGYiLCJ1c2VySWQiOiI0NjQ4NDc2ODIifQ==</vt:lpwstr>
  </property>
  <property fmtid="{D5CDD505-2E9C-101B-9397-08002B2CF9AE}" pid="3" name="KSOProductBuildVer">
    <vt:lpwstr>2052-12.1.0.28022</vt:lpwstr>
  </property>
  <property fmtid="{D5CDD505-2E9C-101B-9397-08002B2CF9AE}" pid="4" name="ICV">
    <vt:lpwstr>7C6BE1AC0F8B41FAB789200987885328_12</vt:lpwstr>
  </property>
</Properties>
</file>