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1941E" w14:textId="77777777" w:rsidR="00624635" w:rsidRPr="00624635" w:rsidRDefault="00624635" w:rsidP="006246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4635">
        <w:rPr>
          <w:rFonts w:ascii="Times New Roman" w:hAnsi="Times New Roman" w:cs="Times New Roman"/>
          <w:b/>
          <w:bCs/>
          <w:sz w:val="28"/>
          <w:szCs w:val="28"/>
          <w:lang w:val="ru-RU"/>
        </w:rPr>
        <w:t>1. Анализ спроса исходя из новых стандартов потребления</w:t>
      </w:r>
    </w:p>
    <w:p w14:paraId="1ECC0AE8" w14:textId="77777777" w:rsidR="00624635" w:rsidRPr="00624635" w:rsidRDefault="00624635" w:rsidP="006246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35">
        <w:rPr>
          <w:rFonts w:ascii="Times New Roman" w:hAnsi="Times New Roman" w:cs="Times New Roman"/>
          <w:sz w:val="28"/>
          <w:szCs w:val="28"/>
          <w:lang w:val="ru-RU"/>
        </w:rPr>
        <w:t>В условиях цифровой экономики и развития индустрии видеоигр наблюдается существенное изменение стандартов потребления цифровых продуктов. Современный потребитель видеоигр больше не рассматривает игру как разовую покупку, а воспринимает её как долгосрочный цифровой сервис, включающий регулярные обновления, дополнительный контент, взаимодействие с сообществом и персонализированный пользовательский опыт.</w:t>
      </w:r>
    </w:p>
    <w:p w14:paraId="14CB2F1D" w14:textId="77777777" w:rsidR="00624635" w:rsidRPr="00624635" w:rsidRDefault="00624635" w:rsidP="006246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35">
        <w:rPr>
          <w:rFonts w:ascii="Times New Roman" w:hAnsi="Times New Roman" w:cs="Times New Roman"/>
          <w:sz w:val="28"/>
          <w:szCs w:val="28"/>
          <w:lang w:val="ru-RU"/>
        </w:rPr>
        <w:t>Для игровой индустрии характерен переход от модели «</w:t>
      </w:r>
      <w:r w:rsidRPr="00624635">
        <w:rPr>
          <w:rFonts w:ascii="Times New Roman" w:hAnsi="Times New Roman" w:cs="Times New Roman"/>
          <w:sz w:val="28"/>
          <w:szCs w:val="28"/>
        </w:rPr>
        <w:t>one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624635">
        <w:rPr>
          <w:rFonts w:ascii="Times New Roman" w:hAnsi="Times New Roman" w:cs="Times New Roman"/>
          <w:sz w:val="28"/>
          <w:szCs w:val="28"/>
        </w:rPr>
        <w:t>time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4635">
        <w:rPr>
          <w:rFonts w:ascii="Times New Roman" w:hAnsi="Times New Roman" w:cs="Times New Roman"/>
          <w:sz w:val="28"/>
          <w:szCs w:val="28"/>
        </w:rPr>
        <w:t>purchase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» к сервисно-ориентированной модели, основанной на жизненном цикле продукта. Игроки ожидают не только высокого качества базового продукта, но и постоянной поддержки после релиза, включая выпуск </w:t>
      </w:r>
      <w:r w:rsidRPr="00624635">
        <w:rPr>
          <w:rFonts w:ascii="Times New Roman" w:hAnsi="Times New Roman" w:cs="Times New Roman"/>
          <w:sz w:val="28"/>
          <w:szCs w:val="28"/>
        </w:rPr>
        <w:t>DLC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>, патчей, специальных событий и расширение игрового мира. Существенное значение приобретает цифровая экосистема вокруг игры — официальные платформы, сообщества, аналитика пользовательского поведения и обратная связь.</w:t>
      </w:r>
    </w:p>
    <w:p w14:paraId="51DB344A" w14:textId="77777777" w:rsidR="00624635" w:rsidRPr="00624635" w:rsidRDefault="00624635" w:rsidP="006246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35">
        <w:rPr>
          <w:rFonts w:ascii="Times New Roman" w:hAnsi="Times New Roman" w:cs="Times New Roman"/>
          <w:sz w:val="28"/>
          <w:szCs w:val="28"/>
          <w:lang w:val="ru-RU"/>
        </w:rPr>
        <w:t>Спрос на инновационные игровые продукты формируется под влиянием нескольких ключевых факторов. Во-первых, растёт роль цифровых платформ и онлайн-дистрибуции, что упрощает доступ к продукту и расширяет географию потребления. Во-вторых, усиливается значение пользовательского опыта и вовлечённости, что требует от разработчиков использования аналитических инструментов для изучения поведения игроков. В-третьих, возрастает ценность уникального контента и оригинальных игровых миров, способных сформировать устойчивую лояльность аудитории.</w:t>
      </w:r>
    </w:p>
    <w:p w14:paraId="6171E308" w14:textId="77777777" w:rsidR="00624635" w:rsidRPr="00624635" w:rsidRDefault="00624635" w:rsidP="006246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Для студии </w:t>
      </w:r>
      <w:proofErr w:type="spellStart"/>
      <w:r w:rsidRPr="00624635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 данные изменения создают устойчивый спрос на развитие цифровых решений, обеспечивающих долгосрочное взаимодействие с игроками. Успех проекта </w:t>
      </w:r>
      <w:r w:rsidRPr="00624635">
        <w:rPr>
          <w:rFonts w:ascii="Times New Roman" w:hAnsi="Times New Roman" w:cs="Times New Roman"/>
          <w:sz w:val="28"/>
          <w:szCs w:val="28"/>
        </w:rPr>
        <w:t>Atomic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24635">
        <w:rPr>
          <w:rFonts w:ascii="Times New Roman" w:hAnsi="Times New Roman" w:cs="Times New Roman"/>
          <w:sz w:val="28"/>
          <w:szCs w:val="28"/>
        </w:rPr>
        <w:t>Heart</w:t>
      </w:r>
      <w:r w:rsidRPr="00624635">
        <w:rPr>
          <w:rFonts w:ascii="Times New Roman" w:hAnsi="Times New Roman" w:cs="Times New Roman"/>
          <w:sz w:val="28"/>
          <w:szCs w:val="28"/>
          <w:lang w:val="ru-RU"/>
        </w:rPr>
        <w:t xml:space="preserve"> показал высокий интерес аудитории к оригинальному сеттингу и нарративному контенту, а также подтвердил необходимость дальнейшего развития экосистемы продукта. В этих условиях формируется потребность во внедрении ИТ-проекта, направленного на управление цифровым контентом, взаимодействие с сообществом игроков и анализ пользовательских данных, что позволит повысить жизненную ценность продукта и укрепить рыночные позиции компании.</w:t>
      </w:r>
    </w:p>
    <w:p w14:paraId="08807F48" w14:textId="77777777" w:rsidR="00435FCA" w:rsidRPr="00435FCA" w:rsidRDefault="00435FCA" w:rsidP="00435F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2. Анализ прямых и косвенных конкурентов</w:t>
      </w:r>
    </w:p>
    <w:p w14:paraId="449F9578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Развитие цифровых продуктов в игровой индустрии сопровождается высокой конкуренцией не только между игровыми студиями, но и между цифровыми платформами, обеспечивающими дистрибуцию, взаимодействие с пользователями и анализ данных. В рамках реализации ИТ-проекта для студии </w:t>
      </w:r>
      <w:proofErr w:type="spellStart"/>
      <w:r w:rsidRPr="00435FC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 целесообразно рассмотреть как прямых, так и косвенных конкурентов.</w:t>
      </w:r>
    </w:p>
    <w:p w14:paraId="3935EBCB" w14:textId="77777777" w:rsidR="00435FCA" w:rsidRPr="00435FCA" w:rsidRDefault="00435FCA" w:rsidP="00435F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b/>
          <w:bCs/>
          <w:sz w:val="28"/>
          <w:szCs w:val="28"/>
          <w:lang w:val="ru-RU"/>
        </w:rPr>
        <w:t>2.1. Прямые конкуренты</w:t>
      </w:r>
    </w:p>
    <w:p w14:paraId="64A3A45C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>К прямым конкурентам относятся игровые студии, которые, помимо разработки видеоигр, формируют собственные цифровые экосистемы и платформы для взаимодействия с аудиторией. Такие компании обладают значительным уровнем контроля над пользовательскими данными, каналами коммуникации и распространением дополнительного контента.</w:t>
      </w:r>
    </w:p>
    <w:p w14:paraId="74E5408D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прямых конкурентов можно выделить крупные международные студии, использующие собственные </w:t>
      </w:r>
      <w:proofErr w:type="spellStart"/>
      <w:r w:rsidRPr="00435FCA">
        <w:rPr>
          <w:rFonts w:ascii="Times New Roman" w:hAnsi="Times New Roman" w:cs="Times New Roman"/>
          <w:sz w:val="28"/>
          <w:szCs w:val="28"/>
          <w:lang w:val="ru-RU"/>
        </w:rPr>
        <w:t>лаунчеры</w:t>
      </w:r>
      <w:proofErr w:type="spellEnd"/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 и сервисы для управления игровыми продуктами, сообществами игроков и продажами цифрового контента. Их цифровые платформы обеспечивают централизованное взаимодействие с пользователями, интеграцию </w:t>
      </w:r>
      <w:r w:rsidRPr="00435FCA">
        <w:rPr>
          <w:rFonts w:ascii="Times New Roman" w:hAnsi="Times New Roman" w:cs="Times New Roman"/>
          <w:sz w:val="28"/>
          <w:szCs w:val="28"/>
        </w:rPr>
        <w:t>DLC</w:t>
      </w:r>
      <w:r w:rsidRPr="00435FCA">
        <w:rPr>
          <w:rFonts w:ascii="Times New Roman" w:hAnsi="Times New Roman" w:cs="Times New Roman"/>
          <w:sz w:val="28"/>
          <w:szCs w:val="28"/>
          <w:lang w:val="ru-RU"/>
        </w:rPr>
        <w:t>, аналитические инструменты и маркетинговые механизмы удержания аудитории. Наличие таких решений позволяет данным компаниям снижать зависимость от сторонних дистрибуционных платформ и формировать устойчивую лояльность игроков.</w:t>
      </w:r>
    </w:p>
    <w:p w14:paraId="19EA46FA" w14:textId="77777777" w:rsidR="00435FCA" w:rsidRPr="00435FCA" w:rsidRDefault="00435FCA" w:rsidP="00435F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 Косвенные конкуренты</w:t>
      </w:r>
    </w:p>
    <w:p w14:paraId="4BB1B212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>Косвенные конкуренты не являются прямыми разработчиками игр, однако оказывают существенное влияние на рынок за счёт предоставления альтернативных цифровых решений. В первую очередь к ним относятся крупные платформы цифровой дистрибуции и онлайн-сообщества, через которые осуществляется продажа игр, распространение пользовательского контента и взаимодействие с аудиторией.</w:t>
      </w:r>
    </w:p>
    <w:p w14:paraId="7B0940CA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Данные платформы обладают широкой пользовательской базой и развитой инфраструктурой, однако уровень контроля разработчиков над данными </w:t>
      </w:r>
      <w:r w:rsidRPr="00435FCA">
        <w:rPr>
          <w:rFonts w:ascii="Times New Roman" w:hAnsi="Times New Roman" w:cs="Times New Roman"/>
          <w:sz w:val="28"/>
          <w:szCs w:val="28"/>
          <w:lang w:val="ru-RU"/>
        </w:rPr>
        <w:lastRenderedPageBreak/>
        <w:t>игроков и механизмами взаимодействия с аудиторией в данном случае ограничен. Это создаёт для игровых студий зависимость от внешних платформ и снижает гибкость в развитии собственной цифровой экосистемы.</w:t>
      </w:r>
    </w:p>
    <w:p w14:paraId="1E9C986F" w14:textId="77777777" w:rsidR="00435FCA" w:rsidRPr="00435FCA" w:rsidRDefault="00435FCA" w:rsidP="00435FC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b/>
          <w:bCs/>
          <w:sz w:val="28"/>
          <w:szCs w:val="28"/>
          <w:lang w:val="ru-RU"/>
        </w:rPr>
        <w:t>2.3. Сравнительная оценка конкурентной среды</w:t>
      </w:r>
    </w:p>
    <w:p w14:paraId="78908F25" w14:textId="77777777" w:rsidR="00435FCA" w:rsidRPr="00435FCA" w:rsidRDefault="00435FCA" w:rsidP="00435FC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Для наглядного представления конкурентных преимуществ ИТ-проекта </w:t>
      </w:r>
      <w:proofErr w:type="spellStart"/>
      <w:r w:rsidRPr="00435FC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435FCA">
        <w:rPr>
          <w:rFonts w:ascii="Times New Roman" w:hAnsi="Times New Roman" w:cs="Times New Roman"/>
          <w:sz w:val="28"/>
          <w:szCs w:val="28"/>
          <w:lang w:val="ru-RU"/>
        </w:rPr>
        <w:t xml:space="preserve"> целесообразно использовать сравнительную таблицу.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634A" w:rsidRPr="00217CA8" w14:paraId="74564AEE" w14:textId="77777777" w:rsidTr="0080634A">
        <w:tc>
          <w:tcPr>
            <w:tcW w:w="2337" w:type="dxa"/>
          </w:tcPr>
          <w:p w14:paraId="1BD73BFC" w14:textId="44D1E736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Критерий</w:t>
            </w:r>
            <w:proofErr w:type="spellEnd"/>
          </w:p>
        </w:tc>
        <w:tc>
          <w:tcPr>
            <w:tcW w:w="2337" w:type="dxa"/>
          </w:tcPr>
          <w:p w14:paraId="2B24E679" w14:textId="439FE60C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Mundfish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(ИТ-</w:t>
            </w:r>
            <w:proofErr w:type="spellStart"/>
            <w:r w:rsidRPr="00217CA8">
              <w:rPr>
                <w:rFonts w:ascii="Times New Roman" w:hAnsi="Times New Roman" w:cs="Times New Roman"/>
              </w:rPr>
              <w:t>проект</w:t>
            </w:r>
            <w:proofErr w:type="spellEnd"/>
            <w:r w:rsidRPr="00217CA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41AA8513" w14:textId="6849359F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Прямые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конкуренты</w:t>
            </w:r>
            <w:proofErr w:type="spellEnd"/>
          </w:p>
        </w:tc>
        <w:tc>
          <w:tcPr>
            <w:tcW w:w="2338" w:type="dxa"/>
          </w:tcPr>
          <w:p w14:paraId="45C010EE" w14:textId="5B9AF7BE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Косвенные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конкуренты</w:t>
            </w:r>
            <w:proofErr w:type="spellEnd"/>
          </w:p>
        </w:tc>
      </w:tr>
      <w:tr w:rsidR="0080634A" w:rsidRPr="00217CA8" w14:paraId="79E4312F" w14:textId="77777777" w:rsidTr="0080634A">
        <w:tc>
          <w:tcPr>
            <w:tcW w:w="2337" w:type="dxa"/>
          </w:tcPr>
          <w:p w14:paraId="2D858FD0" w14:textId="631F0BD6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Наличие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собственной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цифровой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платформы</w:t>
            </w:r>
            <w:proofErr w:type="spellEnd"/>
          </w:p>
        </w:tc>
        <w:tc>
          <w:tcPr>
            <w:tcW w:w="2337" w:type="dxa"/>
          </w:tcPr>
          <w:p w14:paraId="77EAE212" w14:textId="39160C73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7CA8">
              <w:rPr>
                <w:rFonts w:ascii="Times New Roman" w:hAnsi="Times New Roman" w:cs="Times New Roman"/>
              </w:rPr>
              <w:t xml:space="preserve">В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стадии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развития</w:t>
            </w:r>
            <w:proofErr w:type="spellEnd"/>
          </w:p>
        </w:tc>
        <w:tc>
          <w:tcPr>
            <w:tcW w:w="2338" w:type="dxa"/>
          </w:tcPr>
          <w:p w14:paraId="08EFBFA2" w14:textId="1DE86D59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Да</w:t>
            </w:r>
            <w:proofErr w:type="spellEnd"/>
          </w:p>
        </w:tc>
        <w:tc>
          <w:tcPr>
            <w:tcW w:w="2338" w:type="dxa"/>
          </w:tcPr>
          <w:p w14:paraId="70975D53" w14:textId="78B7B370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Да</w:t>
            </w:r>
            <w:proofErr w:type="spellEnd"/>
          </w:p>
        </w:tc>
      </w:tr>
      <w:tr w:rsidR="0080634A" w:rsidRPr="00217CA8" w14:paraId="23A16464" w14:textId="77777777" w:rsidTr="0080634A">
        <w:tc>
          <w:tcPr>
            <w:tcW w:w="2337" w:type="dxa"/>
          </w:tcPr>
          <w:p w14:paraId="423FD7FA" w14:textId="3A6BD429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7CA8">
              <w:rPr>
                <w:rFonts w:ascii="Times New Roman" w:hAnsi="Times New Roman" w:cs="Times New Roman"/>
              </w:rPr>
              <w:t xml:space="preserve">Контроль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над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пользовательскими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данными</w:t>
            </w:r>
            <w:proofErr w:type="spellEnd"/>
          </w:p>
        </w:tc>
        <w:tc>
          <w:tcPr>
            <w:tcW w:w="2337" w:type="dxa"/>
          </w:tcPr>
          <w:p w14:paraId="264D6E0F" w14:textId="55B70821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Высокий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217CA8">
              <w:rPr>
                <w:rFonts w:ascii="Times New Roman" w:hAnsi="Times New Roman" w:cs="Times New Roman"/>
              </w:rPr>
              <w:t>планируется</w:t>
            </w:r>
            <w:proofErr w:type="spellEnd"/>
            <w:r w:rsidRPr="00217CA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38" w:type="dxa"/>
          </w:tcPr>
          <w:p w14:paraId="0383FFEF" w14:textId="69BFAEA8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Высокий</w:t>
            </w:r>
            <w:proofErr w:type="spellEnd"/>
          </w:p>
        </w:tc>
        <w:tc>
          <w:tcPr>
            <w:tcW w:w="2338" w:type="dxa"/>
          </w:tcPr>
          <w:p w14:paraId="79FE1610" w14:textId="799C469C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Ограниченный</w:t>
            </w:r>
            <w:proofErr w:type="spellEnd"/>
          </w:p>
        </w:tc>
      </w:tr>
      <w:tr w:rsidR="0080634A" w:rsidRPr="00217CA8" w14:paraId="49A79774" w14:textId="77777777" w:rsidTr="0080634A">
        <w:tc>
          <w:tcPr>
            <w:tcW w:w="2337" w:type="dxa"/>
          </w:tcPr>
          <w:p w14:paraId="01951E7C" w14:textId="7B4DB7DE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Взаимодействие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с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игровым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сообществом</w:t>
            </w:r>
            <w:proofErr w:type="spellEnd"/>
          </w:p>
        </w:tc>
        <w:tc>
          <w:tcPr>
            <w:tcW w:w="2337" w:type="dxa"/>
          </w:tcPr>
          <w:p w14:paraId="50BF1978" w14:textId="6F93C0BF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Централизованное</w:t>
            </w:r>
            <w:proofErr w:type="spellEnd"/>
          </w:p>
        </w:tc>
        <w:tc>
          <w:tcPr>
            <w:tcW w:w="2338" w:type="dxa"/>
          </w:tcPr>
          <w:p w14:paraId="4E40E0B1" w14:textId="12565E65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Развитое</w:t>
            </w:r>
            <w:proofErr w:type="spellEnd"/>
          </w:p>
        </w:tc>
        <w:tc>
          <w:tcPr>
            <w:tcW w:w="2338" w:type="dxa"/>
          </w:tcPr>
          <w:p w14:paraId="29F8D246" w14:textId="166FF7AD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Фрагментированное</w:t>
            </w:r>
            <w:proofErr w:type="spellEnd"/>
          </w:p>
        </w:tc>
      </w:tr>
      <w:tr w:rsidR="0080634A" w:rsidRPr="00217CA8" w14:paraId="3D8CB124" w14:textId="77777777" w:rsidTr="0080634A">
        <w:tc>
          <w:tcPr>
            <w:tcW w:w="2337" w:type="dxa"/>
          </w:tcPr>
          <w:p w14:paraId="3D6A16AE" w14:textId="607D570D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Зависимость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от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внешних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платформ</w:t>
            </w:r>
            <w:proofErr w:type="spellEnd"/>
          </w:p>
        </w:tc>
        <w:tc>
          <w:tcPr>
            <w:tcW w:w="2337" w:type="dxa"/>
          </w:tcPr>
          <w:p w14:paraId="29F4ED60" w14:textId="43817832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Снижается</w:t>
            </w:r>
            <w:proofErr w:type="spellEnd"/>
          </w:p>
        </w:tc>
        <w:tc>
          <w:tcPr>
            <w:tcW w:w="2338" w:type="dxa"/>
          </w:tcPr>
          <w:p w14:paraId="34433F63" w14:textId="58ECF446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  <w:tc>
          <w:tcPr>
            <w:tcW w:w="2338" w:type="dxa"/>
          </w:tcPr>
          <w:p w14:paraId="12E385B2" w14:textId="156400AB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Отсутствует</w:t>
            </w:r>
            <w:proofErr w:type="spellEnd"/>
          </w:p>
        </w:tc>
      </w:tr>
      <w:tr w:rsidR="0080634A" w:rsidRPr="00217CA8" w14:paraId="352A6355" w14:textId="77777777" w:rsidTr="0080634A">
        <w:tc>
          <w:tcPr>
            <w:tcW w:w="2337" w:type="dxa"/>
          </w:tcPr>
          <w:p w14:paraId="597483C0" w14:textId="387A4E6D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Гибкость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развития</w:t>
            </w:r>
            <w:proofErr w:type="spellEnd"/>
            <w:r w:rsidRPr="00217C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17CA8">
              <w:rPr>
                <w:rFonts w:ascii="Times New Roman" w:hAnsi="Times New Roman" w:cs="Times New Roman"/>
              </w:rPr>
              <w:t>экосистемы</w:t>
            </w:r>
            <w:proofErr w:type="spellEnd"/>
          </w:p>
        </w:tc>
        <w:tc>
          <w:tcPr>
            <w:tcW w:w="2337" w:type="dxa"/>
          </w:tcPr>
          <w:p w14:paraId="65EF3623" w14:textId="471F8F2D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Высокая</w:t>
            </w:r>
            <w:proofErr w:type="spellEnd"/>
          </w:p>
        </w:tc>
        <w:tc>
          <w:tcPr>
            <w:tcW w:w="2338" w:type="dxa"/>
          </w:tcPr>
          <w:p w14:paraId="24FCD14E" w14:textId="20C49A8D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Средняя</w:t>
            </w:r>
            <w:proofErr w:type="spellEnd"/>
          </w:p>
        </w:tc>
        <w:tc>
          <w:tcPr>
            <w:tcW w:w="2338" w:type="dxa"/>
          </w:tcPr>
          <w:p w14:paraId="11F66917" w14:textId="3169C799" w:rsidR="0080634A" w:rsidRPr="00217CA8" w:rsidRDefault="0080634A" w:rsidP="0080634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17CA8">
              <w:rPr>
                <w:rFonts w:ascii="Times New Roman" w:hAnsi="Times New Roman" w:cs="Times New Roman"/>
              </w:rPr>
              <w:t>Низкая</w:t>
            </w:r>
            <w:proofErr w:type="spellEnd"/>
          </w:p>
        </w:tc>
      </w:tr>
    </w:tbl>
    <w:p w14:paraId="2753CF66" w14:textId="77777777" w:rsidR="0071412A" w:rsidRDefault="0071412A" w:rsidP="00624635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C88CE38" w14:textId="77777777" w:rsidR="00200818" w:rsidRDefault="00200818" w:rsidP="0020081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00818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показывает, что реализация собственной цифровой платформы позволит студии </w:t>
      </w:r>
      <w:proofErr w:type="spellStart"/>
      <w:r w:rsidRPr="00200818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200818">
        <w:rPr>
          <w:rFonts w:ascii="Times New Roman" w:hAnsi="Times New Roman" w:cs="Times New Roman"/>
          <w:sz w:val="28"/>
          <w:szCs w:val="28"/>
          <w:lang w:val="ru-RU"/>
        </w:rPr>
        <w:t xml:space="preserve"> сократить зависимость от косвенных конкурентов, повысить уровень взаимодействия с аудиторией и обеспечить более эффективное управление жизненным циклом игрового продукта. Это создаёт предпосылки для укрепления конкурентных позиций компании и повышения экономической эффективности ИТ-проекта.</w:t>
      </w:r>
    </w:p>
    <w:p w14:paraId="42965753" w14:textId="77777777" w:rsidR="00480CA7" w:rsidRPr="00480CA7" w:rsidRDefault="00480CA7" w:rsidP="00480CA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Оценка экономической эффективности ИТ-проекта / продукта (для </w:t>
      </w:r>
      <w:proofErr w:type="spellStart"/>
      <w:r w:rsidRPr="00480CA7">
        <w:rPr>
          <w:rFonts w:ascii="Times New Roman" w:hAnsi="Times New Roman" w:cs="Times New Roman"/>
          <w:b/>
          <w:bCs/>
          <w:sz w:val="28"/>
          <w:szCs w:val="28"/>
        </w:rPr>
        <w:t>Mundfish</w:t>
      </w:r>
      <w:proofErr w:type="spellEnd"/>
      <w:r w:rsidRPr="00480CA7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CA0EE96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(Пример: внедрение собственной цифровой платформы </w:t>
      </w:r>
      <w:proofErr w:type="spellStart"/>
      <w:r w:rsidRPr="00480CA7">
        <w:rPr>
          <w:rFonts w:ascii="Times New Roman" w:hAnsi="Times New Roman" w:cs="Times New Roman"/>
          <w:i/>
          <w:iCs/>
          <w:sz w:val="28"/>
          <w:szCs w:val="28"/>
        </w:rPr>
        <w:t>Mundfish</w:t>
      </w:r>
      <w:proofErr w:type="spellEnd"/>
      <w:r w:rsidRPr="00480CA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i/>
          <w:iCs/>
          <w:sz w:val="28"/>
          <w:szCs w:val="28"/>
        </w:rPr>
        <w:t>Ecosystem</w:t>
      </w:r>
      <w:r w:rsidRPr="00480CA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i/>
          <w:iCs/>
          <w:sz w:val="28"/>
          <w:szCs w:val="28"/>
        </w:rPr>
        <w:t>Platform</w:t>
      </w:r>
      <w:r w:rsidRPr="00480CA7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— </w:t>
      </w:r>
      <w:r w:rsidRPr="00480CA7">
        <w:rPr>
          <w:rFonts w:ascii="Times New Roman" w:hAnsi="Times New Roman" w:cs="Times New Roman"/>
          <w:i/>
          <w:iCs/>
          <w:sz w:val="28"/>
          <w:szCs w:val="28"/>
        </w:rPr>
        <w:t>MEP</w:t>
      </w:r>
      <w:r w:rsidRPr="00480CA7">
        <w:rPr>
          <w:rFonts w:ascii="Times New Roman" w:hAnsi="Times New Roman" w:cs="Times New Roman"/>
          <w:i/>
          <w:iCs/>
          <w:sz w:val="28"/>
          <w:szCs w:val="28"/>
          <w:lang w:val="ru-RU"/>
        </w:rPr>
        <w:t>)</w:t>
      </w:r>
    </w:p>
    <w:p w14:paraId="64EDA564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3.1. Исходные данные и допущения (учебные, укрупнённые)</w:t>
      </w:r>
    </w:p>
    <w:p w14:paraId="0BEED050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Цель расчёта: показать экономическую целесообразность ИТ-проекта (прибыль, </w:t>
      </w:r>
      <w:r w:rsidRPr="00480CA7">
        <w:rPr>
          <w:rFonts w:ascii="Times New Roman" w:hAnsi="Times New Roman" w:cs="Times New Roman"/>
          <w:sz w:val="28"/>
          <w:szCs w:val="28"/>
        </w:rPr>
        <w:t>ROI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, срок окупаемости), а также дополнительно оценить </w:t>
      </w:r>
      <w:r w:rsidRPr="00480CA7">
        <w:rPr>
          <w:rFonts w:ascii="Times New Roman" w:hAnsi="Times New Roman" w:cs="Times New Roman"/>
          <w:sz w:val="28"/>
          <w:szCs w:val="28"/>
        </w:rPr>
        <w:t>NPV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480CA7">
        <w:rPr>
          <w:rFonts w:ascii="Times New Roman" w:hAnsi="Times New Roman" w:cs="Times New Roman"/>
          <w:sz w:val="28"/>
          <w:szCs w:val="28"/>
        </w:rPr>
        <w:t>IRR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(как расширение, по аналогии с примером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FixPrice</w:t>
      </w:r>
      <w:proofErr w:type="spellEnd"/>
      <w:r w:rsidRPr="00480CA7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3BA3E83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1) Масштаб и логика бизнеса (игровая индустрия)</w:t>
      </w:r>
    </w:p>
    <w:p w14:paraId="7AFD234B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В отличие от розницы, где эффект считается «доли процента от оборота сети», у игровой студии эффект формируется через:</w:t>
      </w:r>
    </w:p>
    <w:p w14:paraId="5C3FF02D" w14:textId="77777777" w:rsidR="00480CA7" w:rsidRPr="00480CA7" w:rsidRDefault="00480CA7" w:rsidP="00480CA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продажу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DLC /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дополнительного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,</w:t>
      </w:r>
    </w:p>
    <w:p w14:paraId="1BEDD8F9" w14:textId="77777777" w:rsidR="00480CA7" w:rsidRPr="00480CA7" w:rsidRDefault="00480CA7" w:rsidP="00480CA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удержание (</w:t>
      </w:r>
      <w:r w:rsidRPr="00480CA7">
        <w:rPr>
          <w:rFonts w:ascii="Times New Roman" w:hAnsi="Times New Roman" w:cs="Times New Roman"/>
          <w:sz w:val="28"/>
          <w:szCs w:val="28"/>
        </w:rPr>
        <w:t>retention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 и повторные покупки,</w:t>
      </w:r>
    </w:p>
    <w:p w14:paraId="0EA98E25" w14:textId="77777777" w:rsidR="00480CA7" w:rsidRPr="00480CA7" w:rsidRDefault="00480CA7" w:rsidP="00480CA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снижение затрат на маркетинг за счёт персонализации,</w:t>
      </w:r>
    </w:p>
    <w:p w14:paraId="19BED213" w14:textId="77777777" w:rsidR="00480CA7" w:rsidRPr="00480CA7" w:rsidRDefault="00480CA7" w:rsidP="00480CA7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снижение затрат на поддержку и обработку обратной связи.</w:t>
      </w:r>
    </w:p>
    <w:p w14:paraId="488DD1F5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2) Описание ИТ-проекта (</w:t>
      </w:r>
      <w:r w:rsidRPr="00480CA7">
        <w:rPr>
          <w:rFonts w:ascii="Times New Roman" w:hAnsi="Times New Roman" w:cs="Times New Roman"/>
          <w:sz w:val="28"/>
          <w:szCs w:val="28"/>
        </w:rPr>
        <w:t>MEP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BC808B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</w:rPr>
        <w:t>MEP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</w:rPr>
        <w:t>Ecosystem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</w:rPr>
        <w:t>Platform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 — внутренняя и клиентская цифровая платформа, которая объединяет:</w:t>
      </w:r>
    </w:p>
    <w:p w14:paraId="719C147B" w14:textId="77777777" w:rsidR="00480CA7" w:rsidRPr="00480CA7" w:rsidRDefault="00480CA7" w:rsidP="00480CA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контент-хаб для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/ цифровых событий,</w:t>
      </w:r>
    </w:p>
    <w:p w14:paraId="0BCAB789" w14:textId="77777777" w:rsidR="00480CA7" w:rsidRPr="00480CA7" w:rsidRDefault="00480CA7" w:rsidP="00480CA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сообщество и обратную связь (официальные каналы, сбор отзывов),</w:t>
      </w:r>
    </w:p>
    <w:p w14:paraId="7AEFB831" w14:textId="77777777" w:rsidR="00480CA7" w:rsidRPr="00480CA7" w:rsidRDefault="00480CA7" w:rsidP="00480CA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аналитику поведения игроков (сегменты, активность, конверсия в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),</w:t>
      </w:r>
    </w:p>
    <w:p w14:paraId="597A1D32" w14:textId="77777777" w:rsidR="00480CA7" w:rsidRPr="00480CA7" w:rsidRDefault="00480CA7" w:rsidP="00480CA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персонализированные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предложения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коммуникации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,</w:t>
      </w:r>
    </w:p>
    <w:p w14:paraId="02EA281B" w14:textId="74A55540" w:rsidR="00480CA7" w:rsidRPr="00480CA7" w:rsidRDefault="00480CA7" w:rsidP="00480CA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интеграцию поддержки (снижение нагрузки на ручную обработку).</w:t>
      </w:r>
    </w:p>
    <w:p w14:paraId="6C1150B9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3.2. Расчёт инвестиций (</w:t>
      </w:r>
      <w:r w:rsidRPr="00480CA7">
        <w:rPr>
          <w:rFonts w:ascii="Times New Roman" w:hAnsi="Times New Roman" w:cs="Times New Roman"/>
          <w:sz w:val="28"/>
          <w:szCs w:val="28"/>
        </w:rPr>
        <w:t>CAPEX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480CA7">
        <w:rPr>
          <w:rFonts w:ascii="Times New Roman" w:hAnsi="Times New Roman" w:cs="Times New Roman"/>
          <w:sz w:val="28"/>
          <w:szCs w:val="28"/>
        </w:rPr>
        <w:t>OPEX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на 3 года)</w:t>
      </w:r>
    </w:p>
    <w:p w14:paraId="6F52BCE5" w14:textId="77777777" w:rsidR="00480CA7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>CAPEX (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единовременные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затраты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9"/>
        <w:gridCol w:w="2312"/>
        <w:gridCol w:w="2208"/>
        <w:gridCol w:w="2161"/>
      </w:tblGrid>
      <w:tr w:rsidR="00934B1D" w:rsidRPr="0096409F" w14:paraId="7FC576E6" w14:textId="77777777" w:rsidTr="00934B1D">
        <w:tc>
          <w:tcPr>
            <w:tcW w:w="2669" w:type="dxa"/>
            <w:vAlign w:val="center"/>
          </w:tcPr>
          <w:p w14:paraId="207A9DA9" w14:textId="05F1231A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Статья</w:t>
            </w:r>
            <w:proofErr w:type="spellEnd"/>
          </w:p>
        </w:tc>
        <w:tc>
          <w:tcPr>
            <w:tcW w:w="2312" w:type="dxa"/>
            <w:vAlign w:val="center"/>
          </w:tcPr>
          <w:p w14:paraId="1AFF2EE5" w14:textId="0EDC44AF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Детализация</w:t>
            </w:r>
            <w:proofErr w:type="spellEnd"/>
          </w:p>
        </w:tc>
        <w:tc>
          <w:tcPr>
            <w:tcW w:w="2208" w:type="dxa"/>
            <w:vAlign w:val="center"/>
          </w:tcPr>
          <w:p w14:paraId="4AB6BA24" w14:textId="3343B5CE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Стоимость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61" w:type="dxa"/>
            <w:vAlign w:val="center"/>
          </w:tcPr>
          <w:p w14:paraId="5F0FE4B2" w14:textId="47A27D92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Период</w:t>
            </w:r>
            <w:proofErr w:type="spellEnd"/>
          </w:p>
        </w:tc>
      </w:tr>
      <w:tr w:rsidR="00934B1D" w:rsidRPr="0096409F" w14:paraId="0CE6D82D" w14:textId="77777777" w:rsidTr="00934B1D">
        <w:tc>
          <w:tcPr>
            <w:tcW w:w="2669" w:type="dxa"/>
            <w:vAlign w:val="center"/>
          </w:tcPr>
          <w:p w14:paraId="556F4785" w14:textId="3FB82CCB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Разработка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платформы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(MVP +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ядро</w:t>
            </w:r>
            <w:proofErr w:type="spellEnd"/>
            <w:r w:rsidRPr="009640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12" w:type="dxa"/>
            <w:vAlign w:val="center"/>
          </w:tcPr>
          <w:p w14:paraId="29179DCC" w14:textId="179B5106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 xml:space="preserve">backend,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кабинет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интеграции</w:t>
            </w:r>
            <w:proofErr w:type="spellEnd"/>
          </w:p>
        </w:tc>
        <w:tc>
          <w:tcPr>
            <w:tcW w:w="2208" w:type="dxa"/>
            <w:vAlign w:val="center"/>
          </w:tcPr>
          <w:p w14:paraId="0A0D64D8" w14:textId="3C800E86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2161" w:type="dxa"/>
            <w:vAlign w:val="center"/>
          </w:tcPr>
          <w:p w14:paraId="3EE25BC1" w14:textId="17B9FF20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34B1D" w:rsidRPr="0096409F" w14:paraId="2E778806" w14:textId="77777777" w:rsidTr="00934B1D">
        <w:tc>
          <w:tcPr>
            <w:tcW w:w="2669" w:type="dxa"/>
            <w:vAlign w:val="center"/>
          </w:tcPr>
          <w:p w14:paraId="0F0000C1" w14:textId="557D3D4C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 xml:space="preserve">UI/UX +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фронтенд</w:t>
            </w:r>
            <w:proofErr w:type="spellEnd"/>
          </w:p>
        </w:tc>
        <w:tc>
          <w:tcPr>
            <w:tcW w:w="2312" w:type="dxa"/>
            <w:vAlign w:val="center"/>
          </w:tcPr>
          <w:p w14:paraId="0E29ADC1" w14:textId="40A5822C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lang w:val="ru-RU"/>
              </w:rPr>
              <w:t xml:space="preserve">интерфейсы, личный кабинет, витрина </w:t>
            </w:r>
            <w:r w:rsidRPr="0096409F">
              <w:rPr>
                <w:rFonts w:ascii="Times New Roman" w:hAnsi="Times New Roman" w:cs="Times New Roman"/>
              </w:rPr>
              <w:t>DLC</w:t>
            </w:r>
          </w:p>
        </w:tc>
        <w:tc>
          <w:tcPr>
            <w:tcW w:w="2208" w:type="dxa"/>
            <w:vAlign w:val="center"/>
          </w:tcPr>
          <w:p w14:paraId="6FFB7D15" w14:textId="287FAB9A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161" w:type="dxa"/>
            <w:vAlign w:val="center"/>
          </w:tcPr>
          <w:p w14:paraId="1DFA82C5" w14:textId="44E6EFB6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34B1D" w:rsidRPr="0096409F" w14:paraId="46C0B7FE" w14:textId="77777777" w:rsidTr="00934B1D">
        <w:tc>
          <w:tcPr>
            <w:tcW w:w="2669" w:type="dxa"/>
            <w:vAlign w:val="center"/>
          </w:tcPr>
          <w:p w14:paraId="3AAA1A75" w14:textId="6A86FEDE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Лицензии</w:t>
            </w:r>
            <w:proofErr w:type="spellEnd"/>
            <w:r w:rsidRPr="0096409F">
              <w:rPr>
                <w:rFonts w:ascii="Times New Roman" w:hAnsi="Times New Roman" w:cs="Times New Roman"/>
              </w:rPr>
              <w:t>/</w:t>
            </w:r>
            <w:proofErr w:type="spellStart"/>
            <w:r w:rsidRPr="0096409F">
              <w:rPr>
                <w:rFonts w:ascii="Times New Roman" w:hAnsi="Times New Roman" w:cs="Times New Roman"/>
              </w:rPr>
              <w:t>инструменты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6409F">
              <w:rPr>
                <w:rFonts w:ascii="Times New Roman" w:hAnsi="Times New Roman" w:cs="Times New Roman"/>
              </w:rPr>
              <w:t>аналитика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мониторинг</w:t>
            </w:r>
            <w:proofErr w:type="spellEnd"/>
            <w:r w:rsidRPr="009640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12" w:type="dxa"/>
            <w:vAlign w:val="center"/>
          </w:tcPr>
          <w:p w14:paraId="2AC5D0E6" w14:textId="57EC7E1D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стартовый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пакет</w:t>
            </w:r>
            <w:proofErr w:type="spellEnd"/>
          </w:p>
        </w:tc>
        <w:tc>
          <w:tcPr>
            <w:tcW w:w="2208" w:type="dxa"/>
            <w:vAlign w:val="center"/>
          </w:tcPr>
          <w:p w14:paraId="01EBCB98" w14:textId="26AEF4DB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1" w:type="dxa"/>
            <w:vAlign w:val="center"/>
          </w:tcPr>
          <w:p w14:paraId="4DEE36FF" w14:textId="20F432A1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34B1D" w:rsidRPr="0096409F" w14:paraId="4C6E4B17" w14:textId="77777777" w:rsidTr="00934B1D">
        <w:tc>
          <w:tcPr>
            <w:tcW w:w="2669" w:type="dxa"/>
            <w:vAlign w:val="center"/>
          </w:tcPr>
          <w:p w14:paraId="6A5F7692" w14:textId="5346FF63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lastRenderedPageBreak/>
              <w:t>Информационная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безопасность</w:t>
            </w:r>
            <w:proofErr w:type="spellEnd"/>
          </w:p>
        </w:tc>
        <w:tc>
          <w:tcPr>
            <w:tcW w:w="2312" w:type="dxa"/>
            <w:vAlign w:val="center"/>
          </w:tcPr>
          <w:p w14:paraId="6B549D12" w14:textId="65C05BF1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аудит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базовые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меры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защиты</w:t>
            </w:r>
            <w:proofErr w:type="spellEnd"/>
          </w:p>
        </w:tc>
        <w:tc>
          <w:tcPr>
            <w:tcW w:w="2208" w:type="dxa"/>
            <w:vAlign w:val="center"/>
          </w:tcPr>
          <w:p w14:paraId="281ABA2B" w14:textId="1F942ABB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1" w:type="dxa"/>
            <w:vAlign w:val="center"/>
          </w:tcPr>
          <w:p w14:paraId="2464DC90" w14:textId="12381D48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34B1D" w:rsidRPr="0096409F" w14:paraId="7EF186E9" w14:textId="77777777" w:rsidTr="00934B1D">
        <w:tc>
          <w:tcPr>
            <w:tcW w:w="2669" w:type="dxa"/>
            <w:vAlign w:val="center"/>
          </w:tcPr>
          <w:p w14:paraId="3E4395D6" w14:textId="0DC8025D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Инфраструктура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на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запуск</w:t>
            </w:r>
            <w:proofErr w:type="spellEnd"/>
          </w:p>
        </w:tc>
        <w:tc>
          <w:tcPr>
            <w:tcW w:w="2312" w:type="dxa"/>
            <w:vAlign w:val="center"/>
          </w:tcPr>
          <w:p w14:paraId="41D7FC79" w14:textId="4D0F6DE5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lang w:val="ru-RU"/>
              </w:rPr>
              <w:t>облако/серверные мощности на старт</w:t>
            </w:r>
          </w:p>
        </w:tc>
        <w:tc>
          <w:tcPr>
            <w:tcW w:w="2208" w:type="dxa"/>
            <w:vAlign w:val="center"/>
          </w:tcPr>
          <w:p w14:paraId="15FD7D9C" w14:textId="63F7C84D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161" w:type="dxa"/>
            <w:vAlign w:val="center"/>
          </w:tcPr>
          <w:p w14:paraId="38C8805F" w14:textId="33CC1135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</w:tr>
      <w:tr w:rsidR="00934B1D" w:rsidRPr="0096409F" w14:paraId="1650679A" w14:textId="77777777" w:rsidTr="00934B1D">
        <w:tc>
          <w:tcPr>
            <w:tcW w:w="2669" w:type="dxa"/>
            <w:vAlign w:val="center"/>
          </w:tcPr>
          <w:p w14:paraId="12D1A703" w14:textId="36BCF2EC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Итого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CAPEX</w:t>
            </w:r>
          </w:p>
        </w:tc>
        <w:tc>
          <w:tcPr>
            <w:tcW w:w="6681" w:type="dxa"/>
            <w:gridSpan w:val="3"/>
            <w:vAlign w:val="center"/>
          </w:tcPr>
          <w:p w14:paraId="09E0F62A" w14:textId="150CD742" w:rsidR="00934B1D" w:rsidRPr="0096409F" w:rsidRDefault="00934B1D" w:rsidP="00934B1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90</w:t>
            </w:r>
          </w:p>
        </w:tc>
      </w:tr>
    </w:tbl>
    <w:p w14:paraId="25948A05" w14:textId="77777777" w:rsidR="00480CA7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>OPEX (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эксплуатационные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ежегодные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1–3)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3"/>
        <w:gridCol w:w="2896"/>
        <w:gridCol w:w="2146"/>
        <w:gridCol w:w="2065"/>
      </w:tblGrid>
      <w:tr w:rsidR="00405DE4" w:rsidRPr="0096409F" w14:paraId="34CBAD7B" w14:textId="77777777" w:rsidTr="00405DE4">
        <w:tc>
          <w:tcPr>
            <w:tcW w:w="2243" w:type="dxa"/>
            <w:vAlign w:val="center"/>
          </w:tcPr>
          <w:p w14:paraId="20CF5817" w14:textId="7D91E4D4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Статья</w:t>
            </w:r>
            <w:proofErr w:type="spellEnd"/>
          </w:p>
        </w:tc>
        <w:tc>
          <w:tcPr>
            <w:tcW w:w="2896" w:type="dxa"/>
            <w:vAlign w:val="center"/>
          </w:tcPr>
          <w:p w14:paraId="4D733150" w14:textId="61048D28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Детализация</w:t>
            </w:r>
            <w:proofErr w:type="spellEnd"/>
          </w:p>
        </w:tc>
        <w:tc>
          <w:tcPr>
            <w:tcW w:w="2146" w:type="dxa"/>
            <w:vAlign w:val="center"/>
          </w:tcPr>
          <w:p w14:paraId="5737A46D" w14:textId="06A816EB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Стоимость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</w:rPr>
              <w:t>./</w:t>
            </w: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</w:p>
        </w:tc>
        <w:tc>
          <w:tcPr>
            <w:tcW w:w="2065" w:type="dxa"/>
            <w:vAlign w:val="center"/>
          </w:tcPr>
          <w:p w14:paraId="0CABC5B0" w14:textId="7983F19C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Период</w:t>
            </w:r>
            <w:proofErr w:type="spellEnd"/>
          </w:p>
        </w:tc>
      </w:tr>
      <w:tr w:rsidR="00405DE4" w:rsidRPr="0096409F" w14:paraId="2D0582B1" w14:textId="77777777" w:rsidTr="00405DE4">
        <w:tc>
          <w:tcPr>
            <w:tcW w:w="2243" w:type="dxa"/>
            <w:vAlign w:val="center"/>
          </w:tcPr>
          <w:p w14:paraId="04CB1889" w14:textId="55D8EF5F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Облачная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инфраструктура</w:t>
            </w:r>
            <w:proofErr w:type="spellEnd"/>
          </w:p>
        </w:tc>
        <w:tc>
          <w:tcPr>
            <w:tcW w:w="2896" w:type="dxa"/>
            <w:vAlign w:val="center"/>
          </w:tcPr>
          <w:p w14:paraId="7E78F2DE" w14:textId="7E63F988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хранение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вычисления</w:t>
            </w:r>
            <w:proofErr w:type="spellEnd"/>
            <w:r w:rsidRPr="0096409F">
              <w:rPr>
                <w:rFonts w:ascii="Times New Roman" w:hAnsi="Times New Roman" w:cs="Times New Roman"/>
              </w:rPr>
              <w:t>, CDN</w:t>
            </w:r>
          </w:p>
        </w:tc>
        <w:tc>
          <w:tcPr>
            <w:tcW w:w="2146" w:type="dxa"/>
            <w:vAlign w:val="center"/>
          </w:tcPr>
          <w:p w14:paraId="010A2A36" w14:textId="5C68D76E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065" w:type="dxa"/>
            <w:vAlign w:val="center"/>
          </w:tcPr>
          <w:p w14:paraId="7E01FAF5" w14:textId="3D1D8F12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1–3</w:t>
            </w:r>
          </w:p>
        </w:tc>
      </w:tr>
      <w:tr w:rsidR="00405DE4" w:rsidRPr="0096409F" w14:paraId="3545B909" w14:textId="77777777" w:rsidTr="00405DE4">
        <w:tc>
          <w:tcPr>
            <w:tcW w:w="2243" w:type="dxa"/>
            <w:vAlign w:val="center"/>
          </w:tcPr>
          <w:p w14:paraId="47737EB7" w14:textId="320685E6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Поддержка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доработки</w:t>
            </w:r>
            <w:proofErr w:type="spellEnd"/>
          </w:p>
        </w:tc>
        <w:tc>
          <w:tcPr>
            <w:tcW w:w="2896" w:type="dxa"/>
            <w:vAlign w:val="center"/>
          </w:tcPr>
          <w:p w14:paraId="34D11816" w14:textId="3F4B92A9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сопровождение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релизы</w:t>
            </w:r>
            <w:proofErr w:type="spellEnd"/>
          </w:p>
        </w:tc>
        <w:tc>
          <w:tcPr>
            <w:tcW w:w="2146" w:type="dxa"/>
            <w:vAlign w:val="center"/>
          </w:tcPr>
          <w:p w14:paraId="5495C328" w14:textId="51462985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065" w:type="dxa"/>
            <w:vAlign w:val="center"/>
          </w:tcPr>
          <w:p w14:paraId="106CB418" w14:textId="0BB3C224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1–3</w:t>
            </w:r>
          </w:p>
        </w:tc>
      </w:tr>
      <w:tr w:rsidR="00405DE4" w:rsidRPr="0096409F" w14:paraId="2F63A241" w14:textId="77777777" w:rsidTr="00405DE4">
        <w:tc>
          <w:tcPr>
            <w:tcW w:w="2243" w:type="dxa"/>
            <w:vAlign w:val="center"/>
          </w:tcPr>
          <w:p w14:paraId="4ED87093" w14:textId="0A2B84FF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Команда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продукта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6409F">
              <w:rPr>
                <w:rFonts w:ascii="Times New Roman" w:hAnsi="Times New Roman" w:cs="Times New Roman"/>
              </w:rPr>
              <w:t>частично</w:t>
            </w:r>
            <w:proofErr w:type="spellEnd"/>
            <w:r w:rsidRPr="009640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96" w:type="dxa"/>
            <w:vAlign w:val="center"/>
          </w:tcPr>
          <w:p w14:paraId="60639D3A" w14:textId="4299DAAA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аналитик</w:t>
            </w:r>
            <w:proofErr w:type="spellEnd"/>
            <w:r w:rsidRPr="0096409F">
              <w:rPr>
                <w:rFonts w:ascii="Times New Roman" w:hAnsi="Times New Roman" w:cs="Times New Roman"/>
              </w:rPr>
              <w:t>/PM/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разработчик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6409F">
              <w:rPr>
                <w:rFonts w:ascii="Times New Roman" w:hAnsi="Times New Roman" w:cs="Times New Roman"/>
              </w:rPr>
              <w:t>доля</w:t>
            </w:r>
            <w:proofErr w:type="spellEnd"/>
            <w:r w:rsidRPr="0096409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46" w:type="dxa"/>
            <w:vAlign w:val="center"/>
          </w:tcPr>
          <w:p w14:paraId="6893B480" w14:textId="23669628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65" w:type="dxa"/>
            <w:vAlign w:val="center"/>
          </w:tcPr>
          <w:p w14:paraId="05808B10" w14:textId="319B53AD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1–3</w:t>
            </w:r>
          </w:p>
        </w:tc>
      </w:tr>
      <w:tr w:rsidR="00405DE4" w:rsidRPr="0096409F" w14:paraId="49D5EBF1" w14:textId="77777777" w:rsidTr="00405DE4">
        <w:tc>
          <w:tcPr>
            <w:tcW w:w="2243" w:type="dxa"/>
            <w:vAlign w:val="center"/>
          </w:tcPr>
          <w:p w14:paraId="1C546F5B" w14:textId="2EE5D0D7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Сообщество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модерация</w:t>
            </w:r>
            <w:proofErr w:type="spellEnd"/>
          </w:p>
        </w:tc>
        <w:tc>
          <w:tcPr>
            <w:tcW w:w="2896" w:type="dxa"/>
            <w:vAlign w:val="center"/>
          </w:tcPr>
          <w:p w14:paraId="6E40C46E" w14:textId="41899C66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комьюнити-активности</w:t>
            </w:r>
            <w:proofErr w:type="spellEnd"/>
          </w:p>
        </w:tc>
        <w:tc>
          <w:tcPr>
            <w:tcW w:w="2146" w:type="dxa"/>
            <w:vAlign w:val="center"/>
          </w:tcPr>
          <w:p w14:paraId="45BCB003" w14:textId="5741DC28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5" w:type="dxa"/>
            <w:vAlign w:val="center"/>
          </w:tcPr>
          <w:p w14:paraId="72B94D43" w14:textId="14A7C1FA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1–3</w:t>
            </w:r>
          </w:p>
        </w:tc>
      </w:tr>
      <w:tr w:rsidR="00405DE4" w:rsidRPr="0096409F" w14:paraId="00BFDD09" w14:textId="77777777" w:rsidTr="00405DE4">
        <w:tc>
          <w:tcPr>
            <w:tcW w:w="2243" w:type="dxa"/>
            <w:vAlign w:val="center"/>
          </w:tcPr>
          <w:p w14:paraId="2EC945E8" w14:textId="02C94653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Маркетинг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платформы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контента</w:t>
            </w:r>
            <w:proofErr w:type="spellEnd"/>
          </w:p>
        </w:tc>
        <w:tc>
          <w:tcPr>
            <w:tcW w:w="2896" w:type="dxa"/>
            <w:vAlign w:val="center"/>
          </w:tcPr>
          <w:p w14:paraId="7A8BA873" w14:textId="7E9BA1F5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точечные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кампании</w:t>
            </w:r>
            <w:proofErr w:type="spellEnd"/>
          </w:p>
        </w:tc>
        <w:tc>
          <w:tcPr>
            <w:tcW w:w="2146" w:type="dxa"/>
            <w:vAlign w:val="center"/>
          </w:tcPr>
          <w:p w14:paraId="5ACA3571" w14:textId="33A142F8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65" w:type="dxa"/>
            <w:vAlign w:val="center"/>
          </w:tcPr>
          <w:p w14:paraId="1A711F06" w14:textId="4C930487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1–3</w:t>
            </w:r>
          </w:p>
        </w:tc>
      </w:tr>
      <w:tr w:rsidR="00405DE4" w:rsidRPr="0096409F" w14:paraId="694B3456" w14:textId="77777777" w:rsidTr="00405DE4">
        <w:tc>
          <w:tcPr>
            <w:tcW w:w="2243" w:type="dxa"/>
            <w:vAlign w:val="center"/>
          </w:tcPr>
          <w:p w14:paraId="5B8F4A0E" w14:textId="3F21801E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Итого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OPEX в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</w:p>
        </w:tc>
        <w:tc>
          <w:tcPr>
            <w:tcW w:w="7107" w:type="dxa"/>
            <w:gridSpan w:val="3"/>
            <w:vAlign w:val="center"/>
          </w:tcPr>
          <w:p w14:paraId="3A9B0CEA" w14:textId="2F7C7F27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45</w:t>
            </w:r>
          </w:p>
        </w:tc>
      </w:tr>
      <w:tr w:rsidR="00405DE4" w:rsidRPr="0096409F" w14:paraId="05E75A03" w14:textId="77777777" w:rsidTr="00405DE4">
        <w:tc>
          <w:tcPr>
            <w:tcW w:w="2243" w:type="dxa"/>
            <w:vAlign w:val="center"/>
          </w:tcPr>
          <w:p w14:paraId="0523C474" w14:textId="4DA77B1C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Итого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инвестиции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за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года</w:t>
            </w:r>
            <w:proofErr w:type="spellEnd"/>
          </w:p>
        </w:tc>
        <w:tc>
          <w:tcPr>
            <w:tcW w:w="2896" w:type="dxa"/>
            <w:vAlign w:val="center"/>
          </w:tcPr>
          <w:p w14:paraId="48343742" w14:textId="2D2AD04B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90 + (45×3)</w:t>
            </w:r>
          </w:p>
        </w:tc>
        <w:tc>
          <w:tcPr>
            <w:tcW w:w="2146" w:type="dxa"/>
            <w:vAlign w:val="center"/>
          </w:tcPr>
          <w:p w14:paraId="1638C3C2" w14:textId="5E85A609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2065" w:type="dxa"/>
            <w:vAlign w:val="center"/>
          </w:tcPr>
          <w:p w14:paraId="1ABAA8B8" w14:textId="483F8A79" w:rsidR="00405DE4" w:rsidRPr="0096409F" w:rsidRDefault="00405DE4" w:rsidP="00405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0–3</w:t>
            </w:r>
          </w:p>
        </w:tc>
      </w:tr>
    </w:tbl>
    <w:p w14:paraId="725E14F1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3.3. Расчёт экономических эффектов и допущения по эффектам</w:t>
      </w:r>
    </w:p>
    <w:p w14:paraId="1E565C70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Ключевые эффекты (консервативно)</w:t>
      </w:r>
    </w:p>
    <w:p w14:paraId="325C619D" w14:textId="77777777" w:rsidR="008D2480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Эффект №1 — рост прибыли от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/ доп. </w:t>
      </w:r>
      <w:r w:rsidR="008D2480" w:rsidRPr="0096409F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онтента</w:t>
      </w:r>
      <w:r w:rsidR="008D2480" w:rsidRPr="0096409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224E3F7" w14:textId="7BA2DF45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Платформа повышает конверсию игроков в покупку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за счёт персонализации и удобной «витрины контента».</w:t>
      </w:r>
    </w:p>
    <w:p w14:paraId="0C4A6C2D" w14:textId="77777777" w:rsidR="00480CA7" w:rsidRPr="00480CA7" w:rsidRDefault="00480CA7" w:rsidP="00480C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Допущение по базе: 2 млн активных игроков/год</w:t>
      </w:r>
    </w:p>
    <w:p w14:paraId="1E24AE20" w14:textId="77777777" w:rsidR="00480CA7" w:rsidRPr="00480CA7" w:rsidRDefault="00480CA7" w:rsidP="00480C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Средняя цена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/пакета: 2 000 руб.</w:t>
      </w:r>
    </w:p>
    <w:p w14:paraId="0038C8D0" w14:textId="77777777" w:rsidR="00480CA7" w:rsidRPr="00480CA7" w:rsidRDefault="00480CA7" w:rsidP="00480C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Текущая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доля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покупающих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DLC: 15%</w:t>
      </w:r>
    </w:p>
    <w:p w14:paraId="1D7C761B" w14:textId="77777777" w:rsidR="00480CA7" w:rsidRPr="00480CA7" w:rsidRDefault="00480CA7" w:rsidP="00480C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После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внедрения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платформы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: 18%</w:t>
      </w:r>
    </w:p>
    <w:p w14:paraId="4ACBB989" w14:textId="77777777" w:rsidR="00480CA7" w:rsidRPr="00480CA7" w:rsidRDefault="00480CA7" w:rsidP="00480CA7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Маржинальность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доп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контента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цифровая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): 70%</w:t>
      </w:r>
    </w:p>
    <w:p w14:paraId="26DE9E50" w14:textId="77777777" w:rsidR="00D25A65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Расчёт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:</w:t>
      </w:r>
    </w:p>
    <w:p w14:paraId="2D4AC949" w14:textId="33824004" w:rsidR="00D25A65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База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-выручки = 2 000 000 × 15% × 2 000 = 600 млн руб.</w:t>
      </w:r>
    </w:p>
    <w:p w14:paraId="43F29B4A" w14:textId="77777777" w:rsidR="00D25A65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lastRenderedPageBreak/>
        <w:t>После = 2 000 000 × 18% × 2 000 = 720 млн руб.</w:t>
      </w:r>
    </w:p>
    <w:p w14:paraId="1122C825" w14:textId="63FEE05F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>Δ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Выручка = 120 млн → </w:t>
      </w:r>
      <w:r w:rsidRPr="00480CA7">
        <w:rPr>
          <w:rFonts w:ascii="Times New Roman" w:hAnsi="Times New Roman" w:cs="Times New Roman"/>
          <w:sz w:val="28"/>
          <w:szCs w:val="28"/>
        </w:rPr>
        <w:t>Δ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Прибыль = 120 × 70% = 84 млн руб./год</w:t>
      </w:r>
    </w:p>
    <w:p w14:paraId="7E64DD79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Эффект №2 — рост продаж за счёт удержания и «</w:t>
      </w:r>
      <w:proofErr w:type="spellStart"/>
      <w:r w:rsidRPr="00480CA7">
        <w:rPr>
          <w:rFonts w:ascii="Times New Roman" w:hAnsi="Times New Roman" w:cs="Times New Roman"/>
          <w:sz w:val="28"/>
          <w:szCs w:val="28"/>
          <w:lang w:val="ru-RU"/>
        </w:rPr>
        <w:t>дожима</w:t>
      </w:r>
      <w:proofErr w:type="spellEnd"/>
      <w:r w:rsidRPr="00480CA7">
        <w:rPr>
          <w:rFonts w:ascii="Times New Roman" w:hAnsi="Times New Roman" w:cs="Times New Roman"/>
          <w:sz w:val="28"/>
          <w:szCs w:val="28"/>
          <w:lang w:val="ru-RU"/>
        </w:rPr>
        <w:t>» аудитории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br/>
        <w:t>Более сильное сообщество + события → дополнительный спрос.</w:t>
      </w:r>
    </w:p>
    <w:p w14:paraId="7E916756" w14:textId="77777777" w:rsidR="00480CA7" w:rsidRPr="00480CA7" w:rsidRDefault="00480CA7" w:rsidP="00480CA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Допущение: дополнительный прирост «базовых продаж/покупок» даёт +40 млн руб. выручки/год</w:t>
      </w:r>
    </w:p>
    <w:p w14:paraId="2B363C2A" w14:textId="77777777" w:rsidR="00480CA7" w:rsidRPr="00480CA7" w:rsidRDefault="00480CA7" w:rsidP="00480CA7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Маржинальность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: 60%</w:t>
      </w:r>
    </w:p>
    <w:p w14:paraId="015640EF" w14:textId="5857886C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ΔПрибыль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= 40 × 60% = 24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</w:p>
    <w:p w14:paraId="6505CC3E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Эффект №3 — экономия маркетингового бюджета (эффективность)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br/>
        <w:t>Персонализация повышает отдачу, часть бюджета расходуется точнее.</w:t>
      </w:r>
    </w:p>
    <w:p w14:paraId="2A7941F0" w14:textId="77777777" w:rsidR="00480CA7" w:rsidRPr="00480CA7" w:rsidRDefault="00480CA7" w:rsidP="00480CA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Допущение: цифровой маркетинг студии = 100 млн руб./год</w:t>
      </w:r>
    </w:p>
    <w:p w14:paraId="176E3AD0" w14:textId="4D2133C3" w:rsidR="00480CA7" w:rsidRPr="00480CA7" w:rsidRDefault="00480CA7" w:rsidP="00480CA7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Экономия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: 10% → 10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</w:p>
    <w:p w14:paraId="7AD302F1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Эффект №4 — снижение затрат на поддержку и обработку обратной связи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br/>
        <w:t>Единый канал обратной связи + аналитика → меньше ручной работы.</w:t>
      </w:r>
    </w:p>
    <w:p w14:paraId="7D9B0BAA" w14:textId="30C72A14" w:rsidR="00480CA7" w:rsidRPr="00480CA7" w:rsidRDefault="00480CA7" w:rsidP="00480CA7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Экономия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: 15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./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</w:p>
    <w:p w14:paraId="401B8121" w14:textId="77777777" w:rsidR="00480CA7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Итого плановый годовой эффект (при полном выходе на режим)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043C" w:rsidRPr="0096409F" w14:paraId="790564D9" w14:textId="77777777" w:rsidTr="008262A9">
        <w:tc>
          <w:tcPr>
            <w:tcW w:w="4675" w:type="dxa"/>
            <w:vAlign w:val="center"/>
          </w:tcPr>
          <w:p w14:paraId="0E05F783" w14:textId="4B61BB06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Эффект</w:t>
            </w:r>
            <w:proofErr w:type="spellEnd"/>
          </w:p>
        </w:tc>
        <w:tc>
          <w:tcPr>
            <w:tcW w:w="4675" w:type="dxa"/>
            <w:vAlign w:val="center"/>
          </w:tcPr>
          <w:p w14:paraId="15F527D2" w14:textId="7F50C186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Дополнительная прибыль, млн руб./год</w:t>
            </w:r>
          </w:p>
        </w:tc>
      </w:tr>
      <w:tr w:rsidR="00FB043C" w:rsidRPr="0096409F" w14:paraId="7EADB349" w14:textId="77777777" w:rsidTr="00A16182">
        <w:tc>
          <w:tcPr>
            <w:tcW w:w="4675" w:type="dxa"/>
            <w:vAlign w:val="center"/>
          </w:tcPr>
          <w:p w14:paraId="5EFAD68F" w14:textId="581D248B" w:rsidR="00FB043C" w:rsidRPr="0096409F" w:rsidRDefault="00FB043C" w:rsidP="00A1618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№1 DLC и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контент</w:t>
            </w:r>
            <w:proofErr w:type="spellEnd"/>
          </w:p>
        </w:tc>
        <w:tc>
          <w:tcPr>
            <w:tcW w:w="4675" w:type="dxa"/>
            <w:vAlign w:val="center"/>
          </w:tcPr>
          <w:p w14:paraId="5806245C" w14:textId="710FD3DE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FB043C" w:rsidRPr="0096409F" w14:paraId="082D6D09" w14:textId="77777777" w:rsidTr="00A16182">
        <w:tc>
          <w:tcPr>
            <w:tcW w:w="4675" w:type="dxa"/>
            <w:vAlign w:val="center"/>
          </w:tcPr>
          <w:p w14:paraId="68C3FDDD" w14:textId="073FD0A8" w:rsidR="00FB043C" w:rsidRPr="0096409F" w:rsidRDefault="00FB043C" w:rsidP="00A1618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№2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удержание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повторные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покупки</w:t>
            </w:r>
            <w:proofErr w:type="spellEnd"/>
          </w:p>
        </w:tc>
        <w:tc>
          <w:tcPr>
            <w:tcW w:w="4675" w:type="dxa"/>
            <w:vAlign w:val="center"/>
          </w:tcPr>
          <w:p w14:paraId="41EEFB59" w14:textId="36346AD0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FB043C" w:rsidRPr="0096409F" w14:paraId="54D46CF8" w14:textId="77777777" w:rsidTr="00A16182">
        <w:tc>
          <w:tcPr>
            <w:tcW w:w="4675" w:type="dxa"/>
            <w:vAlign w:val="center"/>
          </w:tcPr>
          <w:p w14:paraId="51BCB4BB" w14:textId="13F286BB" w:rsidR="00FB043C" w:rsidRPr="0096409F" w:rsidRDefault="00FB043C" w:rsidP="00A1618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№3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экономия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маркетинга</w:t>
            </w:r>
            <w:proofErr w:type="spellEnd"/>
          </w:p>
        </w:tc>
        <w:tc>
          <w:tcPr>
            <w:tcW w:w="4675" w:type="dxa"/>
            <w:vAlign w:val="center"/>
          </w:tcPr>
          <w:p w14:paraId="4F6E4831" w14:textId="5A276D41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FB043C" w:rsidRPr="0096409F" w14:paraId="496FF031" w14:textId="77777777" w:rsidTr="00A16182">
        <w:tc>
          <w:tcPr>
            <w:tcW w:w="4675" w:type="dxa"/>
            <w:vAlign w:val="center"/>
          </w:tcPr>
          <w:p w14:paraId="746558E2" w14:textId="35972EBB" w:rsidR="00FB043C" w:rsidRPr="0096409F" w:rsidRDefault="00FB043C" w:rsidP="00A16182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№4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снижение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затрат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поддержки</w:t>
            </w:r>
            <w:proofErr w:type="spellEnd"/>
          </w:p>
        </w:tc>
        <w:tc>
          <w:tcPr>
            <w:tcW w:w="4675" w:type="dxa"/>
            <w:vAlign w:val="center"/>
          </w:tcPr>
          <w:p w14:paraId="6F0FBA6E" w14:textId="03E886CA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FB043C" w:rsidRPr="0096409F" w14:paraId="3C156B35" w14:textId="77777777" w:rsidTr="008262A9">
        <w:tc>
          <w:tcPr>
            <w:tcW w:w="4675" w:type="dxa"/>
            <w:vAlign w:val="center"/>
          </w:tcPr>
          <w:p w14:paraId="665E66BC" w14:textId="0A87B878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Итого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ΔP (100%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эффект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5" w:type="dxa"/>
            <w:vAlign w:val="center"/>
          </w:tcPr>
          <w:p w14:paraId="4E981975" w14:textId="13BC9935" w:rsidR="00FB043C" w:rsidRPr="0096409F" w:rsidRDefault="00FB043C" w:rsidP="008262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133</w:t>
            </w:r>
          </w:p>
        </w:tc>
      </w:tr>
    </w:tbl>
    <w:p w14:paraId="1F100F92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Эффект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реализуется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постепенно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:</w:t>
      </w:r>
    </w:p>
    <w:p w14:paraId="46320784" w14:textId="77777777" w:rsidR="00480CA7" w:rsidRPr="00480CA7" w:rsidRDefault="00480CA7" w:rsidP="00480CA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1: 40%</w:t>
      </w:r>
    </w:p>
    <w:p w14:paraId="085724A1" w14:textId="77777777" w:rsidR="00480CA7" w:rsidRPr="00480CA7" w:rsidRDefault="00480CA7" w:rsidP="00480CA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2: 80%</w:t>
      </w:r>
    </w:p>
    <w:p w14:paraId="2CD2812E" w14:textId="59450312" w:rsidR="00480CA7" w:rsidRPr="00480CA7" w:rsidRDefault="00480CA7" w:rsidP="00480CA7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3: 100%</w:t>
      </w:r>
    </w:p>
    <w:p w14:paraId="22B28D77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3.4. Денежные потоки проекта (</w:t>
      </w:r>
      <w:r w:rsidRPr="00480CA7">
        <w:rPr>
          <w:rFonts w:ascii="Times New Roman" w:hAnsi="Times New Roman" w:cs="Times New Roman"/>
          <w:sz w:val="28"/>
          <w:szCs w:val="28"/>
        </w:rPr>
        <w:t>Cash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</w:rPr>
        <w:t>Flow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6E9DA35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lastRenderedPageBreak/>
        <w:t>Сначала считаем дополнительную прибыль (</w:t>
      </w:r>
      <w:r w:rsidRPr="00480CA7">
        <w:rPr>
          <w:rFonts w:ascii="Times New Roman" w:hAnsi="Times New Roman" w:cs="Times New Roman"/>
          <w:sz w:val="28"/>
          <w:szCs w:val="28"/>
        </w:rPr>
        <w:t>Inflow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) по годам, затем вычитаем </w:t>
      </w:r>
      <w:r w:rsidRPr="00480CA7">
        <w:rPr>
          <w:rFonts w:ascii="Times New Roman" w:hAnsi="Times New Roman" w:cs="Times New Roman"/>
          <w:sz w:val="28"/>
          <w:szCs w:val="28"/>
        </w:rPr>
        <w:t>OPEX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4650423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Дополнительная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прибыль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годам</w:t>
      </w:r>
      <w:proofErr w:type="spellEnd"/>
    </w:p>
    <w:p w14:paraId="725C873B" w14:textId="77777777" w:rsidR="00480CA7" w:rsidRPr="00480CA7" w:rsidRDefault="00480CA7" w:rsidP="00480C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1: 133 × 40% = 53,2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</w:p>
    <w:p w14:paraId="62BCDE70" w14:textId="77777777" w:rsidR="00480CA7" w:rsidRPr="00480CA7" w:rsidRDefault="00480CA7" w:rsidP="00480C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2: 133 × 80% = 106,4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</w:p>
    <w:p w14:paraId="02AE6035" w14:textId="77777777" w:rsidR="00480CA7" w:rsidRPr="00480CA7" w:rsidRDefault="00480CA7" w:rsidP="00480CA7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Год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3: 133 × 100% = 133,0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</w:p>
    <w:p w14:paraId="76AD8BD8" w14:textId="77777777" w:rsidR="00480CA7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Таблица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CF / NCF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1460B" w:rsidRPr="0096409F" w14:paraId="380BFA7A" w14:textId="77777777" w:rsidTr="00B1460B">
        <w:tc>
          <w:tcPr>
            <w:tcW w:w="1870" w:type="dxa"/>
          </w:tcPr>
          <w:p w14:paraId="0264B747" w14:textId="4B803132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Период</w:t>
            </w:r>
            <w:proofErr w:type="spellEnd"/>
          </w:p>
        </w:tc>
        <w:tc>
          <w:tcPr>
            <w:tcW w:w="1870" w:type="dxa"/>
          </w:tcPr>
          <w:p w14:paraId="6CD7C05C" w14:textId="0FEC27C7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Инвестиции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(Outflow),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870" w:type="dxa"/>
          </w:tcPr>
          <w:p w14:paraId="2BFB7D26" w14:textId="71BEC43F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lang w:val="ru-RU"/>
              </w:rPr>
              <w:t>Доп. прибыль (</w:t>
            </w:r>
            <w:r w:rsidRPr="0096409F">
              <w:rPr>
                <w:rFonts w:ascii="Times New Roman" w:hAnsi="Times New Roman" w:cs="Times New Roman"/>
              </w:rPr>
              <w:t>Inflow</w:t>
            </w:r>
            <w:r w:rsidRPr="0096409F">
              <w:rPr>
                <w:rFonts w:ascii="Times New Roman" w:hAnsi="Times New Roman" w:cs="Times New Roman"/>
                <w:lang w:val="ru-RU"/>
              </w:rPr>
              <w:t>), млн руб.</w:t>
            </w:r>
          </w:p>
        </w:tc>
        <w:tc>
          <w:tcPr>
            <w:tcW w:w="1870" w:type="dxa"/>
          </w:tcPr>
          <w:p w14:paraId="69FCDF5D" w14:textId="3E7BA59D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lang w:val="ru-RU"/>
              </w:rPr>
              <w:t xml:space="preserve">Чистый поток </w:t>
            </w:r>
            <w:r w:rsidRPr="0096409F">
              <w:rPr>
                <w:rFonts w:ascii="Times New Roman" w:hAnsi="Times New Roman" w:cs="Times New Roman"/>
              </w:rPr>
              <w:t>NCF</w:t>
            </w:r>
            <w:r w:rsidRPr="0096409F">
              <w:rPr>
                <w:rFonts w:ascii="Times New Roman" w:hAnsi="Times New Roman" w:cs="Times New Roman"/>
                <w:lang w:val="ru-RU"/>
              </w:rPr>
              <w:t>, млн руб.</w:t>
            </w:r>
          </w:p>
        </w:tc>
        <w:tc>
          <w:tcPr>
            <w:tcW w:w="1870" w:type="dxa"/>
          </w:tcPr>
          <w:p w14:paraId="2511D458" w14:textId="288D5446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Накопленный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NCF, </w:t>
            </w:r>
            <w:proofErr w:type="spellStart"/>
            <w:r w:rsidRPr="0096409F">
              <w:rPr>
                <w:rFonts w:ascii="Times New Roman" w:hAnsi="Times New Roman" w:cs="Times New Roman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</w:rPr>
              <w:t>.</w:t>
            </w:r>
          </w:p>
        </w:tc>
      </w:tr>
      <w:tr w:rsidR="00B1460B" w:rsidRPr="0096409F" w14:paraId="6266BD64" w14:textId="77777777" w:rsidTr="00B1460B">
        <w:tc>
          <w:tcPr>
            <w:tcW w:w="1870" w:type="dxa"/>
          </w:tcPr>
          <w:p w14:paraId="3E94F13D" w14:textId="50E6CBE8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0</w:t>
            </w:r>
          </w:p>
        </w:tc>
        <w:tc>
          <w:tcPr>
            <w:tcW w:w="1870" w:type="dxa"/>
          </w:tcPr>
          <w:p w14:paraId="72F77F9B" w14:textId="41297240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-90</w:t>
            </w:r>
          </w:p>
        </w:tc>
        <w:tc>
          <w:tcPr>
            <w:tcW w:w="1870" w:type="dxa"/>
          </w:tcPr>
          <w:p w14:paraId="1BE76455" w14:textId="6E10DB76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70" w:type="dxa"/>
          </w:tcPr>
          <w:p w14:paraId="1700D0A5" w14:textId="17C03262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-90</w:t>
            </w:r>
          </w:p>
        </w:tc>
        <w:tc>
          <w:tcPr>
            <w:tcW w:w="1870" w:type="dxa"/>
          </w:tcPr>
          <w:p w14:paraId="15511386" w14:textId="43599E76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-90</w:t>
            </w:r>
          </w:p>
        </w:tc>
      </w:tr>
      <w:tr w:rsidR="00B1460B" w:rsidRPr="0096409F" w14:paraId="6F59407F" w14:textId="77777777" w:rsidTr="00B1460B">
        <w:tc>
          <w:tcPr>
            <w:tcW w:w="1870" w:type="dxa"/>
          </w:tcPr>
          <w:p w14:paraId="1A7C8AA2" w14:textId="6020EBEF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870" w:type="dxa"/>
          </w:tcPr>
          <w:p w14:paraId="36DF3282" w14:textId="6A080C35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-45</w:t>
            </w:r>
          </w:p>
        </w:tc>
        <w:tc>
          <w:tcPr>
            <w:tcW w:w="1870" w:type="dxa"/>
          </w:tcPr>
          <w:p w14:paraId="2BA16DE9" w14:textId="51C94C08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+53,2</w:t>
            </w:r>
          </w:p>
        </w:tc>
        <w:tc>
          <w:tcPr>
            <w:tcW w:w="1870" w:type="dxa"/>
          </w:tcPr>
          <w:p w14:paraId="6B023E76" w14:textId="3276B5A2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+8,2</w:t>
            </w:r>
          </w:p>
        </w:tc>
        <w:tc>
          <w:tcPr>
            <w:tcW w:w="1870" w:type="dxa"/>
          </w:tcPr>
          <w:p w14:paraId="50232542" w14:textId="0F22E2D1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-81,8</w:t>
            </w:r>
          </w:p>
        </w:tc>
      </w:tr>
      <w:tr w:rsidR="00B1460B" w:rsidRPr="0096409F" w14:paraId="648A3DD8" w14:textId="77777777" w:rsidTr="00B1460B">
        <w:tc>
          <w:tcPr>
            <w:tcW w:w="1870" w:type="dxa"/>
          </w:tcPr>
          <w:p w14:paraId="4E0C3B14" w14:textId="48643308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1870" w:type="dxa"/>
          </w:tcPr>
          <w:p w14:paraId="46433A51" w14:textId="4706A235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-45</w:t>
            </w:r>
          </w:p>
        </w:tc>
        <w:tc>
          <w:tcPr>
            <w:tcW w:w="1870" w:type="dxa"/>
          </w:tcPr>
          <w:p w14:paraId="1C211D47" w14:textId="64899F19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+106,4</w:t>
            </w:r>
          </w:p>
        </w:tc>
        <w:tc>
          <w:tcPr>
            <w:tcW w:w="1870" w:type="dxa"/>
          </w:tcPr>
          <w:p w14:paraId="3D6CFD31" w14:textId="0EA965BD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+61,4</w:t>
            </w:r>
          </w:p>
        </w:tc>
        <w:tc>
          <w:tcPr>
            <w:tcW w:w="1870" w:type="dxa"/>
          </w:tcPr>
          <w:p w14:paraId="193A16D2" w14:textId="13B0CD78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-20,4</w:t>
            </w:r>
          </w:p>
        </w:tc>
      </w:tr>
      <w:tr w:rsidR="00B1460B" w:rsidRPr="0096409F" w14:paraId="7BCD85C7" w14:textId="77777777" w:rsidTr="00B1460B">
        <w:tc>
          <w:tcPr>
            <w:tcW w:w="1870" w:type="dxa"/>
          </w:tcPr>
          <w:p w14:paraId="26737338" w14:textId="00C724DA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</w:rPr>
              <w:t>Год</w:t>
            </w:r>
            <w:proofErr w:type="spellEnd"/>
            <w:r w:rsidRPr="0096409F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1870" w:type="dxa"/>
          </w:tcPr>
          <w:p w14:paraId="3617E677" w14:textId="72DD71C5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-45</w:t>
            </w:r>
          </w:p>
        </w:tc>
        <w:tc>
          <w:tcPr>
            <w:tcW w:w="1870" w:type="dxa"/>
          </w:tcPr>
          <w:p w14:paraId="4DF122C5" w14:textId="346283B6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+133,0</w:t>
            </w:r>
          </w:p>
        </w:tc>
        <w:tc>
          <w:tcPr>
            <w:tcW w:w="1870" w:type="dxa"/>
          </w:tcPr>
          <w:p w14:paraId="36CFBA9B" w14:textId="4263A6C6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+88,0</w:t>
            </w:r>
          </w:p>
        </w:tc>
        <w:tc>
          <w:tcPr>
            <w:tcW w:w="1870" w:type="dxa"/>
          </w:tcPr>
          <w:p w14:paraId="5A369A62" w14:textId="0401C29D" w:rsidR="00B1460B" w:rsidRPr="0096409F" w:rsidRDefault="00B1460B" w:rsidP="00B1460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</w:rPr>
              <w:t>+67,6</w:t>
            </w:r>
          </w:p>
        </w:tc>
      </w:tr>
    </w:tbl>
    <w:p w14:paraId="40EECD08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3.5. Ключевые показатели эффективности (</w:t>
      </w:r>
      <w:r w:rsidRPr="00480CA7">
        <w:rPr>
          <w:rFonts w:ascii="Times New Roman" w:hAnsi="Times New Roman" w:cs="Times New Roman"/>
          <w:sz w:val="28"/>
          <w:szCs w:val="28"/>
        </w:rPr>
        <w:t>PP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0CA7">
        <w:rPr>
          <w:rFonts w:ascii="Times New Roman" w:hAnsi="Times New Roman" w:cs="Times New Roman"/>
          <w:sz w:val="28"/>
          <w:szCs w:val="28"/>
        </w:rPr>
        <w:t>ROI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0CA7">
        <w:rPr>
          <w:rFonts w:ascii="Times New Roman" w:hAnsi="Times New Roman" w:cs="Times New Roman"/>
          <w:sz w:val="28"/>
          <w:szCs w:val="28"/>
        </w:rPr>
        <w:t>NPV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0CA7">
        <w:rPr>
          <w:rFonts w:ascii="Times New Roman" w:hAnsi="Times New Roman" w:cs="Times New Roman"/>
          <w:sz w:val="28"/>
          <w:szCs w:val="28"/>
        </w:rPr>
        <w:t>IRR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43C8CF1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1) Срок окупаемости (</w:t>
      </w:r>
      <w:r w:rsidRPr="00480CA7">
        <w:rPr>
          <w:rFonts w:ascii="Times New Roman" w:hAnsi="Times New Roman" w:cs="Times New Roman"/>
          <w:sz w:val="28"/>
          <w:szCs w:val="28"/>
        </w:rPr>
        <w:t>Payback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</w:rPr>
        <w:t>Period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480CA7">
        <w:rPr>
          <w:rFonts w:ascii="Times New Roman" w:hAnsi="Times New Roman" w:cs="Times New Roman"/>
          <w:sz w:val="28"/>
          <w:szCs w:val="28"/>
        </w:rPr>
        <w:t>PP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502FFF9" w14:textId="77777777" w:rsidR="005E64B9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Окупаемость наступает в Год 3, потому что после Года 2 накопленный </w:t>
      </w:r>
      <w:r w:rsidRPr="00480CA7">
        <w:rPr>
          <w:rFonts w:ascii="Times New Roman" w:hAnsi="Times New Roman" w:cs="Times New Roman"/>
          <w:sz w:val="28"/>
          <w:szCs w:val="28"/>
        </w:rPr>
        <w:t>NCF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= -20,4 млн.</w:t>
      </w:r>
    </w:p>
    <w:p w14:paraId="7DB8B7B3" w14:textId="77777777" w:rsidR="005E64B9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В Год 3 годовой </w:t>
      </w:r>
      <w:r w:rsidRPr="00480CA7">
        <w:rPr>
          <w:rFonts w:ascii="Times New Roman" w:hAnsi="Times New Roman" w:cs="Times New Roman"/>
          <w:sz w:val="28"/>
          <w:szCs w:val="28"/>
        </w:rPr>
        <w:t>NCF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= +88,0 млн, значит:</w:t>
      </w:r>
    </w:p>
    <w:p w14:paraId="40E423CC" w14:textId="2DFFA702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>PP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≈ 2 года + (20,4 / 88,0) года</w:t>
      </w:r>
      <w:r w:rsidR="005E64B9" w:rsidRPr="0096409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= 2 + 0,232 ≈ 2,23 года (примерно 2 года 3 месяца)</w:t>
      </w:r>
    </w:p>
    <w:p w14:paraId="0B3E1C0F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2) </w:t>
      </w:r>
      <w:r w:rsidRPr="00480CA7">
        <w:rPr>
          <w:rFonts w:ascii="Times New Roman" w:hAnsi="Times New Roman" w:cs="Times New Roman"/>
          <w:sz w:val="28"/>
          <w:szCs w:val="28"/>
        </w:rPr>
        <w:t>ROI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за 3 года</w:t>
      </w:r>
    </w:p>
    <w:p w14:paraId="6F454901" w14:textId="77777777" w:rsidR="004E03D2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Суммарный </w:t>
      </w:r>
      <w:r w:rsidRPr="00480CA7">
        <w:rPr>
          <w:rFonts w:ascii="Times New Roman" w:hAnsi="Times New Roman" w:cs="Times New Roman"/>
          <w:sz w:val="28"/>
          <w:szCs w:val="28"/>
        </w:rPr>
        <w:t>Inflow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за 3 года = 53,2 + 106,4 + 133,0 = 292,6 млн</w:t>
      </w:r>
    </w:p>
    <w:p w14:paraId="5F9D2EF1" w14:textId="31B7B270" w:rsidR="004E03D2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Суммарные инвестиции = 225 млн</w:t>
      </w:r>
    </w:p>
    <w:p w14:paraId="1C8DEFB2" w14:textId="5988DD15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</w:rPr>
        <w:t>ROI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= (292,6 − 225) / 225 × 100%</w:t>
      </w:r>
      <w:r w:rsidR="004E03D2" w:rsidRPr="0096409F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>= 67,6 / 225 × 100% ≈ 30,0% (за 3 года)</w:t>
      </w:r>
    </w:p>
    <w:p w14:paraId="0C313624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3) </w:t>
      </w:r>
      <w:r w:rsidRPr="00480CA7">
        <w:rPr>
          <w:rFonts w:ascii="Times New Roman" w:hAnsi="Times New Roman" w:cs="Times New Roman"/>
          <w:sz w:val="28"/>
          <w:szCs w:val="28"/>
        </w:rPr>
        <w:t>NPV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480CA7">
        <w:rPr>
          <w:rFonts w:ascii="Times New Roman" w:hAnsi="Times New Roman" w:cs="Times New Roman"/>
          <w:sz w:val="28"/>
          <w:szCs w:val="28"/>
        </w:rPr>
        <w:t>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= 20%)</w:t>
      </w:r>
    </w:p>
    <w:p w14:paraId="56F6B893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Берём ставку дисконтирования 20% (консервативно, с учётом рисков).</w:t>
      </w:r>
    </w:p>
    <w:p w14:paraId="5213D3C4" w14:textId="77777777" w:rsidR="00480CA7" w:rsidRPr="00480CA7" w:rsidRDefault="00480CA7" w:rsidP="00480C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t>CF0 = −90</w:t>
      </w:r>
    </w:p>
    <w:p w14:paraId="5DAFE36A" w14:textId="77777777" w:rsidR="00480CA7" w:rsidRPr="00480CA7" w:rsidRDefault="00480CA7" w:rsidP="00480C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t>CF1 = +8,2 / 1,2 = 6,83</w:t>
      </w:r>
    </w:p>
    <w:p w14:paraId="3FB431D9" w14:textId="77777777" w:rsidR="00480CA7" w:rsidRPr="00480CA7" w:rsidRDefault="00480CA7" w:rsidP="00480C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lastRenderedPageBreak/>
        <w:t>CF2 = +61,4 / 1,2² (1,44) = 42,64</w:t>
      </w:r>
    </w:p>
    <w:p w14:paraId="7EE93196" w14:textId="77777777" w:rsidR="00480CA7" w:rsidRPr="00480CA7" w:rsidRDefault="00480CA7" w:rsidP="00480CA7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t>CF3 = +88,0 / 1,2³ (1,728) = 50,93</w:t>
      </w:r>
    </w:p>
    <w:p w14:paraId="53204CF0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</w:rPr>
      </w:pPr>
      <w:r w:rsidRPr="00480CA7">
        <w:rPr>
          <w:rFonts w:ascii="Times New Roman" w:hAnsi="Times New Roman" w:cs="Times New Roman"/>
          <w:sz w:val="28"/>
          <w:szCs w:val="28"/>
        </w:rPr>
        <w:t xml:space="preserve">NPV = −90 + 6,83 + 42,64 + 50,93 = +10,40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млн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80CA7">
        <w:rPr>
          <w:rFonts w:ascii="Times New Roman" w:hAnsi="Times New Roman" w:cs="Times New Roman"/>
          <w:sz w:val="28"/>
          <w:szCs w:val="28"/>
        </w:rPr>
        <w:t>.</w:t>
      </w:r>
    </w:p>
    <w:p w14:paraId="0E2D15DA" w14:textId="5CBDCB0A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</w:rPr>
        <w:t>NPV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&gt; 0 → проект экономически целесообразен даже с учётом стоимости денег во времени.</w:t>
      </w:r>
    </w:p>
    <w:p w14:paraId="72AC0A29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4) </w:t>
      </w:r>
      <w:r w:rsidRPr="00480CA7">
        <w:rPr>
          <w:rFonts w:ascii="Times New Roman" w:hAnsi="Times New Roman" w:cs="Times New Roman"/>
          <w:sz w:val="28"/>
          <w:szCs w:val="28"/>
        </w:rPr>
        <w:t>IRR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(оценочно)</w:t>
      </w:r>
    </w:p>
    <w:p w14:paraId="46782FC3" w14:textId="36C3196D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Так как при </w:t>
      </w:r>
      <w:r w:rsidRPr="00480CA7">
        <w:rPr>
          <w:rFonts w:ascii="Times New Roman" w:hAnsi="Times New Roman" w:cs="Times New Roman"/>
          <w:sz w:val="28"/>
          <w:szCs w:val="28"/>
        </w:rPr>
        <w:t>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= 20% </w:t>
      </w:r>
      <w:r w:rsidRPr="00480CA7">
        <w:rPr>
          <w:rFonts w:ascii="Times New Roman" w:hAnsi="Times New Roman" w:cs="Times New Roman"/>
          <w:sz w:val="28"/>
          <w:szCs w:val="28"/>
        </w:rPr>
        <w:t>NPV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положительная, внутренняя норма доходности выше 20%.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br/>
        <w:t xml:space="preserve">По характеру потоков </w:t>
      </w:r>
      <w:r w:rsidRPr="00480CA7">
        <w:rPr>
          <w:rFonts w:ascii="Times New Roman" w:hAnsi="Times New Roman" w:cs="Times New Roman"/>
          <w:sz w:val="28"/>
          <w:szCs w:val="28"/>
        </w:rPr>
        <w:t>IRR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ориентировочно ~ 26–28% (достаточно указать диапазон, </w:t>
      </w:r>
      <w:proofErr w:type="gramStart"/>
      <w:r w:rsidRPr="00480CA7">
        <w:rPr>
          <w:rFonts w:ascii="Times New Roman" w:hAnsi="Times New Roman" w:cs="Times New Roman"/>
          <w:sz w:val="28"/>
          <w:szCs w:val="28"/>
          <w:lang w:val="ru-RU"/>
        </w:rPr>
        <w:t>т.к.</w:t>
      </w:r>
      <w:proofErr w:type="gramEnd"/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точный расчёт требует итераций).</w:t>
      </w:r>
    </w:p>
    <w:p w14:paraId="0BCD3617" w14:textId="77777777" w:rsidR="00480CA7" w:rsidRPr="0096409F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3.6. Итоговая таблица экономической эффективности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47D33" w:rsidRPr="0096409F" w14:paraId="611E1435" w14:textId="77777777" w:rsidTr="00147D33">
        <w:tc>
          <w:tcPr>
            <w:tcW w:w="3116" w:type="dxa"/>
          </w:tcPr>
          <w:p w14:paraId="378F2A7B" w14:textId="0CCF5D8E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Показатель</w:t>
            </w:r>
            <w:proofErr w:type="spellEnd"/>
          </w:p>
        </w:tc>
        <w:tc>
          <w:tcPr>
            <w:tcW w:w="3117" w:type="dxa"/>
          </w:tcPr>
          <w:p w14:paraId="0A5D8655" w14:textId="0A44C185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3117" w:type="dxa"/>
          </w:tcPr>
          <w:p w14:paraId="40F70F98" w14:textId="0AC0AFE3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  <w:proofErr w:type="spellEnd"/>
          </w:p>
        </w:tc>
      </w:tr>
      <w:tr w:rsidR="00147D33" w:rsidRPr="0096409F" w14:paraId="029666B0" w14:textId="77777777" w:rsidTr="00147D33">
        <w:tc>
          <w:tcPr>
            <w:tcW w:w="3116" w:type="dxa"/>
          </w:tcPr>
          <w:p w14:paraId="59FA14DC" w14:textId="1D283D28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Суммарные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инвестиции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69FF336E" w14:textId="2BBEE905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225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7E64F84C" w14:textId="55FE3537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Реалистичный бюджет для цифровой платформы студии</w:t>
            </w:r>
          </w:p>
        </w:tc>
      </w:tr>
      <w:tr w:rsidR="00147D33" w:rsidRPr="0096409F" w14:paraId="64919E1A" w14:textId="77777777" w:rsidTr="00147D33">
        <w:tc>
          <w:tcPr>
            <w:tcW w:w="3116" w:type="dxa"/>
          </w:tcPr>
          <w:p w14:paraId="5EEE10C7" w14:textId="144C5500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Суммарная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доп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прибыль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(3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6E068DE4" w14:textId="4F65A88E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292,6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0C7E4E61" w14:textId="0A003B56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Эффект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превышает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инвестиции</w:t>
            </w:r>
            <w:proofErr w:type="spellEnd"/>
          </w:p>
        </w:tc>
      </w:tr>
      <w:tr w:rsidR="00147D33" w:rsidRPr="0096409F" w14:paraId="17149731" w14:textId="77777777" w:rsidTr="00147D33">
        <w:tc>
          <w:tcPr>
            <w:tcW w:w="3116" w:type="dxa"/>
          </w:tcPr>
          <w:p w14:paraId="416B347F" w14:textId="45F10D5C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Срок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окупаемости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(PP)</w:t>
            </w:r>
          </w:p>
        </w:tc>
        <w:tc>
          <w:tcPr>
            <w:tcW w:w="3117" w:type="dxa"/>
          </w:tcPr>
          <w:p w14:paraId="48C9B8F0" w14:textId="4B9A6853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~2,23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  <w:proofErr w:type="spellEnd"/>
          </w:p>
        </w:tc>
        <w:tc>
          <w:tcPr>
            <w:tcW w:w="3117" w:type="dxa"/>
          </w:tcPr>
          <w:p w14:paraId="7DC8AFFE" w14:textId="7DA11330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Окупаемость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в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приемлемые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сроки</w:t>
            </w:r>
            <w:proofErr w:type="spellEnd"/>
          </w:p>
        </w:tc>
      </w:tr>
      <w:tr w:rsidR="00147D33" w:rsidRPr="0096409F" w14:paraId="267632FD" w14:textId="77777777" w:rsidTr="00147D33">
        <w:tc>
          <w:tcPr>
            <w:tcW w:w="3116" w:type="dxa"/>
          </w:tcPr>
          <w:p w14:paraId="0BF8E648" w14:textId="276A0CE1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ROI (3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года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7" w:type="dxa"/>
          </w:tcPr>
          <w:p w14:paraId="66A70376" w14:textId="2A7CD1B5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~30%</w:t>
            </w:r>
          </w:p>
        </w:tc>
        <w:tc>
          <w:tcPr>
            <w:tcW w:w="3117" w:type="dxa"/>
          </w:tcPr>
          <w:p w14:paraId="303CC59F" w14:textId="1185C88D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Умеренно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доходность</w:t>
            </w:r>
            <w:proofErr w:type="spellEnd"/>
          </w:p>
        </w:tc>
      </w:tr>
      <w:tr w:rsidR="00147D33" w:rsidRPr="0096409F" w14:paraId="26EAFA3B" w14:textId="77777777" w:rsidTr="00147D33">
        <w:tc>
          <w:tcPr>
            <w:tcW w:w="3116" w:type="dxa"/>
          </w:tcPr>
          <w:p w14:paraId="1F8EDFAA" w14:textId="546B7AC0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NPV (r=20%)</w:t>
            </w:r>
          </w:p>
        </w:tc>
        <w:tc>
          <w:tcPr>
            <w:tcW w:w="3117" w:type="dxa"/>
          </w:tcPr>
          <w:p w14:paraId="472748BC" w14:textId="3A50F410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+10,4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млн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7" w:type="dxa"/>
          </w:tcPr>
          <w:p w14:paraId="491E352E" w14:textId="4EAFDB42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Проект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создаёт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положительную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стоимость</w:t>
            </w:r>
            <w:proofErr w:type="spellEnd"/>
          </w:p>
        </w:tc>
      </w:tr>
      <w:tr w:rsidR="00147D33" w:rsidRPr="0096409F" w14:paraId="0C84F09E" w14:textId="77777777" w:rsidTr="00147D33">
        <w:tc>
          <w:tcPr>
            <w:tcW w:w="3116" w:type="dxa"/>
          </w:tcPr>
          <w:p w14:paraId="1F8E7F14" w14:textId="4B7B5DD3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IRR</w:t>
            </w:r>
          </w:p>
        </w:tc>
        <w:tc>
          <w:tcPr>
            <w:tcW w:w="3117" w:type="dxa"/>
          </w:tcPr>
          <w:p w14:paraId="38ADED58" w14:textId="56CB423D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~26–28%</w:t>
            </w:r>
          </w:p>
        </w:tc>
        <w:tc>
          <w:tcPr>
            <w:tcW w:w="3117" w:type="dxa"/>
          </w:tcPr>
          <w:p w14:paraId="037722F6" w14:textId="4EB90F27" w:rsidR="00147D33" w:rsidRPr="0096409F" w:rsidRDefault="00147D33" w:rsidP="00147D33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Привлекательнее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>ставки</w:t>
            </w:r>
            <w:proofErr w:type="spellEnd"/>
            <w:r w:rsidRPr="0096409F">
              <w:rPr>
                <w:rFonts w:ascii="Times New Roman" w:hAnsi="Times New Roman" w:cs="Times New Roman"/>
                <w:sz w:val="28"/>
                <w:szCs w:val="28"/>
              </w:rPr>
              <w:t xml:space="preserve"> 20%</w:t>
            </w:r>
          </w:p>
        </w:tc>
      </w:tr>
    </w:tbl>
    <w:p w14:paraId="1D4B4407" w14:textId="77777777" w:rsidR="00480CA7" w:rsidRPr="00480CA7" w:rsidRDefault="00480CA7" w:rsidP="00480CA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>Вывод по расчётам</w:t>
      </w:r>
    </w:p>
    <w:p w14:paraId="43D1DE61" w14:textId="3896C481" w:rsidR="00480CA7" w:rsidRPr="0096409F" w:rsidRDefault="00480CA7" w:rsidP="00200818">
      <w:pPr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консервативные допущения и поэтапный выход на эффект, расчёт показывает, что внедрение собственной цифровой платформы для </w:t>
      </w:r>
      <w:proofErr w:type="spellStart"/>
      <w:r w:rsidRPr="00480CA7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 является экономически целесообразным. Основные драйверы эффекта — рост прибыли от </w:t>
      </w:r>
      <w:r w:rsidRPr="00480CA7">
        <w:rPr>
          <w:rFonts w:ascii="Times New Roman" w:hAnsi="Times New Roman" w:cs="Times New Roman"/>
          <w:sz w:val="28"/>
          <w:szCs w:val="28"/>
        </w:rPr>
        <w:t>DLC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t xml:space="preserve">/контента, повышение удержания аудитории и повышение эффективности маркетинга. При управлении рисками и поэтапном внедрении </w:t>
      </w:r>
      <w:r w:rsidRPr="00480CA7">
        <w:rPr>
          <w:rFonts w:ascii="Times New Roman" w:hAnsi="Times New Roman" w:cs="Times New Roman"/>
          <w:sz w:val="28"/>
          <w:szCs w:val="28"/>
          <w:lang w:val="ru-RU"/>
        </w:rPr>
        <w:lastRenderedPageBreak/>
        <w:t>проект способен окупиться примерно за 2–2,5 года и сформировать положительную чистую приведённую стоимость.</w:t>
      </w:r>
    </w:p>
    <w:p w14:paraId="1610DA79" w14:textId="77777777" w:rsidR="00A1344F" w:rsidRPr="00A1344F" w:rsidRDefault="00A1344F" w:rsidP="00A1344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b/>
          <w:bCs/>
          <w:sz w:val="28"/>
          <w:szCs w:val="28"/>
          <w:lang w:val="ru-RU"/>
        </w:rPr>
        <w:t>4. Особенности работы компании в регионах России</w:t>
      </w:r>
    </w:p>
    <w:p w14:paraId="1F9A01AA" w14:textId="77777777" w:rsidR="00A1344F" w:rsidRPr="00A1344F" w:rsidRDefault="00A1344F" w:rsidP="00A134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sz w:val="28"/>
          <w:szCs w:val="28"/>
          <w:lang w:val="ru-RU"/>
        </w:rPr>
        <w:t>Работа компании на территории Российской Федерации требует учёта региональных особенностей, связанных с социально-экономическими условиями, уровнем цифровизации и потребительскими предпочтениями. Для игровой индустрии данные факторы оказывают значительное влияние на спрос, способы дистрибуции цифровых продуктов и модели монетизации.</w:t>
      </w:r>
    </w:p>
    <w:p w14:paraId="723EA8F4" w14:textId="77777777" w:rsidR="00A1344F" w:rsidRPr="00A1344F" w:rsidRDefault="00A1344F" w:rsidP="00A134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sz w:val="28"/>
          <w:szCs w:val="28"/>
          <w:lang w:val="ru-RU"/>
        </w:rPr>
        <w:t xml:space="preserve">Одной из ключевых особенностей регионального рынка является различие в уровне доходов населения. В крупных городах и экономически развитых регионах наблюдается более высокая платёжеспособность и готовность потребителей к приобретению дополнительного цифрового контента, включая </w:t>
      </w:r>
      <w:r w:rsidRPr="00A1344F">
        <w:rPr>
          <w:rFonts w:ascii="Times New Roman" w:hAnsi="Times New Roman" w:cs="Times New Roman"/>
          <w:sz w:val="28"/>
          <w:szCs w:val="28"/>
        </w:rPr>
        <w:t>DLC</w:t>
      </w:r>
      <w:r w:rsidRPr="00A1344F">
        <w:rPr>
          <w:rFonts w:ascii="Times New Roman" w:hAnsi="Times New Roman" w:cs="Times New Roman"/>
          <w:sz w:val="28"/>
          <w:szCs w:val="28"/>
          <w:lang w:val="ru-RU"/>
        </w:rPr>
        <w:t xml:space="preserve"> и внутриигровые продукты. В то же время в регионах с более низким уровнем доходов спрос смещается в сторону базового продукта и ограниченных по цене предложений.</w:t>
      </w:r>
    </w:p>
    <w:p w14:paraId="68E47C71" w14:textId="77777777" w:rsidR="00A1344F" w:rsidRPr="00A1344F" w:rsidRDefault="00A1344F" w:rsidP="00A134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sz w:val="28"/>
          <w:szCs w:val="28"/>
          <w:lang w:val="ru-RU"/>
        </w:rPr>
        <w:t>Важным фактором является уровень развития цифровой инфраструктуры и доступ к высокоскоростному интернету. Несмотря на общее повышение уровня цифровизации в стране, качество интернет-соединения и технические возможности пользователей могут существенно различаться. Это требует адаптации цифровых решений с точки зрения объёма передаваемых данных, стабильности онлайн-сервисов и оптимизации пользовательского интерфейса.</w:t>
      </w:r>
    </w:p>
    <w:p w14:paraId="2086F928" w14:textId="77777777" w:rsidR="00A1344F" w:rsidRPr="00A1344F" w:rsidRDefault="00A1344F" w:rsidP="00A134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sz w:val="28"/>
          <w:szCs w:val="28"/>
          <w:lang w:val="ru-RU"/>
        </w:rPr>
        <w:t>Региональные особенности также проявляются в предпочтениях игровых платформ и устройств. В ряде регионов сохраняется высокая доля пользователей со средними или устаревшими техническими характеристиками оборудования, что делает актуальной оптимизацию цифрового контента и сервисов под различные конфигурации. Использование собственной цифровой платформы позволяет компании гибко адаптировать контент и сервисы с учётом технических ограничений пользователей.</w:t>
      </w:r>
    </w:p>
    <w:p w14:paraId="751141E7" w14:textId="77777777" w:rsidR="00A1344F" w:rsidRPr="00A1344F" w:rsidRDefault="00A1344F" w:rsidP="00A1344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1344F">
        <w:rPr>
          <w:rFonts w:ascii="Times New Roman" w:hAnsi="Times New Roman" w:cs="Times New Roman"/>
          <w:sz w:val="28"/>
          <w:szCs w:val="28"/>
          <w:lang w:val="ru-RU"/>
        </w:rPr>
        <w:t xml:space="preserve">Для студии </w:t>
      </w:r>
      <w:proofErr w:type="spellStart"/>
      <w:r w:rsidRPr="00A1344F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A1344F">
        <w:rPr>
          <w:rFonts w:ascii="Times New Roman" w:hAnsi="Times New Roman" w:cs="Times New Roman"/>
          <w:sz w:val="28"/>
          <w:szCs w:val="28"/>
          <w:lang w:val="ru-RU"/>
        </w:rPr>
        <w:t xml:space="preserve"> внедрение ИТ-проекта в виде собственной цифровой платформы создаёт возможности для дифференцированного подхода к работе в регионах России. Платформа может использоваться для адаптации ценовой политики, проведения региональных цифровых мероприятий и анализа </w:t>
      </w:r>
      <w:r w:rsidRPr="00A1344F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пользовательского поведения с учётом территориальных особенностей. Это способствует более эффективному взаимодействию с аудиторией, расширению географии присутствия и повышению устойчивости бизнес-модели компании.</w:t>
      </w:r>
    </w:p>
    <w:p w14:paraId="4C53C0DD" w14:textId="77777777" w:rsidR="009E2A1A" w:rsidRPr="009E2A1A" w:rsidRDefault="009E2A1A" w:rsidP="009E2A1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b/>
          <w:bCs/>
          <w:sz w:val="28"/>
          <w:szCs w:val="28"/>
          <w:lang w:val="ru-RU"/>
        </w:rPr>
        <w:t>5. Анализ рыночной ниши и уникального торгового предложения</w:t>
      </w:r>
    </w:p>
    <w:p w14:paraId="441AC7A2" w14:textId="77777777" w:rsidR="009E2A1A" w:rsidRPr="009E2A1A" w:rsidRDefault="009E2A1A" w:rsidP="009E2A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sz w:val="28"/>
          <w:szCs w:val="28"/>
          <w:lang w:val="ru-RU"/>
        </w:rPr>
        <w:t>Анализ рыночной ниши является важным элементом обоснования ИТ-проекта, поскольку позволяет определить целевую аудиторию, её специфические потребности и потенциальные возможности роста. В отличие от общего анализа рынка, анализ ниши фокусируется на ограниченном сегменте потребителей, для которого разрабатывается специализированное предложение.</w:t>
      </w:r>
    </w:p>
    <w:p w14:paraId="52697A87" w14:textId="77777777" w:rsidR="009E2A1A" w:rsidRPr="009E2A1A" w:rsidRDefault="009E2A1A" w:rsidP="009E2A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Рыночная ниша студии </w:t>
      </w:r>
      <w:proofErr w:type="spellStart"/>
      <w:r w:rsidRPr="009E2A1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 формируется в сегменте игроков, ориентированных на сюжетно-ориентированные игры класса </w:t>
      </w:r>
      <w:r w:rsidRPr="009E2A1A">
        <w:rPr>
          <w:rFonts w:ascii="Times New Roman" w:hAnsi="Times New Roman" w:cs="Times New Roman"/>
          <w:sz w:val="28"/>
          <w:szCs w:val="28"/>
        </w:rPr>
        <w:t>AAA</w:t>
      </w:r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 с выраженной художественной концепцией и уникальным визуальным стилем. Данный сегмент характеризуется высокой вовлечённостью аудитории, интересом к игровому миру, нарративу и дополнительному контенту, а также готовностью к долгосрочному взаимодействию с продуктом.</w:t>
      </w:r>
    </w:p>
    <w:p w14:paraId="338E5D5E" w14:textId="77777777" w:rsidR="009E2A1A" w:rsidRPr="009E2A1A" w:rsidRDefault="009E2A1A" w:rsidP="009E2A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Ключевой особенностью выбранной ниши является повышенное внимание игроков к качеству контента и глубине игрового опыта. Для данной аудитории важны не только технические характеристики игры, но и целостность вселенной, оригинальность сеттинга и возможность дальнейшего развития игрового мира. Это создаёт предпосылки для расширения жизненного цикла продукта за счёт выпуска </w:t>
      </w:r>
      <w:r w:rsidRPr="009E2A1A">
        <w:rPr>
          <w:rFonts w:ascii="Times New Roman" w:hAnsi="Times New Roman" w:cs="Times New Roman"/>
          <w:sz w:val="28"/>
          <w:szCs w:val="28"/>
        </w:rPr>
        <w:t>DLC</w:t>
      </w:r>
      <w:r w:rsidRPr="009E2A1A">
        <w:rPr>
          <w:rFonts w:ascii="Times New Roman" w:hAnsi="Times New Roman" w:cs="Times New Roman"/>
          <w:sz w:val="28"/>
          <w:szCs w:val="28"/>
          <w:lang w:val="ru-RU"/>
        </w:rPr>
        <w:t>, специальных событий и дополнительных цифровых материалов.</w:t>
      </w:r>
    </w:p>
    <w:p w14:paraId="77A0AE32" w14:textId="77777777" w:rsidR="009E2A1A" w:rsidRPr="009E2A1A" w:rsidRDefault="009E2A1A" w:rsidP="009E2A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Уникальное торговое предложение студии </w:t>
      </w:r>
      <w:proofErr w:type="spellStart"/>
      <w:r w:rsidRPr="009E2A1A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 основано на сочетании оригинального художественного стиля, узнаваемого сеттинга и авторского подхода к созданию игрового контента. Использование собственной цифровой платформы в рамках ИТ-проекта усиливает данное УТП, поскольку позволяет сформировать единое пространство для взаимодействия с аудиторией, распространения дополнительного контента и персонализации пользовательского опыта.</w:t>
      </w:r>
    </w:p>
    <w:p w14:paraId="6A47A634" w14:textId="77777777" w:rsidR="009E2A1A" w:rsidRPr="009E2A1A" w:rsidRDefault="009E2A1A" w:rsidP="009E2A1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A1A">
        <w:rPr>
          <w:rFonts w:ascii="Times New Roman" w:hAnsi="Times New Roman" w:cs="Times New Roman"/>
          <w:sz w:val="28"/>
          <w:szCs w:val="28"/>
          <w:lang w:val="ru-RU"/>
        </w:rPr>
        <w:t xml:space="preserve">Реализация ИТ-проекта в выбранной рыночной нише обеспечивает компании ряд конкурентных преимуществ. Во-первых, фокус на узком сегменте снижает </w:t>
      </w:r>
      <w:r w:rsidRPr="009E2A1A">
        <w:rPr>
          <w:rFonts w:ascii="Times New Roman" w:hAnsi="Times New Roman" w:cs="Times New Roman"/>
          <w:sz w:val="28"/>
          <w:szCs w:val="28"/>
          <w:lang w:val="ru-RU"/>
        </w:rPr>
        <w:lastRenderedPageBreak/>
        <w:t>уровень прямой конкуренции с массовыми игровыми продуктами. Во-вторых, ориентация на лояльную аудиторию повышает потенциал повторных продаж и устойчивость доходов. В-третьих, развитие цифровой экосистемы способствует формированию долгосрочных отношений с игроками и укреплению бренда студии.</w:t>
      </w:r>
    </w:p>
    <w:p w14:paraId="24198C55" w14:textId="77777777" w:rsidR="00C85692" w:rsidRPr="00C85692" w:rsidRDefault="00C85692" w:rsidP="00C8569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85692">
        <w:rPr>
          <w:rFonts w:ascii="Times New Roman" w:hAnsi="Times New Roman" w:cs="Times New Roman"/>
          <w:b/>
          <w:bCs/>
          <w:sz w:val="28"/>
          <w:szCs w:val="28"/>
          <w:lang w:val="ru-RU"/>
        </w:rPr>
        <w:t>6. Маркетинговые приёмы для узкого сегмента</w:t>
      </w:r>
    </w:p>
    <w:p w14:paraId="03295F64" w14:textId="77777777" w:rsidR="00C85692" w:rsidRPr="00C85692" w:rsidRDefault="00C85692" w:rsidP="00C856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692">
        <w:rPr>
          <w:rFonts w:ascii="Times New Roman" w:hAnsi="Times New Roman" w:cs="Times New Roman"/>
          <w:sz w:val="28"/>
          <w:szCs w:val="28"/>
          <w:lang w:val="ru-RU"/>
        </w:rPr>
        <w:t>Маркетинговые приёмы для узкого сегмента рынка отличаются высокой степенью адресности и ориентацией на специфические потребности целевой аудитории. В отличие от массового маркетинга, в данном случае основное внимание уделяется формированию устойчивого взаимодействия с лояльным сообществом игроков и созданию долгосрочной ценности продукта.</w:t>
      </w:r>
    </w:p>
    <w:p w14:paraId="653D2FE1" w14:textId="77777777" w:rsidR="00C85692" w:rsidRPr="00C85692" w:rsidRDefault="00C85692" w:rsidP="00C856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692">
        <w:rPr>
          <w:rFonts w:ascii="Times New Roman" w:hAnsi="Times New Roman" w:cs="Times New Roman"/>
          <w:sz w:val="28"/>
          <w:szCs w:val="28"/>
          <w:lang w:val="ru-RU"/>
        </w:rPr>
        <w:t xml:space="preserve">Для студии </w:t>
      </w:r>
      <w:proofErr w:type="spellStart"/>
      <w:r w:rsidRPr="00C85692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C85692">
        <w:rPr>
          <w:rFonts w:ascii="Times New Roman" w:hAnsi="Times New Roman" w:cs="Times New Roman"/>
          <w:sz w:val="28"/>
          <w:szCs w:val="28"/>
          <w:lang w:val="ru-RU"/>
        </w:rPr>
        <w:t xml:space="preserve"> ключевым инструментом маркетинга в рамках ИТ-проекта является развитие цифрового сообщества вокруг игрового продукта. Собственная цифровая платформа позволяет организовать централизованное взаимодействие с аудиторией, включая информирование о выходе дополнительного контента, проведение онлайн-событий и сбор обратной связи от игроков. Такой подход способствует повышению вовлечённости и укреплению эмоциональной связи пользователей с брендом.</w:t>
      </w:r>
    </w:p>
    <w:p w14:paraId="7762BF8D" w14:textId="77777777" w:rsidR="00C85692" w:rsidRPr="00C85692" w:rsidRDefault="00C85692" w:rsidP="00C856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692">
        <w:rPr>
          <w:rFonts w:ascii="Times New Roman" w:hAnsi="Times New Roman" w:cs="Times New Roman"/>
          <w:sz w:val="28"/>
          <w:szCs w:val="28"/>
          <w:lang w:val="ru-RU"/>
        </w:rPr>
        <w:t xml:space="preserve">Важным маркетинговым приёмом является персонализация контента и коммуникаций. Использование аналитических инструментов платформы позволяет учитывать поведение игроков, их предпочтения и уровень активности, что создаёт возможность для формирования персонализированных предложений, включая рекомендации </w:t>
      </w:r>
      <w:r w:rsidRPr="00C85692">
        <w:rPr>
          <w:rFonts w:ascii="Times New Roman" w:hAnsi="Times New Roman" w:cs="Times New Roman"/>
          <w:sz w:val="28"/>
          <w:szCs w:val="28"/>
        </w:rPr>
        <w:t>DLC</w:t>
      </w:r>
      <w:r w:rsidRPr="00C85692">
        <w:rPr>
          <w:rFonts w:ascii="Times New Roman" w:hAnsi="Times New Roman" w:cs="Times New Roman"/>
          <w:sz w:val="28"/>
          <w:szCs w:val="28"/>
          <w:lang w:val="ru-RU"/>
        </w:rPr>
        <w:t>, участие в специальных мероприятиях и доступ к эксклюзивному контенту.</w:t>
      </w:r>
    </w:p>
    <w:p w14:paraId="225B7BE3" w14:textId="77777777" w:rsidR="00C85692" w:rsidRPr="00C85692" w:rsidRDefault="00C85692" w:rsidP="00C8569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85692">
        <w:rPr>
          <w:rFonts w:ascii="Times New Roman" w:hAnsi="Times New Roman" w:cs="Times New Roman"/>
          <w:sz w:val="28"/>
          <w:szCs w:val="28"/>
          <w:lang w:val="ru-RU"/>
        </w:rPr>
        <w:t>Дополнительным инструментом маркетинга для узкого сегмента является модель поэтапного доступа к контенту, включающая ранний доступ к обновлениям и бонусные материалы для наиболее активных пользователей. Данный подход стимулирует повторные покупки, повышает уровень лояльности и поддерживает интерес аудитории к развитию игрового проекта.</w:t>
      </w:r>
    </w:p>
    <w:p w14:paraId="759DF53B" w14:textId="77777777" w:rsidR="00300A65" w:rsidRPr="00300A65" w:rsidRDefault="00300A65" w:rsidP="00300A6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00A65">
        <w:rPr>
          <w:rFonts w:ascii="Times New Roman" w:hAnsi="Times New Roman" w:cs="Times New Roman"/>
          <w:b/>
          <w:bCs/>
          <w:sz w:val="28"/>
          <w:szCs w:val="28"/>
          <w:lang w:val="ru-RU"/>
        </w:rPr>
        <w:t>7. Анализ рисков и ограничений ИТ-проекта</w:t>
      </w:r>
    </w:p>
    <w:p w14:paraId="47D5DBC9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Реализация ИТ-проекта по созданию собственной цифровой платформы для студии </w:t>
      </w:r>
      <w:proofErr w:type="spellStart"/>
      <w:r w:rsidRPr="00041013">
        <w:rPr>
          <w:rFonts w:ascii="Times New Roman" w:hAnsi="Times New Roman" w:cs="Times New Roman"/>
          <w:sz w:val="28"/>
          <w:szCs w:val="28"/>
        </w:rPr>
        <w:t>Mundfish</w:t>
      </w:r>
      <w:proofErr w:type="spellEnd"/>
      <w:r w:rsidRPr="00041013">
        <w:rPr>
          <w:rFonts w:ascii="Times New Roman" w:hAnsi="Times New Roman" w:cs="Times New Roman"/>
          <w:sz w:val="28"/>
          <w:szCs w:val="28"/>
          <w:lang w:val="ru-RU"/>
        </w:rPr>
        <w:t xml:space="preserve"> сопровождается рядом рисков и ограничений, которые необходимо учитывать при оценке его эффективности.</w:t>
      </w:r>
    </w:p>
    <w:p w14:paraId="725D8875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t>Технологические риски связаны со сложностью разработки и внедрения цифровой платформы. Возможные технические сбои, ошибки интеграции и недостаточная стабильность системы на начальном этапе могут негативно повлиять на пользовательский опыт.</w:t>
      </w:r>
    </w:p>
    <w:p w14:paraId="0948D390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t>Риски информационной безопасности обусловлены обработкой персональных данных и информации о поведении игроков. Нарушение требований конфиденциальности и защиты данных может привести к репутационным потерям и снижению доверия со стороны аудитории.</w:t>
      </w:r>
    </w:p>
    <w:p w14:paraId="49E8F3E2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t>Финансовые риски заключаются в возможном превышении запланированных затрат и увеличении срока окупаемости проекта. Используемые в расчётах показатели носят оценочный характер, что предполагает неопределённость фактических финансовых результатов.</w:t>
      </w:r>
    </w:p>
    <w:p w14:paraId="08E10444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t>Рыночные риски связаны с высокой конкуренцией в игровой индустрии и изменением предпочтений игроков. Дополнительным ограничением является частичная зависимость от внешних цифровых платформ на начальных этапах реализации проекта.</w:t>
      </w:r>
    </w:p>
    <w:p w14:paraId="3B6D4C0B" w14:textId="77777777" w:rsidR="00300A65" w:rsidRPr="00041013" w:rsidRDefault="00300A65" w:rsidP="00300A6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41013">
        <w:rPr>
          <w:rFonts w:ascii="Times New Roman" w:hAnsi="Times New Roman" w:cs="Times New Roman"/>
          <w:sz w:val="28"/>
          <w:szCs w:val="28"/>
          <w:lang w:val="ru-RU"/>
        </w:rPr>
        <w:t>В целом выявленные риски являются управляемыми и могут быть снижены за счёт поэтапного внедрения ИТ-проекта, применения мер по обеспечению информационной безопасности и гибкой адаптации цифровой платформы к требованиям рынка.</w:t>
      </w:r>
    </w:p>
    <w:p w14:paraId="57760653" w14:textId="77777777" w:rsidR="006257AA" w:rsidRPr="006257AA" w:rsidRDefault="006257AA" w:rsidP="006257A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257AA">
        <w:rPr>
          <w:rFonts w:ascii="Times New Roman" w:hAnsi="Times New Roman" w:cs="Times New Roman"/>
          <w:b/>
          <w:bCs/>
          <w:sz w:val="28"/>
          <w:szCs w:val="28"/>
          <w:lang w:val="ru-RU"/>
        </w:rPr>
        <w:t>8. Выводы и перспективы развития проекта</w:t>
      </w:r>
    </w:p>
    <w:p w14:paraId="65DD894C" w14:textId="77777777" w:rsidR="006257AA" w:rsidRPr="006257AA" w:rsidRDefault="006257AA" w:rsidP="006257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7AA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проведённого анализа можно сделать вывод о целесообразности реализации ИТ-проекта для студии </w:t>
      </w:r>
      <w:proofErr w:type="spellStart"/>
      <w:r w:rsidRPr="006257AA">
        <w:rPr>
          <w:rFonts w:ascii="Times New Roman" w:hAnsi="Times New Roman" w:cs="Times New Roman"/>
          <w:b/>
          <w:bCs/>
          <w:sz w:val="28"/>
          <w:szCs w:val="28"/>
        </w:rPr>
        <w:t>Mundfish</w:t>
      </w:r>
      <w:proofErr w:type="spellEnd"/>
      <w:r w:rsidRPr="006257AA">
        <w:rPr>
          <w:rFonts w:ascii="Times New Roman" w:hAnsi="Times New Roman" w:cs="Times New Roman"/>
          <w:sz w:val="28"/>
          <w:szCs w:val="28"/>
          <w:lang w:val="ru-RU"/>
        </w:rPr>
        <w:t>. Проект соответствует современным стандартам потребления цифровых продуктов в игровой индустрии и ориентирован на формирование долгосрочного взаимодействия с целевой аудиторией.</w:t>
      </w:r>
    </w:p>
    <w:p w14:paraId="7EE91F11" w14:textId="77777777" w:rsidR="006257AA" w:rsidRPr="006257AA" w:rsidRDefault="006257AA" w:rsidP="006257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7AA">
        <w:rPr>
          <w:rFonts w:ascii="Times New Roman" w:hAnsi="Times New Roman" w:cs="Times New Roman"/>
          <w:sz w:val="28"/>
          <w:szCs w:val="28"/>
          <w:lang w:val="ru-RU"/>
        </w:rPr>
        <w:t xml:space="preserve">Создание собственной цифровой платформы позволяет компании снизить зависимость от внешних дистрибуционных сервисов, повысить уровень </w:t>
      </w:r>
      <w:r w:rsidRPr="006257AA"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контроля над пользовательскими данными и расширить возможности монетизации за счёт дополнительного контента и сервисов. Проведённая оценка экономической эффективности показывает, что проект обладает потенциалом окупаемости в приемлемые сроки и может обеспечить устойчивый дополнительный доход.</w:t>
      </w:r>
    </w:p>
    <w:p w14:paraId="5059D60C" w14:textId="77777777" w:rsidR="006257AA" w:rsidRPr="006257AA" w:rsidRDefault="006257AA" w:rsidP="006257A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257AA">
        <w:rPr>
          <w:rFonts w:ascii="Times New Roman" w:hAnsi="Times New Roman" w:cs="Times New Roman"/>
          <w:sz w:val="28"/>
          <w:szCs w:val="28"/>
          <w:lang w:val="ru-RU"/>
        </w:rPr>
        <w:t>Перспективы развития проекта связаны с поэтапным расширением функциональности платформы, углублением аналитики пользовательского поведения и развитием сообщества игроков. В долгосрочной перспективе реализация ИТ-проекта может стать основой для формирования цифровой экосистемы компании и укрепления её конкурентных позиций на рынке игровой индустрии.</w:t>
      </w:r>
    </w:p>
    <w:p w14:paraId="67F60E4A" w14:textId="77777777" w:rsidR="00200818" w:rsidRPr="00200818" w:rsidRDefault="00200818" w:rsidP="0062463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00818" w:rsidRPr="00200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A1BCD"/>
    <w:multiLevelType w:val="multilevel"/>
    <w:tmpl w:val="7954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A3191"/>
    <w:multiLevelType w:val="multilevel"/>
    <w:tmpl w:val="928E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12592"/>
    <w:multiLevelType w:val="multilevel"/>
    <w:tmpl w:val="0980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35106"/>
    <w:multiLevelType w:val="multilevel"/>
    <w:tmpl w:val="324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2262B"/>
    <w:multiLevelType w:val="multilevel"/>
    <w:tmpl w:val="E5D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9656A"/>
    <w:multiLevelType w:val="multilevel"/>
    <w:tmpl w:val="B2C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7674F4"/>
    <w:multiLevelType w:val="multilevel"/>
    <w:tmpl w:val="EE7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6C2E96"/>
    <w:multiLevelType w:val="multilevel"/>
    <w:tmpl w:val="D504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35355E"/>
    <w:multiLevelType w:val="multilevel"/>
    <w:tmpl w:val="19FC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F775D"/>
    <w:multiLevelType w:val="multilevel"/>
    <w:tmpl w:val="FC26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F44E8"/>
    <w:multiLevelType w:val="multilevel"/>
    <w:tmpl w:val="523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9C31BD"/>
    <w:multiLevelType w:val="multilevel"/>
    <w:tmpl w:val="9DB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80F40"/>
    <w:multiLevelType w:val="multilevel"/>
    <w:tmpl w:val="938A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73560"/>
    <w:multiLevelType w:val="multilevel"/>
    <w:tmpl w:val="DFAA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39958">
    <w:abstractNumId w:val="11"/>
  </w:num>
  <w:num w:numId="2" w16cid:durableId="1363171297">
    <w:abstractNumId w:val="1"/>
  </w:num>
  <w:num w:numId="3" w16cid:durableId="2024354155">
    <w:abstractNumId w:val="5"/>
  </w:num>
  <w:num w:numId="4" w16cid:durableId="1602487832">
    <w:abstractNumId w:val="2"/>
  </w:num>
  <w:num w:numId="5" w16cid:durableId="1793865951">
    <w:abstractNumId w:val="13"/>
  </w:num>
  <w:num w:numId="6" w16cid:durableId="1225215689">
    <w:abstractNumId w:val="10"/>
  </w:num>
  <w:num w:numId="7" w16cid:durableId="2048216054">
    <w:abstractNumId w:val="7"/>
  </w:num>
  <w:num w:numId="8" w16cid:durableId="610088603">
    <w:abstractNumId w:val="12"/>
  </w:num>
  <w:num w:numId="9" w16cid:durableId="668487909">
    <w:abstractNumId w:val="4"/>
  </w:num>
  <w:num w:numId="10" w16cid:durableId="816458197">
    <w:abstractNumId w:val="6"/>
  </w:num>
  <w:num w:numId="11" w16cid:durableId="1611665671">
    <w:abstractNumId w:val="3"/>
  </w:num>
  <w:num w:numId="12" w16cid:durableId="1053311116">
    <w:abstractNumId w:val="9"/>
  </w:num>
  <w:num w:numId="13" w16cid:durableId="1272666575">
    <w:abstractNumId w:val="0"/>
  </w:num>
  <w:num w:numId="14" w16cid:durableId="5699678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C0"/>
    <w:rsid w:val="00040E7A"/>
    <w:rsid w:val="00041013"/>
    <w:rsid w:val="000A2A5C"/>
    <w:rsid w:val="00115B6C"/>
    <w:rsid w:val="00147D33"/>
    <w:rsid w:val="0017580A"/>
    <w:rsid w:val="00176C4E"/>
    <w:rsid w:val="00200818"/>
    <w:rsid w:val="00217CA8"/>
    <w:rsid w:val="00300A65"/>
    <w:rsid w:val="003C3E20"/>
    <w:rsid w:val="00405DE4"/>
    <w:rsid w:val="00435FCA"/>
    <w:rsid w:val="00444223"/>
    <w:rsid w:val="00474DC0"/>
    <w:rsid w:val="00480CA7"/>
    <w:rsid w:val="004E03D2"/>
    <w:rsid w:val="004E79F7"/>
    <w:rsid w:val="005139D9"/>
    <w:rsid w:val="005E0FEE"/>
    <w:rsid w:val="005E64B9"/>
    <w:rsid w:val="00624635"/>
    <w:rsid w:val="006257AA"/>
    <w:rsid w:val="0070675B"/>
    <w:rsid w:val="0071412A"/>
    <w:rsid w:val="00785B6A"/>
    <w:rsid w:val="007D0588"/>
    <w:rsid w:val="0080634A"/>
    <w:rsid w:val="008262A9"/>
    <w:rsid w:val="00831477"/>
    <w:rsid w:val="00844454"/>
    <w:rsid w:val="008B6188"/>
    <w:rsid w:val="008D2480"/>
    <w:rsid w:val="00934B1D"/>
    <w:rsid w:val="0096409F"/>
    <w:rsid w:val="009905D0"/>
    <w:rsid w:val="009D5F54"/>
    <w:rsid w:val="009E2A1A"/>
    <w:rsid w:val="009E6024"/>
    <w:rsid w:val="00A01CAC"/>
    <w:rsid w:val="00A1344F"/>
    <w:rsid w:val="00A16182"/>
    <w:rsid w:val="00B1460B"/>
    <w:rsid w:val="00C45780"/>
    <w:rsid w:val="00C85692"/>
    <w:rsid w:val="00D25A65"/>
    <w:rsid w:val="00E0329E"/>
    <w:rsid w:val="00E73B29"/>
    <w:rsid w:val="00EB36C7"/>
    <w:rsid w:val="00F77753"/>
    <w:rsid w:val="00FB043C"/>
    <w:rsid w:val="00F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0738"/>
  <w15:chartTrackingRefBased/>
  <w15:docId w15:val="{6F59E80E-02A0-46EE-80F3-2AF99146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C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63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13</Pages>
  <Words>2930</Words>
  <Characters>16706</Characters>
  <Application>Microsoft Office Word</Application>
  <DocSecurity>0</DocSecurity>
  <Lines>139</Lines>
  <Paragraphs>39</Paragraphs>
  <ScaleCrop>false</ScaleCrop>
  <Company/>
  <LinksUpToDate>false</LinksUpToDate>
  <CharactersWithSpaces>19597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49</cp:revision>
  <dcterms:created xsi:type="dcterms:W3CDTF">2025-12-28T13:13:00Z</dcterms:created>
  <dcterms:modified xsi:type="dcterms:W3CDTF">2025-12-28T19:57:00Z</dcterms:modified>
</cp:coreProperties>
</file>