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after="60" w:line="240" w:lineRule="auto"/>
        <w:jc w:val="center"/>
      </w:pPr>
      <w:r>
        <w:rPr>
          <w:rFonts w:ascii="Arial" w:hAnsi="Arial"/>
          <w:b/>
          <w:i w:val="0"/>
          <w:sz w:val="18"/>
        </w:rPr>
        <w:t>SWP490  |  CAPSTONE PROJECT  |  REVIEW 2  |  BM01</w:t>
      </w:r>
    </w:p>
    <w:p>
      <w:pPr>
        <w:pageBreakBefore w:val="0"/>
        <w:spacing w:after="60" w:line="240" w:lineRule="auto"/>
        <w:jc w:val="center"/>
      </w:pPr>
      <w:r>
        <w:rPr>
          <w:rFonts w:ascii="Arial" w:hAnsi="Arial"/>
          <w:b/>
          <w:i w:val="0"/>
          <w:sz w:val="44"/>
        </w:rPr>
        <w:t>Design Brief</w:t>
      </w:r>
    </w:p>
    <w:p>
      <w:pPr>
        <w:pageBreakBefore w:val="0"/>
        <w:spacing w:after="60" w:line="240" w:lineRule="auto"/>
        <w:jc w:val="center"/>
      </w:pPr>
      <w:r>
        <w:rPr>
          <w:rFonts w:ascii="Arial" w:hAnsi="Arial"/>
          <w:b/>
          <w:i w:val="0"/>
          <w:sz w:val="24"/>
        </w:rPr>
        <w:t>Sketch2Life: Collaborative Creative Learning with AI for Children</w:t>
      </w:r>
    </w:p>
    <w:p>
      <w:pPr>
        <w:pStyle w:val="Heading2"/>
        <w:keepNext/>
        <w:pageBreakBefore w:val="0"/>
      </w:pPr>
      <w:r>
        <w:t>0. Header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391"/>
      </w:tblGrid>
      <w:tr>
        <w:trPr>
          <w:tblHeader w:val="true"/>
          <w:cantSplit/>
        </w:trPr>
        <w:tc>
          <w:tcPr>
            <w:tcW w:type="dxa" w:w="2041"/>
            <w:vAlign w:val="center"/>
            <w:shd w:fill="14243D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Field</w:t>
            </w:r>
          </w:p>
        </w:tc>
        <w:tc>
          <w:tcPr>
            <w:tcW w:type="dxa" w:w="7391"/>
            <w:vAlign w:val="center"/>
            <w:shd w:fill="14243D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Value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3F5F8"/>
          </w:tcPr>
          <w:p>
            <w:r>
              <w:rPr>
                <w:rFonts w:ascii="Arial" w:hAnsi="Arial"/>
              </w:rPr>
              <w:t>Project / class</w:t>
            </w:r>
          </w:p>
        </w:tc>
        <w:tc>
          <w:tcPr>
            <w:tcW w:type="dxa" w:w="7391"/>
            <w:vAlign w:val="center"/>
            <w:shd w:fill="F3F5F8"/>
          </w:tcPr>
          <w:p>
            <w:r>
              <w:rPr>
                <w:rFonts w:ascii="Arial" w:hAnsi="Arial"/>
              </w:rPr>
              <w:t>FA26SE225 (administrative project identifier); SWP490 (course/class identifier). The submitted v1.2 form remains unchanged.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Team / roles</w:t>
            </w:r>
          </w:p>
        </w:tc>
        <w:tc>
          <w:tcPr>
            <w:tcW w:type="dxa" w:w="7391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Đạt SE193713, leader/full-stack; Hiếu SE184252, BE2; Bảo SE182733, FE; Khoa SE182682, BE1.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Supervisor</w:t>
            </w:r>
          </w:p>
        </w:tc>
        <w:tc>
          <w:tcPr>
            <w:tcW w:type="dxa" w:w="7391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Lâm Hữu Khánh Phương.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r>
              <w:rPr>
                <w:rFonts w:ascii="Arial" w:hAnsi="Arial"/>
              </w:rPr>
              <w:t>Repository / tag</w:t>
            </w:r>
          </w:p>
        </w:tc>
        <w:tc>
          <w:tcPr>
            <w:tcW w:type="dxa" w:w="7391"/>
            <w:vAlign w:val="center"/>
          </w:tcPr>
          <w:p>
            <w:r>
              <w:rPr>
                <w:rFonts w:ascii="Arial" w:hAnsi="Arial"/>
              </w:rPr>
              <w:t>github.com/CaoDat-2410/Sketch2Life; current dev baseline. The official review-2 tag/BM02 gate is run only after CI, Iteration 1, document QA, clean-tree and security gates pass.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3F5F8"/>
          </w:tcPr>
          <w:p>
            <w:r>
              <w:rPr>
                <w:rFonts w:ascii="Arial" w:hAnsi="Arial"/>
              </w:rPr>
              <w:t>Version / date</w:t>
            </w:r>
          </w:p>
        </w:tc>
        <w:tc>
          <w:tcPr>
            <w:tcW w:type="dxa" w:w="7391"/>
            <w:vAlign w:val="center"/>
            <w:shd w:fill="F3F5F8"/>
          </w:tcPr>
          <w:p>
            <w:r>
              <w:rPr>
                <w:rFonts w:ascii="Arial" w:hAnsi="Arial"/>
              </w:rPr>
              <w:t>Review 2 draft v1.2 | 24 October 2026 | Ho Chi Minh City.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t>1. Scope</w:t>
      </w:r>
    </w:p>
    <w:p>
      <w:pPr>
        <w:pageBreakBefore w:val="0"/>
        <w:spacing w:after="60" w:line="240" w:lineRule="auto"/>
      </w:pPr>
      <w:r>
        <w:t>Registration changes: none proposed. The submitted v1.2 form remains the scope authority; BM03 records no scope change. Administrative identifiers FA26SE225 (submitted project record) and SWP490 (official course/class guide) are carried separately from the original form fields.</w:t>
      </w:r>
    </w:p>
    <w:p>
      <w:pPr>
        <w:pageBreakBefore w:val="0"/>
        <w:spacing w:after="60" w:line="240" w:lineRule="auto"/>
      </w:pPr>
      <w:r>
        <w:t>In scope: teacher-led sessions for children ages 3–12; managed profiles and QR/code admission; individual/shared drawing; reviewed AI sketches and media; off-screen group activities, reflection and descriptive records. WF-01/WF-02 have local wiring and separate checks; database-backed end-to-end acceptance is still open. WF-03/WF-04 remain gated.</w:t>
      </w:r>
    </w:p>
    <w:p>
      <w:pPr>
        <w:pageBreakBefore w:val="0"/>
        <w:spacing w:after="60" w:line="240" w:lineRule="auto"/>
      </w:pPr>
      <w:r>
        <w:rPr>
          <w:rFonts w:ascii="Arial" w:hAnsi="Arial"/>
          <w:b w:val="0"/>
          <w:i w:val="0"/>
          <w:sz w:val="22"/>
        </w:rPr>
        <w:t>Out of scope: Parent portal, payments/credits, public social features, leaderboard, diagnostic inference and unapproved provider/storage adapters.</w:t>
      </w:r>
    </w:p>
    <w:p>
      <w:pPr>
        <w:pStyle w:val="Heading2"/>
        <w:keepNext/>
        <w:pageBreakBefore w:val="0"/>
      </w:pPr>
      <w:r>
        <w:t>2. System at a Glance</w:t>
      </w:r>
    </w:p>
    <w:p>
      <w:pPr>
        <w:pageBreakBefore w:val="0"/>
        <w:spacing w:after="60" w:line="240" w:lineRule="auto"/>
      </w:pPr>
      <w:r>
        <w:t>A Teacher configures a class session, admits managed Child profiles, and controls the stages. Children draw individually or together and recover accepted work after reconnect; AI assistance and reviewed video remain policy-gated. The current repository has local WF-01/WF-02 connections, but no PostgreSQL-backed FE-to-BE acceptance; WF-03/WF-04 have no accepted classroom integration.</w:t>
      </w:r>
    </w:p>
    <w:p>
      <w:pPr>
        <w:pStyle w:val="Heading2"/>
        <w:keepNext/>
        <w:pageBreakBefore/>
      </w:pPr>
      <w:r>
        <w:t>3. Key Design Decisions</w:t>
      </w:r>
    </w:p>
    <w:tbl>
      <w:tblPr>
        <w:tblStyle w:val="TableGrid"/>
        <w:tblW w:type="dxa" w:w="9431"/>
        <w:jc w:val="center"/>
        <w:tblLayout w:type="fixed"/>
        <w:tblLook w:firstColumn="1" w:firstRow="1" w:lastColumn="0" w:lastRow="0" w:noHBand="0" w:noVBand="1" w:val="04A0"/>
      </w:tblPr>
      <w:tblGrid>
        <w:gridCol w:w="633"/>
        <w:gridCol w:w="5349"/>
        <w:gridCol w:w="3449"/>
      </w:tblGrid>
      <w:tr>
        <w:trPr>
          <w:tblHeader w:val="true"/>
          <w:cantSplit/>
        </w:trPr>
        <w:tc>
          <w:tcPr>
            <w:tcW w:type="dxa" w:w="633"/>
            <w:vAlign w:val="center"/>
            <w:shd w:fill="14243D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ID</w:t>
            </w:r>
          </w:p>
        </w:tc>
        <w:tc>
          <w:tcPr>
            <w:tcW w:type="dxa" w:w="5349"/>
            <w:vAlign w:val="center"/>
            <w:shd w:fill="14243D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Selected decision and reason</w:t>
            </w:r>
          </w:p>
        </w:tc>
        <w:tc>
          <w:tcPr>
            <w:tcW w:type="dxa" w:w="3449"/>
            <w:vAlign w:val="center"/>
            <w:shd w:fill="14243D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Alternative / owner / trace</w:t>
            </w:r>
          </w:p>
        </w:tc>
      </w:tr>
      <w:tr>
        <w:trPr>
          <w:cantSplit/>
        </w:trPr>
        <w:tc>
          <w:tcPr>
            <w:tcW w:type="dxa" w:w="633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D1</w:t>
            </w:r>
          </w:p>
        </w:tc>
        <w:tc>
          <w:tcPr>
            <w:tcW w:type="dxa" w:w="5349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Durable classroom runtime is the product entrypoint; isolate process-local demos so restart and audit behavior are explicit.</w:t>
            </w:r>
          </w:p>
        </w:tc>
        <w:tc>
          <w:tcPr>
            <w:tcW w:type="dxa" w:w="3449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Demo-first rejected; Đạt; ADR-0019 / D08.</w:t>
            </w:r>
          </w:p>
        </w:tc>
      </w:tr>
      <w:tr>
        <w:trPr>
          <w:cantSplit/>
        </w:trPr>
        <w:tc>
          <w:tcPr>
            <w:tcW w:type="dxa" w:w="633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D2</w:t>
            </w:r>
          </w:p>
        </w:tc>
        <w:tc>
          <w:tcPr>
            <w:tcW w:type="dxa" w:w="5349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Teacher-managed child profiles and QR/code admission; no independent Child login or age inference from artwork.</w:t>
            </w:r>
          </w:p>
        </w:tc>
        <w:tc>
          <w:tcPr>
            <w:tcW w:type="dxa" w:w="3449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Child credentials rejected; Khoa; FR002-004 / UC01.</w:t>
            </w:r>
          </w:p>
        </w:tc>
      </w:tr>
      <w:tr>
        <w:trPr>
          <w:cantSplit/>
        </w:trPr>
        <w:tc>
          <w:tcPr>
            <w:tcW w:type="dxa" w:w="633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D3</w:t>
            </w:r>
          </w:p>
        </w:tc>
        <w:tc>
          <w:tcPr>
            <w:tcW w:type="dxa" w:w="5349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Accepted drawing operations keep sequence and contributor history; turn changes never rewrite earlier strokes.</w:t>
            </w:r>
          </w:p>
        </w:tc>
        <w:tc>
          <w:tcPr>
            <w:tcW w:type="dxa" w:w="3449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Last-writer-wins rejected; Bảo; FR033/066 / D05.</w:t>
            </w:r>
          </w:p>
        </w:tc>
      </w:tr>
      <w:tr>
        <w:trPr>
          <w:cantSplit/>
        </w:trPr>
        <w:tc>
          <w:tcPr>
            <w:tcW w:type="dxa" w:w="633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D4</w:t>
            </w:r>
          </w:p>
        </w:tc>
        <w:tc>
          <w:tcPr>
            <w:tcW w:type="dxa" w:w="5349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Teacher reviews each exact AI/media version; Child may view, hide or decline a safe approved suggestion.</w:t>
            </w:r>
          </w:p>
        </w:tc>
        <w:tc>
          <w:tcPr>
            <w:tcW w:type="dxa" w:w="3449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Auto-publish rejected; Hiếu; FR026-029 / D12.</w:t>
            </w:r>
          </w:p>
        </w:tc>
      </w:tr>
      <w:tr>
        <w:trPr>
          <w:cantSplit/>
        </w:trPr>
        <w:tc>
          <w:tcPr>
            <w:tcW w:type="dxa" w:w="633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D5</w:t>
            </w:r>
          </w:p>
        </w:tc>
        <w:tc>
          <w:tcPr>
            <w:tcW w:type="dxa" w:w="5349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Modal is selected for AI hosting; deployment, model, GPU, endpoint, region, scale and budget remain TBD.</w:t>
            </w:r>
          </w:p>
        </w:tc>
        <w:tc>
          <w:tcPr>
            <w:tcW w:type="dxa" w:w="3449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Profile required before acceptance; Hiếu; ADR-0019.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t>4. Top Risks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633"/>
        <w:gridCol w:w="4505"/>
        <w:gridCol w:w="4294"/>
      </w:tblGrid>
      <w:tr>
        <w:trPr>
          <w:tblHeader w:val="true"/>
          <w:cantSplit/>
        </w:trPr>
        <w:tc>
          <w:tcPr>
            <w:tcW w:type="dxa" w:w="633"/>
            <w:vAlign w:val="center"/>
            <w:shd w:fill="14243D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ID</w:t>
            </w:r>
          </w:p>
        </w:tc>
        <w:tc>
          <w:tcPr>
            <w:tcW w:type="dxa" w:w="4505"/>
            <w:vAlign w:val="center"/>
            <w:shd w:fill="14243D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Risk and impact</w:t>
            </w:r>
          </w:p>
        </w:tc>
        <w:tc>
          <w:tcPr>
            <w:tcW w:type="dxa" w:w="4294"/>
            <w:vAlign w:val="center"/>
            <w:shd w:fill="14243D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Control / owner / gate</w:t>
            </w:r>
          </w:p>
        </w:tc>
      </w:tr>
      <w:tr>
        <w:trPr>
          <w:cantSplit/>
        </w:trPr>
        <w:tc>
          <w:tcPr>
            <w:tcW w:type="dxa" w:w="633"/>
            <w:vAlign w:val="center"/>
            <w:shd w:fill="F3F5F8"/>
          </w:tcPr>
          <w:p>
            <w:r>
              <w:rPr>
                <w:rFonts w:ascii="Arial" w:hAnsi="Arial"/>
              </w:rPr>
              <w:t>R1</w:t>
            </w:r>
          </w:p>
        </w:tc>
        <w:tc>
          <w:tcPr>
            <w:tcW w:type="dxa" w:w="4505"/>
            <w:vAlign w:val="center"/>
            <w:shd w:fill="F3F5F8"/>
          </w:tcPr>
          <w:p>
            <w:r>
              <w:rPr>
                <w:rFonts w:ascii="Arial" w:hAnsi="Arial"/>
              </w:rPr>
              <w:t>Nine Alembic heads have no approved clean-install/upgrade/rollback path; database-backed acceptance cannot be repeated.</w:t>
            </w:r>
          </w:p>
        </w:tc>
        <w:tc>
          <w:tcPr>
            <w:tcW w:type="dxa" w:w="4294"/>
            <w:vAlign w:val="center"/>
            <w:shd w:fill="F3F5F8"/>
          </w:tcPr>
          <w:p>
            <w:r>
              <w:rPr>
                <w:rFonts w:ascii="Arial" w:hAnsi="Arial"/>
              </w:rPr>
              <w:t>Keep N1 and approve lineage/rollback before isolated DB acceptance; owner and procedure TBD.</w:t>
            </w:r>
          </w:p>
        </w:tc>
      </w:tr>
      <w:tr>
        <w:trPr>
          <w:cantSplit/>
        </w:trPr>
        <w:tc>
          <w:tcPr>
            <w:tcW w:type="dxa" w:w="633"/>
            <w:vAlign w:val="center"/>
          </w:tcPr>
          <w:p>
            <w:r>
              <w:rPr>
                <w:rFonts w:ascii="Arial" w:hAnsi="Arial"/>
              </w:rPr>
              <w:t>R2</w:t>
            </w:r>
          </w:p>
        </w:tc>
        <w:tc>
          <w:tcPr>
            <w:tcW w:type="dxa" w:w="4505"/>
            <w:vAlign w:val="center"/>
          </w:tcPr>
          <w:p>
            <w:r>
              <w:rPr>
                <w:rFonts w:ascii="Arial" w:hAnsi="Arial"/>
              </w:rPr>
              <w:t>WF-01/WF-02 are locally wired, but four PostgreSQL acceptance cases were skipped because BE1_TEST_DATABASE_URL is unset; device/network acceptance is also open.</w:t>
            </w:r>
          </w:p>
        </w:tc>
        <w:tc>
          <w:tcPr>
            <w:tcW w:type="dxa" w:w="4294"/>
            <w:vAlign w:val="center"/>
          </w:tcPr>
          <w:p>
            <w:r>
              <w:rPr>
                <w:rFonts w:ascii="Arial" w:hAnsi="Arial"/>
              </w:rPr>
              <w:t>Keep N2–N4 in dependency order; review BE1 contracts, then run synthetic DB and device acceptance; operator/matrix TBD.</w:t>
            </w:r>
          </w:p>
        </w:tc>
      </w:tr>
      <w:tr>
        <w:trPr>
          <w:cantSplit/>
        </w:trPr>
        <w:tc>
          <w:tcPr>
            <w:tcW w:type="dxa" w:w="633"/>
            <w:vAlign w:val="center"/>
            <w:shd w:fill="F3F5F8"/>
          </w:tcPr>
          <w:p>
            <w:r>
              <w:rPr>
                <w:rFonts w:ascii="Arial" w:hAnsi="Arial"/>
              </w:rPr>
              <w:t>R3</w:t>
            </w:r>
          </w:p>
        </w:tc>
        <w:tc>
          <w:tcPr>
            <w:tcW w:type="dxa" w:w="4505"/>
            <w:vAlign w:val="center"/>
            <w:shd w:fill="F3F5F8"/>
          </w:tcPr>
          <w:p>
            <w:r>
              <w:rPr>
                <w:rFonts w:ascii="Arial" w:hAnsi="Arial"/>
              </w:rPr>
              <w:t>Child-data consent/deletion evidence and production Modal/artifact-storage profiles are incomplete; no pilot or capacity result is evidenced.</w:t>
            </w:r>
          </w:p>
        </w:tc>
        <w:tc>
          <w:tcPr>
            <w:tcW w:type="dxa" w:w="4294"/>
            <w:vAlign w:val="center"/>
            <w:shd w:fill="F3F5F8"/>
          </w:tcPr>
          <w:p>
            <w:r>
              <w:rPr>
                <w:rFonts w:ascii="Arial" w:hAnsi="Arial"/>
              </w:rPr>
              <w:t>Keep N7 as a pre-pilot gate; defer N5/N6/N9 until contracts/runtime are approved; exact policies, service owners and cost limits TBD.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t>5. Known Gaps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633"/>
        <w:gridCol w:w="8799"/>
      </w:tblGrid>
      <w:tr>
        <w:trPr>
          <w:tblHeader w:val="true"/>
          <w:cantSplit/>
        </w:trPr>
        <w:tc>
          <w:tcPr>
            <w:tcW w:type="dxa" w:w="633"/>
            <w:vAlign w:val="center"/>
            <w:shd w:fill="14243D"/>
          </w:tcPr>
          <w:p>
            <w:r>
              <w:rPr>
                <w:rFonts w:ascii="Arial" w:hAnsi="Arial"/>
              </w:rPr>
              <w:t>ID</w:t>
            </w:r>
          </w:p>
        </w:tc>
        <w:tc>
          <w:tcPr>
            <w:tcW w:type="dxa" w:w="8799"/>
            <w:vAlign w:val="center"/>
            <w:shd w:fill="14243D"/>
          </w:tcPr>
          <w:p>
            <w:r>
              <w:rPr>
                <w:rFonts w:ascii="Arial" w:hAnsi="Arial"/>
              </w:rPr>
              <w:t>Gap, evidence and closure action</w:t>
            </w:r>
          </w:p>
        </w:tc>
      </w:tr>
      <w:tr>
        <w:trPr>
          <w:cantSplit/>
        </w:trPr>
        <w:tc>
          <w:tcPr>
            <w:tcW w:type="dxa" w:w="633"/>
            <w:vAlign w:val="center"/>
            <w:shd w:fill="F3F5F8"/>
          </w:tcPr>
          <w:p>
            <w:r>
              <w:rPr>
                <w:rFonts w:ascii="Arial" w:hAnsi="Arial"/>
              </w:rPr>
              <w:t>G1</w:t>
            </w:r>
          </w:p>
        </w:tc>
        <w:tc>
          <w:tcPr>
            <w:tcW w:type="dxa" w:w="8799"/>
            <w:vAlign w:val="center"/>
            <w:shd w:fill="F3F5F8"/>
          </w:tcPr>
          <w:p>
            <w:r>
              <w:rPr>
                <w:rFonts w:ascii="Arial" w:hAnsi="Arial"/>
              </w:rPr>
              <w:t>The submitted registration v1.2 remains unchanged. Administrative identifiers FA26SE225 and SWP490 are recorded from the submitted project record and official course guide; the official tagged-baseline BM02 gate remains pending.</w:t>
            </w:r>
          </w:p>
        </w:tc>
      </w:tr>
      <w:tr>
        <w:trPr>
          <w:cantSplit/>
        </w:trPr>
        <w:tc>
          <w:tcPr>
            <w:tcW w:type="dxa" w:w="633"/>
            <w:vAlign w:val="center"/>
          </w:tcPr>
          <w:p>
            <w:r>
              <w:rPr>
                <w:rFonts w:ascii="Arial" w:hAnsi="Arial"/>
              </w:rPr>
              <w:t>G2</w:t>
            </w:r>
          </w:p>
        </w:tc>
        <w:tc>
          <w:tcPr>
            <w:tcW w:type="dxa" w:w="8799"/>
            <w:vAlign w:val="center"/>
          </w:tcPr>
          <w:p>
            <w:r>
              <w:rPr>
                <w:rFonts w:ascii="Arial" w:hAnsi="Arial"/>
              </w:rPr>
              <w:t>Alembic has nine heads and no approved consolidated install/upgrade/rollback path; four PostgreSQL cases skipped without BE1_TEST_DATABASE_URL. N1/N3.</w:t>
            </w:r>
          </w:p>
        </w:tc>
      </w:tr>
      <w:tr>
        <w:trPr>
          <w:cantSplit/>
        </w:trPr>
        <w:tc>
          <w:tcPr>
            <w:tcW w:type="dxa" w:w="633"/>
            <w:vAlign w:val="center"/>
            <w:shd w:fill="F3F5F8"/>
          </w:tcPr>
          <w:p>
            <w:r>
              <w:rPr>
                <w:rFonts w:ascii="Arial" w:hAnsi="Arial"/>
              </w:rPr>
              <w:t>G3</w:t>
            </w:r>
          </w:p>
        </w:tc>
        <w:tc>
          <w:tcPr>
            <w:tcW w:type="dxa" w:w="8799"/>
            <w:vAlign w:val="center"/>
            <w:shd w:fill="F3F5F8"/>
          </w:tcPr>
          <w:p>
            <w:r>
              <w:rPr>
                <w:rFonts w:ascii="Arial" w:hAnsi="Arial"/>
              </w:rPr>
              <w:t>BE1 route, transaction, authorization, receipt, join-code/key lifecycle, IP trust/throttle and concurrency review remains open. N2.</w:t>
            </w:r>
          </w:p>
        </w:tc>
      </w:tr>
      <w:tr>
        <w:trPr>
          <w:cantSplit/>
        </w:trPr>
        <w:tc>
          <w:tcPr>
            <w:tcW w:type="dxa" w:w="633"/>
            <w:vAlign w:val="center"/>
          </w:tcPr>
          <w:p>
            <w:r>
              <w:rPr>
                <w:rFonts w:ascii="Arial" w:hAnsi="Arial"/>
              </w:rPr>
              <w:t>G4</w:t>
            </w:r>
          </w:p>
        </w:tc>
        <w:tc>
          <w:tcPr>
            <w:tcW w:type="dxa" w:w="8799"/>
            <w:vAlign w:val="center"/>
          </w:tcPr>
          <w:p>
            <w:r>
              <w:rPr>
                <w:rFonts w:ascii="Arial" w:hAnsi="Arial"/>
              </w:rPr>
              <w:t>WF-01/WF-02 passed separate local UI/backend checks but have no DB-backed FE-to-BE or device/network acceptance. N3/N4.</w:t>
            </w:r>
          </w:p>
        </w:tc>
      </w:tr>
      <w:tr>
        <w:trPr>
          <w:cantSplit/>
        </w:trPr>
        <w:tc>
          <w:tcPr>
            <w:tcW w:type="dxa" w:w="633"/>
            <w:vAlign w:val="center"/>
            <w:shd w:fill="F3F5F8"/>
          </w:tcPr>
          <w:p>
            <w:r>
              <w:rPr>
                <w:rFonts w:ascii="Arial" w:hAnsi="Arial"/>
              </w:rPr>
              <w:t>G5</w:t>
            </w:r>
          </w:p>
        </w:tc>
        <w:tc>
          <w:tcPr>
            <w:tcW w:type="dxa" w:w="8799"/>
            <w:vAlign w:val="center"/>
            <w:shd w:fill="F3F5F8"/>
          </w:tcPr>
          <w:p>
            <w:r>
              <w:rPr>
                <w:rFonts w:ascii="Arial" w:hAnsi="Arial"/>
              </w:rPr>
              <w:t>WF-03/WF-04 remain gated by FEAT-057 contracts; production Firebase login, Modal profile and artifact storage are not evidenced. N5/N6.</w:t>
            </w:r>
          </w:p>
        </w:tc>
      </w:tr>
      <w:tr>
        <w:trPr>
          <w:cantSplit/>
        </w:trPr>
        <w:tc>
          <w:tcPr>
            <w:tcW w:type="dxa" w:w="633"/>
            <w:vAlign w:val="center"/>
          </w:tcPr>
          <w:p>
            <w:r>
              <w:rPr>
                <w:rFonts w:ascii="Arial" w:hAnsi="Arial"/>
              </w:rPr>
              <w:t>G6</w:t>
            </w:r>
          </w:p>
        </w:tc>
        <w:tc>
          <w:tcPr>
            <w:tcW w:type="dxa" w:w="8799"/>
            <w:vAlign w:val="center"/>
          </w:tcPr>
          <w:p>
            <w:r>
              <w:rPr>
                <w:rFonts w:ascii="Arial" w:hAnsi="Arial"/>
              </w:rPr>
              <w:t>Consent, purpose, retention, derivative-copy purge and the 40-child workload target remain unverified; 40 is not a hard join limit. N7/N9.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/>
      </w:pPr>
      <w:r>
        <w:t>6. Mandatory Features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774"/>
        <w:gridCol w:w="3238"/>
        <w:gridCol w:w="5420"/>
      </w:tblGrid>
      <w:tr>
        <w:trPr>
          <w:tblHeader w:val="true"/>
          <w:cantSplit/>
        </w:trPr>
        <w:tc>
          <w:tcPr>
            <w:tcW w:type="dxa" w:w="774"/>
            <w:vAlign w:val="center"/>
            <w:shd w:fill="14243D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ID</w:t>
            </w:r>
          </w:p>
        </w:tc>
        <w:tc>
          <w:tcPr>
            <w:tcW w:type="dxa" w:w="3238"/>
            <w:vAlign w:val="center"/>
            <w:shd w:fill="14243D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Feature / actor</w:t>
            </w:r>
          </w:p>
        </w:tc>
        <w:tc>
          <w:tcPr>
            <w:tcW w:type="dxa" w:w="5420"/>
            <w:vAlign w:val="center"/>
            <w:shd w:fill="14243D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Acceptance criterion (pass/fail)</w:t>
            </w:r>
          </w:p>
        </w:tc>
      </w:tr>
      <w:tr>
        <w:trPr>
          <w:cantSplit/>
        </w:trPr>
        <w:tc>
          <w:tcPr>
            <w:tcW w:type="dxa" w:w="774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MF-01</w:t>
            </w:r>
          </w:p>
        </w:tc>
        <w:tc>
          <w:tcPr>
            <w:tcW w:type="dxa" w:w="3238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Managed profile and session admission / Teacher, Child</w:t>
            </w:r>
          </w:p>
        </w:tc>
        <w:tc>
          <w:tcPr>
            <w:tcW w:type="dxa" w:w="5420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Valid roster join is admitted once; expired, wrong-class and duplicate requests are denied without membership.</w:t>
            </w:r>
          </w:p>
        </w:tc>
      </w:tr>
      <w:tr>
        <w:trPr>
          <w:cantSplit/>
        </w:trPr>
        <w:tc>
          <w:tcPr>
            <w:tcW w:type="dxa" w:w="774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MF-02</w:t>
            </w:r>
          </w:p>
        </w:tc>
        <w:tc>
          <w:tcPr>
            <w:tcW w:type="dxa" w:w="3238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Teacher-controlled class, group and session stages / Teacher</w:t>
            </w:r>
          </w:p>
        </w:tc>
        <w:tc>
          <w:tcPr>
            <w:tcW w:type="dxa" w:w="5420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Start, pause, resume and close persist; one ready group cannot advance the whole class.</w:t>
            </w:r>
          </w:p>
        </w:tc>
      </w:tr>
      <w:tr>
        <w:trPr>
          <w:cantSplit/>
        </w:trPr>
        <w:tc>
          <w:tcPr>
            <w:tcW w:type="dxa" w:w="774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MF-03</w:t>
            </w:r>
          </w:p>
        </w:tc>
        <w:tc>
          <w:tcPr>
            <w:tcW w:type="dxa" w:w="3238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Collaborative drawing and recovery / Child, Teacher</w:t>
            </w:r>
          </w:p>
        </w:tc>
        <w:tc>
          <w:tcPr>
            <w:tcW w:type="dxa" w:w="5420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Each accepted operation persists once with its contributor; reconnect restores acknowledged sequence without relabeling earlier work.</w:t>
            </w:r>
          </w:p>
        </w:tc>
      </w:tr>
      <w:tr>
        <w:trPr>
          <w:cantSplit/>
        </w:trPr>
        <w:tc>
          <w:tcPr>
            <w:tcW w:type="dxa" w:w="774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MF-04</w:t>
            </w:r>
          </w:p>
        </w:tc>
        <w:tc>
          <w:tcPr>
            <w:tcW w:type="dxa" w:w="3238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Reviewed AI sketch assistance / Child, Teacher, AI</w:t>
            </w:r>
          </w:p>
        </w:tc>
        <w:tc>
          <w:tcPr>
            <w:tcW w:type="dxa" w:w="5420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Pending, unsafe, stale or failed output stays hidden; only Teacher-approved exact version is available to Child choice.</w:t>
            </w:r>
          </w:p>
        </w:tc>
      </w:tr>
      <w:tr>
        <w:trPr>
          <w:cantSplit/>
        </w:trPr>
        <w:tc>
          <w:tcPr>
            <w:tcW w:type="dxa" w:w="774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MF-05</w:t>
            </w:r>
          </w:p>
        </w:tc>
        <w:tc>
          <w:tcPr>
            <w:tcW w:type="dxa" w:w="3238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Reviewed knowledge/video and failure choice / Teacher, Child</w:t>
            </w:r>
          </w:p>
        </w:tc>
        <w:tc>
          <w:tcPr>
            <w:tcW w:type="dxa" w:w="5420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Exact reviewed version is shown; after retry limit Teacher explicitly retries, skips or ends; skip is never playback.</w:t>
            </w:r>
          </w:p>
        </w:tc>
      </w:tr>
      <w:tr>
        <w:trPr>
          <w:cantSplit/>
        </w:trPr>
        <w:tc>
          <w:tcPr>
            <w:tcW w:type="dxa" w:w="774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MF-06</w:t>
            </w:r>
          </w:p>
        </w:tc>
        <w:tc>
          <w:tcPr>
            <w:tcW w:type="dxa" w:w="3238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Off-screen activity, reflection and descriptive record / Teacher, Child</w:t>
            </w:r>
          </w:p>
        </w:tc>
        <w:tc>
          <w:tcPr>
            <w:tcW w:type="dxa" w:w="5420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Teacher records class/group activity and observation without individual ranking or unsupported ability inference.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t>7. Non-Functional Requirements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915"/>
        <w:gridCol w:w="4575"/>
        <w:gridCol w:w="3942"/>
      </w:tblGrid>
      <w:tr>
        <w:trPr>
          <w:tblHeader w:val="true"/>
          <w:cantSplit/>
        </w:trPr>
        <w:tc>
          <w:tcPr>
            <w:tcW w:type="dxa" w:w="915"/>
            <w:vAlign w:val="center"/>
            <w:shd w:fill="14243D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ID</w:t>
            </w:r>
          </w:p>
        </w:tc>
        <w:tc>
          <w:tcPr>
            <w:tcW w:type="dxa" w:w="4575"/>
            <w:vAlign w:val="center"/>
            <w:shd w:fill="14243D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Metric / threshold</w:t>
            </w:r>
          </w:p>
        </w:tc>
        <w:tc>
          <w:tcPr>
            <w:tcW w:type="dxa" w:w="3942"/>
            <w:vAlign w:val="center"/>
            <w:shd w:fill="14243D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Verification / status</w:t>
            </w:r>
          </w:p>
        </w:tc>
      </w:tr>
      <w:tr>
        <w:trPr>
          <w:cantSplit/>
        </w:trPr>
        <w:tc>
          <w:tcPr>
            <w:tcW w:type="dxa" w:w="915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NFR-01</w:t>
            </w:r>
          </w:p>
        </w:tc>
        <w:tc>
          <w:tcPr>
            <w:tcW w:type="dxa" w:w="4575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Accepted drawing acknowledgement p95 &lt;= 500 ms at 40 synthetic children.</w:t>
            </w:r>
          </w:p>
        </w:tc>
        <w:tc>
          <w:tcPr>
            <w:tcW w:type="dxa" w:w="3942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Load profile; candidate target, not measured.</w:t>
            </w:r>
          </w:p>
        </w:tc>
      </w:tr>
      <w:tr>
        <w:trPr>
          <w:cantSplit/>
        </w:trPr>
        <w:tc>
          <w:tcPr>
            <w:tcW w:type="dxa" w:w="915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NFR-02</w:t>
            </w:r>
          </w:p>
        </w:tc>
        <w:tc>
          <w:tcPr>
            <w:tcW w:type="dxa" w:w="4575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Accepted peer update visible p95 &lt;= 1 s at 40 synthetic children.</w:t>
            </w:r>
          </w:p>
        </w:tc>
        <w:tc>
          <w:tcPr>
            <w:tcW w:type="dxa" w:w="3942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Timed multi-client test; candidate target, not measured.</w:t>
            </w:r>
          </w:p>
        </w:tc>
      </w:tr>
      <w:tr>
        <w:trPr>
          <w:cantSplit/>
        </w:trPr>
        <w:tc>
          <w:tcPr>
            <w:tcW w:type="dxa" w:w="915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NFR-03</w:t>
            </w:r>
          </w:p>
        </w:tc>
        <w:tc>
          <w:tcPr>
            <w:tcW w:type="dxa" w:w="4575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100% unauthorized class/purpose requests denied; zero cross-class content leak.</w:t>
            </w:r>
          </w:p>
        </w:tc>
        <w:tc>
          <w:tcPr>
            <w:tcW w:type="dxa" w:w="3942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API/UI boundary negative suite; planned.</w:t>
            </w:r>
          </w:p>
        </w:tc>
      </w:tr>
      <w:tr>
        <w:trPr>
          <w:cantSplit/>
        </w:trPr>
        <w:tc>
          <w:tcPr>
            <w:tcW w:type="dxa" w:w="915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NFR-04</w:t>
            </w:r>
          </w:p>
        </w:tc>
        <w:tc>
          <w:tcPr>
            <w:tcW w:type="dxa" w:w="4575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100% acknowledged operations restored once after restart/reconnect; RPO/RTO TBD.</w:t>
            </w:r>
          </w:p>
        </w:tc>
        <w:tc>
          <w:tcPr>
            <w:tcW w:type="dxa" w:w="3942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Restart/replay suite; planned.</w:t>
            </w:r>
          </w:p>
        </w:tc>
      </w:tr>
      <w:tr>
        <w:trPr>
          <w:cantSplit/>
        </w:trPr>
        <w:tc>
          <w:tcPr>
            <w:tcW w:type="dxa" w:w="915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NFR-05</w:t>
            </w:r>
          </w:p>
        </w:tc>
        <w:tc>
          <w:tcPr>
            <w:tcW w:type="dxa" w:w="4575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Zero pending, stale, unsafe or unapproved version served to Child.</w:t>
            </w:r>
          </w:p>
        </w:tc>
        <w:tc>
          <w:tcPr>
            <w:tcW w:type="dxa" w:w="3942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Negative version/policy suite; planned.</w:t>
            </w:r>
          </w:p>
        </w:tc>
      </w:tr>
      <w:tr>
        <w:trPr>
          <w:cantSplit/>
        </w:trPr>
        <w:tc>
          <w:tcPr>
            <w:tcW w:type="dxa" w:w="915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NFR-06</w:t>
            </w:r>
          </w:p>
        </w:tc>
        <w:tc>
          <w:tcPr>
            <w:tcW w:type="dxa" w:w="4575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Session/artwork default purge at 90 days after session end; other data classes need policy.</w:t>
            </w:r>
          </w:p>
        </w:tc>
        <w:tc>
          <w:tcPr>
            <w:tcW w:type="dxa" w:w="3942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Clock-controlled retention/purge test; planned.</w:t>
            </w:r>
          </w:p>
        </w:tc>
      </w:tr>
    </w:tbl>
    <w:p>
      <w:pPr>
        <w:spacing w:after="20"/>
      </w:pPr>
    </w:p>
    <w:p>
      <w:pPr>
        <w:pageBreakBefore w:val="0"/>
        <w:spacing w:after="60" w:line="240" w:lineRule="auto"/>
      </w:pPr>
      <w:r>
        <w:t>Thresholds are candidate targets only. The 40-child pilot target is not a hard join cap and has not been measured; privacy, recovery and latency results are not yet established.</w:t>
      </w:r>
    </w:p>
    <w:p>
      <w:pPr>
        <w:pStyle w:val="Heading2"/>
        <w:keepNext/>
        <w:pageBreakBefore w:val="0"/>
      </w:pPr>
      <w:r>
        <w:t>8. Ownership Map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3942"/>
        <w:gridCol w:w="3026"/>
      </w:tblGrid>
      <w:tr>
        <w:trPr>
          <w:tblHeader w:val="true"/>
          <w:cantSplit/>
        </w:trPr>
        <w:tc>
          <w:tcPr>
            <w:tcW w:type="dxa" w:w="2464"/>
            <w:vAlign w:val="center"/>
            <w:shd w:fill="14243D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Member / role</w:t>
            </w:r>
          </w:p>
        </w:tc>
        <w:tc>
          <w:tcPr>
            <w:tcW w:type="dxa" w:w="3942"/>
            <w:vAlign w:val="center"/>
            <w:shd w:fill="14243D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Owned parts</w:t>
            </w:r>
          </w:p>
        </w:tc>
        <w:tc>
          <w:tcPr>
            <w:tcW w:type="dxa" w:w="3026"/>
            <w:vAlign w:val="center"/>
            <w:shd w:fill="14243D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Main workflow / trace</w:t>
            </w:r>
          </w:p>
        </w:tc>
      </w:tr>
      <w:tr>
        <w:trPr>
          <w:cantSplit/>
        </w:trPr>
        <w:tc>
          <w:tcPr>
            <w:tcW w:type="dxa" w:w="2464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Vũ Chí Bảo | FE</w:t>
            </w:r>
          </w:p>
        </w:tc>
        <w:tc>
          <w:tcPr>
            <w:tcW w:type="dxa" w:w="3942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Child Android screens, join/drawing interaction, acceptance</w:t>
            </w:r>
          </w:p>
        </w:tc>
        <w:tc>
          <w:tcPr>
            <w:tcW w:type="dxa" w:w="3026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WF-02; D2; FR014-021.</w:t>
            </w:r>
          </w:p>
        </w:tc>
      </w:tr>
      <w:tr>
        <w:trPr>
          <w:cantSplit/>
        </w:trPr>
        <w:tc>
          <w:tcPr>
            <w:tcW w:type="dxa" w:w="2464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Đỗ Cao Đạt | Leader / Full-stack</w:t>
            </w:r>
          </w:p>
        </w:tc>
        <w:tc>
          <w:tcPr>
            <w:tcW w:type="dxa" w:w="3942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Cross-surface integration, requirements traceability, acceptance coordination</w:t>
            </w:r>
          </w:p>
        </w:tc>
        <w:tc>
          <w:tcPr>
            <w:tcW w:type="dxa" w:w="3026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WF-04; D1; FR031-048.</w:t>
            </w:r>
          </w:p>
        </w:tc>
      </w:tr>
      <w:tr>
        <w:trPr>
          <w:cantSplit/>
        </w:trPr>
        <w:tc>
          <w:tcPr>
            <w:tcW w:type="dxa" w:w="2464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Phạm Tấn Hiếu | BE2</w:t>
            </w:r>
          </w:p>
        </w:tc>
        <w:tc>
          <w:tcPr>
            <w:tcW w:type="dxa" w:w="3942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AI job/provider boundary, sketch review, knowledge/video safety</w:t>
            </w:r>
          </w:p>
        </w:tc>
        <w:tc>
          <w:tcPr>
            <w:tcW w:type="dxa" w:w="3026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WF-03; D4/D5; FR022-030, 034-040.</w:t>
            </w:r>
          </w:p>
        </w:tc>
      </w:tr>
      <w:tr>
        <w:trPr>
          <w:cantSplit/>
        </w:trPr>
        <w:tc>
          <w:tcPr>
            <w:tcW w:type="dxa" w:w="2464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Lý Anh Khoa | BE1</w:t>
            </w:r>
          </w:p>
        </w:tc>
        <w:tc>
          <w:tcPr>
            <w:tcW w:type="dxa" w:w="3942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Classroom API, persistence/migrations, session/recovery contract</w:t>
            </w:r>
          </w:p>
        </w:tc>
        <w:tc>
          <w:tcPr>
            <w:tcW w:type="dxa" w:w="3026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WF-01; D3; FR001-017.</w:t>
            </w:r>
          </w:p>
        </w:tc>
      </w:tr>
    </w:tbl>
    <w:p>
      <w:pPr>
        <w:spacing w:after="20"/>
      </w:pPr>
    </w:p>
    <w:p>
      <w:pPr>
        <w:pageBreakBefore w:val="0"/>
        <w:spacing w:after="60" w:line="240" w:lineRule="auto"/>
      </w:pPr>
      <w:r>
        <w:rPr>
          <w:rFonts w:ascii="Arial" w:hAnsi="Arial"/>
          <w:b/>
          <w:i w:val="0"/>
          <w:sz w:val="30"/>
        </w:rPr>
        <w:t>Appendix A. Defense 1.1 Targets</w:t>
      </w:r>
    </w:p>
    <w:p>
      <w:pPr>
        <w:pStyle w:val="Heading3"/>
        <w:keepNext/>
        <w:pageBreakBefore w:val="0"/>
      </w:pPr>
      <w:r>
        <w:t>A1. Main Workflows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774"/>
        <w:gridCol w:w="2816"/>
        <w:gridCol w:w="4927"/>
        <w:gridCol w:w="915"/>
      </w:tblGrid>
      <w:tr>
        <w:trPr>
          <w:tblHeader w:val="true"/>
          <w:cantSplit/>
        </w:trPr>
        <w:tc>
          <w:tcPr>
            <w:tcW w:type="dxa" w:w="774"/>
            <w:vAlign w:val="center"/>
            <w:shd w:fill="14243D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ID</w:t>
            </w:r>
          </w:p>
        </w:tc>
        <w:tc>
          <w:tcPr>
            <w:tcW w:type="dxa" w:w="2816"/>
            <w:vAlign w:val="center"/>
            <w:shd w:fill="14243D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Workflow / actors</w:t>
            </w:r>
          </w:p>
        </w:tc>
        <w:tc>
          <w:tcPr>
            <w:tcW w:type="dxa" w:w="4927"/>
            <w:vAlign w:val="center"/>
            <w:shd w:fill="14243D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Trigger and expected state change</w:t>
            </w:r>
          </w:p>
        </w:tc>
        <w:tc>
          <w:tcPr>
            <w:tcW w:type="dxa" w:w="915"/>
            <w:vAlign w:val="center"/>
            <w:shd w:fill="14243D"/>
          </w:tcPr>
          <w:p>
            <w:r>
              <w:rPr>
                <w:rFonts w:ascii="Arial" w:hAnsi="Arial"/>
              </w:rPr>
              <w:t>Lead</w:t>
            </w:r>
          </w:p>
        </w:tc>
      </w:tr>
      <w:tr>
        <w:trPr>
          <w:cantSplit/>
        </w:trPr>
        <w:tc>
          <w:tcPr>
            <w:tcW w:type="dxa" w:w="774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WF-01</w:t>
            </w:r>
          </w:p>
        </w:tc>
        <w:tc>
          <w:tcPr>
            <w:tcW w:type="dxa" w:w="2816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Prepare and admit class session / Teacher, Child, Backend</w:t>
            </w:r>
          </w:p>
        </w:tc>
        <w:tc>
          <w:tcPr>
            <w:tcW w:type="dxa" w:w="4927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Teacher configures class; code join is checked; membership is admitted; Session Lobby -&gt; Active.</w:t>
            </w:r>
          </w:p>
        </w:tc>
        <w:tc>
          <w:tcPr>
            <w:tcW w:type="dxa" w:w="915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Khoa</w:t>
            </w:r>
          </w:p>
        </w:tc>
      </w:tr>
      <w:tr>
        <w:trPr>
          <w:cantSplit/>
        </w:trPr>
        <w:tc>
          <w:tcPr>
            <w:tcW w:type="dxa" w:w="774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WF-02</w:t>
            </w:r>
          </w:p>
        </w:tc>
        <w:tc>
          <w:tcPr>
            <w:tcW w:type="dxa" w:w="2816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Draw and recover shared canvas / Child, Teacher, Backend</w:t>
            </w:r>
          </w:p>
        </w:tc>
        <w:tc>
          <w:tcPr>
            <w:tcW w:type="dxa" w:w="4927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Accepted operations advance canvas revision; reconnect replays accepted sequence; attribution is preserved.</w:t>
            </w:r>
          </w:p>
        </w:tc>
        <w:tc>
          <w:tcPr>
            <w:tcW w:type="dxa" w:w="915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Bảo</w:t>
            </w:r>
          </w:p>
        </w:tc>
      </w:tr>
      <w:tr>
        <w:trPr>
          <w:cantSplit/>
        </w:trPr>
        <w:tc>
          <w:tcPr>
            <w:tcW w:type="dxa" w:w="774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WF-03</w:t>
            </w:r>
          </w:p>
        </w:tc>
        <w:tc>
          <w:tcPr>
            <w:tcW w:type="dxa" w:w="2816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Request and review AI sketch / Child, Teacher, AI service</w:t>
            </w:r>
          </w:p>
        </w:tc>
        <w:tc>
          <w:tcPr>
            <w:tcW w:type="dxa" w:w="4927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A scoped job becomes a reviewed proposal; Child choice is recorded; source artwork remains unchanged.</w:t>
            </w:r>
          </w:p>
        </w:tc>
        <w:tc>
          <w:tcPr>
            <w:tcW w:type="dxa" w:w="915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Hiếu</w:t>
            </w:r>
          </w:p>
        </w:tc>
      </w:tr>
      <w:tr>
        <w:trPr>
          <w:cantSplit/>
        </w:trPr>
        <w:tc>
          <w:tcPr>
            <w:tcW w:type="dxa" w:w="774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WF-04</w:t>
            </w:r>
          </w:p>
        </w:tc>
        <w:tc>
          <w:tcPr>
            <w:tcW w:type="dxa" w:w="2816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Review learning/video and close / Teacher, Child, media service</w:t>
            </w:r>
          </w:p>
        </w:tc>
        <w:tc>
          <w:tcPr>
            <w:tcW w:type="dxa" w:w="4927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Exact reviewed media or explicit skip is recorded; activity/observation saves before session close.</w:t>
            </w:r>
          </w:p>
        </w:tc>
        <w:tc>
          <w:tcPr>
            <w:tcW w:type="dxa" w:w="915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Đạt</w:t>
            </w:r>
          </w:p>
        </w:tc>
      </w:tr>
    </w:tbl>
    <w:p>
      <w:pPr>
        <w:spacing w:after="20"/>
      </w:pPr>
    </w:p>
    <w:p>
      <w:pPr>
        <w:pageBreakBefore w:val="0"/>
        <w:spacing w:after="60" w:line="240" w:lineRule="auto"/>
      </w:pPr>
      <w:r>
        <w:t>The four workflows map to four activity diagrams in the Draw.io appendix. WF-03/WF-04 diagrams are target designs, not completed demonstrations.</w:t>
      </w:r>
    </w:p>
    <w:p>
      <w:pPr>
        <w:pStyle w:val="Heading3"/>
        <w:keepNext/>
        <w:pageBreakBefore w:val="0"/>
      </w:pPr>
      <w:r>
        <w:t>A2. Demo Scenarios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774"/>
        <w:gridCol w:w="1549"/>
        <w:gridCol w:w="6194"/>
        <w:gridCol w:w="915"/>
      </w:tblGrid>
      <w:tr>
        <w:trPr>
          <w:tblHeader w:val="true"/>
          <w:cantSplit/>
        </w:trPr>
        <w:tc>
          <w:tcPr>
            <w:tcW w:type="dxa" w:w="774"/>
            <w:vAlign w:val="center"/>
            <w:shd w:fill="14243D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ID</w:t>
            </w:r>
          </w:p>
        </w:tc>
        <w:tc>
          <w:tcPr>
            <w:tcW w:type="dxa" w:w="1549"/>
            <w:vAlign w:val="center"/>
            <w:shd w:fill="14243D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Path</w:t>
            </w:r>
          </w:p>
        </w:tc>
        <w:tc>
          <w:tcPr>
            <w:tcW w:type="dxa" w:w="6194"/>
            <w:vAlign w:val="center"/>
            <w:shd w:fill="14243D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Scenario / expected result</w:t>
            </w:r>
          </w:p>
        </w:tc>
        <w:tc>
          <w:tcPr>
            <w:tcW w:type="dxa" w:w="915"/>
            <w:vAlign w:val="center"/>
            <w:shd w:fill="14243D"/>
          </w:tcPr>
          <w:p>
            <w:r>
              <w:rPr>
                <w:rFonts w:ascii="Arial" w:hAnsi="Arial"/>
              </w:rPr>
              <w:t>Lead</w:t>
            </w:r>
          </w:p>
        </w:tc>
      </w:tr>
      <w:tr>
        <w:trPr>
          <w:cantSplit/>
        </w:trPr>
        <w:tc>
          <w:tcPr>
            <w:tcW w:type="dxa" w:w="774"/>
            <w:vAlign w:val="center"/>
            <w:shd w:fill="F3F5F8"/>
          </w:tcPr>
          <w:p>
            <w:r>
              <w:rPr>
                <w:rFonts w:ascii="Arial" w:hAnsi="Arial"/>
              </w:rPr>
              <w:t>DS-01</w:t>
            </w:r>
          </w:p>
        </w:tc>
        <w:tc>
          <w:tcPr>
            <w:tcW w:type="dxa" w:w="1549"/>
            <w:vAlign w:val="center"/>
            <w:shd w:fill="F3F5F8"/>
          </w:tcPr>
          <w:p>
            <w:r>
              <w:rPr>
                <w:rFonts w:ascii="Arial" w:hAnsi="Arial"/>
              </w:rPr>
              <w:t>WF-01 main</w:t>
            </w:r>
          </w:p>
        </w:tc>
        <w:tc>
          <w:tcPr>
            <w:tcW w:type="dxa" w:w="6194"/>
            <w:vAlign w:val="center"/>
            <w:shd w:fill="F3F5F8"/>
          </w:tcPr>
          <w:p>
            <w:r>
              <w:rPr>
                <w:rFonts w:ascii="Arial" w:hAnsi="Arial"/>
              </w:rPr>
              <w:t>Preconditions / synthetic data: assigned class C-TEST; draft session S-01; managed profile P-01; valid join code J-01.</w:t>
              <w:br/>
              <w:t>Steps: Teacher configures the session and opens the lobby; Child submits J-01; Teacher checks the roster and admits P-01; Teacher explicitly starts.</w:t>
              <w:br/>
              <w:t>Expected observable result: one active membership, scoped device grant and active session appear on the two surfaces; no duplicate member is created.</w:t>
            </w:r>
          </w:p>
        </w:tc>
        <w:tc>
          <w:tcPr>
            <w:tcW w:type="dxa" w:w="915"/>
            <w:vAlign w:val="center"/>
            <w:shd w:fill="F3F5F8"/>
          </w:tcPr>
          <w:p>
            <w:r>
              <w:rPr>
                <w:rFonts w:ascii="Arial" w:hAnsi="Arial"/>
              </w:rPr>
              <w:t>Khoa</w:t>
            </w:r>
          </w:p>
        </w:tc>
      </w:tr>
      <w:tr>
        <w:trPr>
          <w:cantSplit/>
        </w:trPr>
        <w:tc>
          <w:tcPr>
            <w:tcW w:type="dxa" w:w="774"/>
            <w:vAlign w:val="center"/>
          </w:tcPr>
          <w:p>
            <w:r>
              <w:rPr>
                <w:rFonts w:ascii="Arial" w:hAnsi="Arial"/>
              </w:rPr>
              <w:t>DS-02</w:t>
            </w:r>
          </w:p>
        </w:tc>
        <w:tc>
          <w:tcPr>
            <w:tcW w:type="dxa" w:w="1549"/>
            <w:vAlign w:val="center"/>
          </w:tcPr>
          <w:p>
            <w:r>
              <w:rPr>
                <w:rFonts w:ascii="Arial" w:hAnsi="Arial"/>
              </w:rPr>
              <w:t>WF-01 exception</w:t>
            </w:r>
          </w:p>
        </w:tc>
        <w:tc>
          <w:tcPr>
            <w:tcW w:type="dxa" w:w="6194"/>
            <w:vAlign w:val="center"/>
          </w:tcPr>
          <w:p>
            <w:r>
              <w:rPr>
                <w:rFonts w:ascii="Arial" w:hAnsi="Arial"/>
              </w:rPr>
              <w:t>Preconditions / synthetic data: class C-TEST; expired code J-OLD and wrong-class code J-OTHER; no membership for P-02.</w:t>
              <w:br/>
              <w:t>Steps: Submit each code for P-02; inspect Teacher roster and backend result after each request.</w:t>
              <w:br/>
              <w:t>Expected observable result: both requests are denied with safe reasons; P-02 remains absent and no device grant or membership is persisted.</w:t>
            </w:r>
          </w:p>
        </w:tc>
        <w:tc>
          <w:tcPr>
            <w:tcW w:type="dxa" w:w="915"/>
            <w:vAlign w:val="center"/>
          </w:tcPr>
          <w:p>
            <w:r>
              <w:rPr>
                <w:rFonts w:ascii="Arial" w:hAnsi="Arial"/>
              </w:rPr>
              <w:t>Khoa</w:t>
            </w:r>
          </w:p>
        </w:tc>
      </w:tr>
      <w:tr>
        <w:trPr>
          <w:cantSplit/>
        </w:trPr>
        <w:tc>
          <w:tcPr>
            <w:tcW w:type="dxa" w:w="774"/>
            <w:vAlign w:val="center"/>
            <w:shd w:fill="F3F5F8"/>
          </w:tcPr>
          <w:p>
            <w:r>
              <w:rPr>
                <w:rFonts w:ascii="Arial" w:hAnsi="Arial"/>
              </w:rPr>
              <w:t>DS-03</w:t>
            </w:r>
          </w:p>
        </w:tc>
        <w:tc>
          <w:tcPr>
            <w:tcW w:type="dxa" w:w="1549"/>
            <w:vAlign w:val="center"/>
            <w:shd w:fill="F3F5F8"/>
          </w:tcPr>
          <w:p>
            <w:r>
              <w:rPr>
                <w:rFonts w:ascii="Arial" w:hAnsi="Arial"/>
              </w:rPr>
              <w:t>WF-02 main</w:t>
            </w:r>
          </w:p>
        </w:tc>
        <w:tc>
          <w:tcPr>
            <w:tcW w:type="dxa" w:w="6194"/>
            <w:vAlign w:val="center"/>
            <w:shd w:fill="F3F5F8"/>
          </w:tcPr>
          <w:p>
            <w:r>
              <w:rPr>
                <w:rFonts w:ascii="Arial" w:hAnsi="Arial"/>
              </w:rPr>
              <w:t>Preconditions / synthetic data: active session S-02; admitted profiles P-01/P-02; shared canvas revision 0; synthetic stroke IDs OP-01/OP-02.</w:t>
              <w:br/>
              <w:t>Steps: Both Children submit a stroke; Teacher pauses and resumes; reconnect one client from its last acknowledged sequence.</w:t>
              <w:br/>
              <w:t>Expected observable result: each accepted operation appears once with its original contributor and sequence; reconnect restores the acknowledged canvas; pause/resume does not rewrite attribution.</w:t>
            </w:r>
          </w:p>
        </w:tc>
        <w:tc>
          <w:tcPr>
            <w:tcW w:type="dxa" w:w="915"/>
            <w:vAlign w:val="center"/>
            <w:shd w:fill="F3F5F8"/>
          </w:tcPr>
          <w:p>
            <w:r>
              <w:rPr>
                <w:rFonts w:ascii="Arial" w:hAnsi="Arial"/>
              </w:rPr>
              <w:t>Bảo</w:t>
            </w:r>
          </w:p>
        </w:tc>
      </w:tr>
      <w:tr>
        <w:trPr>
          <w:cantSplit/>
        </w:trPr>
        <w:tc>
          <w:tcPr>
            <w:tcW w:type="dxa" w:w="774"/>
            <w:vAlign w:val="center"/>
          </w:tcPr>
          <w:p>
            <w:r>
              <w:rPr>
                <w:rFonts w:ascii="Arial" w:hAnsi="Arial"/>
              </w:rPr>
              <w:t>DS-04</w:t>
            </w:r>
          </w:p>
        </w:tc>
        <w:tc>
          <w:tcPr>
            <w:tcW w:type="dxa" w:w="1549"/>
            <w:vAlign w:val="center"/>
          </w:tcPr>
          <w:p>
            <w:r>
              <w:rPr>
                <w:rFonts w:ascii="Arial" w:hAnsi="Arial"/>
              </w:rPr>
              <w:t>WF-02 exception</w:t>
            </w:r>
          </w:p>
        </w:tc>
        <w:tc>
          <w:tcPr>
            <w:tcW w:type="dxa" w:w="6194"/>
            <w:vAlign w:val="center"/>
          </w:tcPr>
          <w:p>
            <w:r>
              <w:rPr>
                <w:rFonts w:ascii="Arial" w:hAnsi="Arial"/>
              </w:rPr>
              <w:t>Preconditions / synthetic data: active session S-03; canvas revision 4; OP-03 is pending and OP-CONFLICT reuses a prior operation ID with a different payload.</w:t>
              <w:br/>
              <w:t>Steps: Replay OP-03 after reconnect; submit the conflicting duplicate; inspect receipt and canvas revision.</w:t>
              <w:br/>
              <w:t>Expected observable result: the identical retry returns the original durable receipt and mutates once; the conflicting duplicate is rejected without changing saved canvas state.</w:t>
            </w:r>
          </w:p>
        </w:tc>
        <w:tc>
          <w:tcPr>
            <w:tcW w:type="dxa" w:w="915"/>
            <w:vAlign w:val="center"/>
          </w:tcPr>
          <w:p>
            <w:r>
              <w:rPr>
                <w:rFonts w:ascii="Arial" w:hAnsi="Arial"/>
              </w:rPr>
              <w:t>Bảo</w:t>
            </w:r>
          </w:p>
        </w:tc>
      </w:tr>
      <w:tr>
        <w:trPr>
          <w:cantSplit/>
        </w:trPr>
        <w:tc>
          <w:tcPr>
            <w:tcW w:type="dxa" w:w="774"/>
            <w:vAlign w:val="center"/>
            <w:shd w:fill="F3F5F8"/>
          </w:tcPr>
          <w:p>
            <w:r>
              <w:rPr>
                <w:rFonts w:ascii="Arial" w:hAnsi="Arial"/>
              </w:rPr>
              <w:t>DS-05</w:t>
            </w:r>
          </w:p>
        </w:tc>
        <w:tc>
          <w:tcPr>
            <w:tcW w:type="dxa" w:w="1549"/>
            <w:vAlign w:val="center"/>
            <w:shd w:fill="F3F5F8"/>
          </w:tcPr>
          <w:p>
            <w:r>
              <w:rPr>
                <w:rFonts w:ascii="Arial" w:hAnsi="Arial"/>
              </w:rPr>
              <w:t>WF-03 main</w:t>
            </w:r>
          </w:p>
        </w:tc>
        <w:tc>
          <w:tcPr>
            <w:tcW w:type="dxa" w:w="6194"/>
            <w:vAlign w:val="center"/>
            <w:shd w:fill="F3F5F8"/>
          </w:tcPr>
          <w:p>
            <w:r>
              <w:rPr>
                <w:rFonts w:ascii="Arial" w:hAnsi="Arial"/>
              </w:rPr>
              <w:t>Preconditions / synthetic data: Child artwork version ART-01; allowed group purpose; synthetic safe suggestion SK-01; Teacher review authority.</w:t>
              <w:br/>
              <w:t>Steps: Child requests assistance; Teacher reviews the exact source hash and approves SK-01; Child views, hides, then declines the suggestion.</w:t>
              <w:br/>
              <w:t>Expected observable result: approval is tied to the reviewed version; Child choice is recorded; original strokes and artwork remain unchanged.</w:t>
            </w:r>
          </w:p>
        </w:tc>
        <w:tc>
          <w:tcPr>
            <w:tcW w:type="dxa" w:w="915"/>
            <w:vAlign w:val="center"/>
            <w:shd w:fill="F3F5F8"/>
          </w:tcPr>
          <w:p>
            <w:r>
              <w:rPr>
                <w:rFonts w:ascii="Arial" w:hAnsi="Arial"/>
              </w:rPr>
              <w:t>Hiếu</w:t>
            </w:r>
          </w:p>
        </w:tc>
      </w:tr>
      <w:tr>
        <w:trPr>
          <w:cantSplit/>
        </w:trPr>
        <w:tc>
          <w:tcPr>
            <w:tcW w:type="dxa" w:w="774"/>
            <w:vAlign w:val="center"/>
          </w:tcPr>
          <w:p>
            <w:r>
              <w:rPr>
                <w:rFonts w:ascii="Arial" w:hAnsi="Arial"/>
              </w:rPr>
              <w:t>DS-06</w:t>
            </w:r>
          </w:p>
        </w:tc>
        <w:tc>
          <w:tcPr>
            <w:tcW w:type="dxa" w:w="1549"/>
            <w:vAlign w:val="center"/>
          </w:tcPr>
          <w:p>
            <w:r>
              <w:rPr>
                <w:rFonts w:ascii="Arial" w:hAnsi="Arial"/>
              </w:rPr>
              <w:t>WF-03 exception</w:t>
            </w:r>
          </w:p>
        </w:tc>
        <w:tc>
          <w:tcPr>
            <w:tcW w:type="dxa" w:w="6194"/>
            <w:vAlign w:val="center"/>
          </w:tcPr>
          <w:p>
            <w:r>
              <w:rPr>
                <w:rFonts w:ascii="Arial" w:hAnsi="Arial"/>
              </w:rPr>
              <w:t>Preconditions / synthetic data: jobs JOB-STALE and JOB-UNSAFE with a changed source hash and an unsafe typed result.</w:t>
              <w:br/>
              <w:t>Steps: Return each result to the review flow; inspect Child availability and Teacher status.</w:t>
              <w:br/>
              <w:t>Expected observable result: neither result is exposed to Child; the stale/unsafe reason is typed and visible to Teacher; source artwork remains intact.</w:t>
            </w:r>
          </w:p>
        </w:tc>
        <w:tc>
          <w:tcPr>
            <w:tcW w:type="dxa" w:w="915"/>
            <w:vAlign w:val="center"/>
          </w:tcPr>
          <w:p>
            <w:r>
              <w:rPr>
                <w:rFonts w:ascii="Arial" w:hAnsi="Arial"/>
              </w:rPr>
              <w:t>Hiếu</w:t>
            </w:r>
          </w:p>
        </w:tc>
      </w:tr>
      <w:tr>
        <w:trPr>
          <w:cantSplit/>
        </w:trPr>
        <w:tc>
          <w:tcPr>
            <w:tcW w:type="dxa" w:w="774"/>
            <w:vAlign w:val="center"/>
            <w:shd w:fill="F3F5F8"/>
          </w:tcPr>
          <w:p>
            <w:r>
              <w:rPr>
                <w:rFonts w:ascii="Arial" w:hAnsi="Arial"/>
              </w:rPr>
              <w:t>DS-07</w:t>
            </w:r>
          </w:p>
        </w:tc>
        <w:tc>
          <w:tcPr>
            <w:tcW w:type="dxa" w:w="1549"/>
            <w:vAlign w:val="center"/>
            <w:shd w:fill="F3F5F8"/>
          </w:tcPr>
          <w:p>
            <w:r>
              <w:rPr>
                <w:rFonts w:ascii="Arial" w:hAnsi="Arial"/>
              </w:rPr>
              <w:t>WF-04 main</w:t>
            </w:r>
          </w:p>
        </w:tc>
        <w:tc>
          <w:tcPr>
            <w:tcW w:type="dxa" w:w="6194"/>
            <w:vAlign w:val="center"/>
            <w:shd w:fill="F3F5F8"/>
          </w:tcPr>
          <w:p>
            <w:r>
              <w:rPr>
                <w:rFonts w:ascii="Arial" w:hAnsi="Arial"/>
              </w:rPr>
              <w:t>Preconditions / synthetic data: approved media version VID-01 for class C-TEST; reviewed activity ACT-01; descriptive observation OBS-01.</w:t>
              <w:br/>
              <w:t>Steps: Teacher checks the exact audience/version and approves playback; facilitates the off-screen activity; records OBS-01 and saves the session outcome.</w:t>
              <w:br/>
              <w:t>Expected observable result: only VID-01 is played; activity, descriptive observation and outcome are persisted before session closure; no diagnostic inference is produced.</w:t>
            </w:r>
          </w:p>
        </w:tc>
        <w:tc>
          <w:tcPr>
            <w:tcW w:type="dxa" w:w="915"/>
            <w:vAlign w:val="center"/>
            <w:shd w:fill="F3F5F8"/>
          </w:tcPr>
          <w:p>
            <w:r>
              <w:rPr>
                <w:rFonts w:ascii="Arial" w:hAnsi="Arial"/>
              </w:rPr>
              <w:t>Đạt</w:t>
            </w:r>
          </w:p>
        </w:tc>
      </w:tr>
      <w:tr>
        <w:trPr>
          <w:cantSplit/>
        </w:trPr>
        <w:tc>
          <w:tcPr>
            <w:tcW w:type="dxa" w:w="774"/>
            <w:vAlign w:val="center"/>
          </w:tcPr>
          <w:p>
            <w:r>
              <w:rPr>
                <w:rFonts w:ascii="Arial" w:hAnsi="Arial"/>
              </w:rPr>
              <w:t>DS-08</w:t>
            </w:r>
          </w:p>
        </w:tc>
        <w:tc>
          <w:tcPr>
            <w:tcW w:type="dxa" w:w="1549"/>
            <w:vAlign w:val="center"/>
          </w:tcPr>
          <w:p>
            <w:r>
              <w:rPr>
                <w:rFonts w:ascii="Arial" w:hAnsi="Arial"/>
              </w:rPr>
              <w:t>WF-04 exception</w:t>
            </w:r>
          </w:p>
        </w:tc>
        <w:tc>
          <w:tcPr>
            <w:tcW w:type="dxa" w:w="6194"/>
            <w:vAlign w:val="center"/>
          </w:tcPr>
          <w:p>
            <w:r>
              <w:rPr>
                <w:rFonts w:ascii="Arial" w:hAnsi="Arial"/>
              </w:rPr>
              <w:t>Preconditions / synthetic data: media job JOB-FAIL has exhausted retries; approved alternate media absent; session S-04 has saved work.</w:t>
              <w:br/>
              <w:t>Steps: Teacher reviews the typed failure and explicitly selects Skip; inspect playback and session outcome records.</w:t>
              <w:br/>
              <w:t>Expected observable result: skip disposition is recorded; no video is marked played; completed work remains and the session records the selected non-success outcome.</w:t>
            </w:r>
          </w:p>
        </w:tc>
        <w:tc>
          <w:tcPr>
            <w:tcW w:type="dxa" w:w="915"/>
            <w:vAlign w:val="center"/>
          </w:tcPr>
          <w:p>
            <w:r>
              <w:rPr>
                <w:rFonts w:ascii="Arial" w:hAnsi="Arial"/>
              </w:rPr>
              <w:t>Đạt</w:t>
            </w:r>
          </w:p>
        </w:tc>
      </w:tr>
    </w:tbl>
    <w:p>
      <w:pPr>
        <w:spacing w:after="20"/>
      </w:pPr>
    </w:p>
    <w:p>
      <w:pPr>
        <w:pStyle w:val="Heading3"/>
        <w:keepNext/>
        <w:pageBreakBefore w:val="0"/>
      </w:pPr>
      <w:r>
        <w:t>A3. Functional Test Case Target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3519"/>
        <w:gridCol w:w="1408"/>
        <w:gridCol w:w="2112"/>
        <w:gridCol w:w="2393"/>
      </w:tblGrid>
      <w:tr>
        <w:trPr>
          <w:tblHeader w:val="true"/>
          <w:cantSplit/>
        </w:trPr>
        <w:tc>
          <w:tcPr>
            <w:tcW w:type="dxa" w:w="3519"/>
            <w:vAlign w:val="center"/>
            <w:shd w:fill="14243D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Source</w:t>
            </w:r>
          </w:p>
        </w:tc>
        <w:tc>
          <w:tcPr>
            <w:tcW w:type="dxa" w:w="1408"/>
            <w:vAlign w:val="center"/>
            <w:shd w:fill="14243D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Count</w:t>
            </w:r>
          </w:p>
        </w:tc>
        <w:tc>
          <w:tcPr>
            <w:tcW w:type="dxa" w:w="2112"/>
            <w:vAlign w:val="center"/>
            <w:shd w:fill="14243D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Minimum / item</w:t>
            </w:r>
          </w:p>
        </w:tc>
        <w:tc>
          <w:tcPr>
            <w:tcW w:type="dxa" w:w="2393"/>
            <w:vAlign w:val="center"/>
            <w:shd w:fill="14243D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Target</w:t>
            </w:r>
          </w:p>
        </w:tc>
      </w:tr>
      <w:tr>
        <w:trPr>
          <w:cantSplit/>
        </w:trPr>
        <w:tc>
          <w:tcPr>
            <w:tcW w:type="dxa" w:w="3519"/>
            <w:vAlign w:val="center"/>
            <w:shd w:fill="F3F5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Mandatory features</w:t>
            </w:r>
          </w:p>
        </w:tc>
        <w:tc>
          <w:tcPr>
            <w:tcW w:type="dxa" w:w="1408"/>
            <w:vAlign w:val="center"/>
            <w:shd w:fill="F3F5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2112"/>
            <w:vAlign w:val="center"/>
            <w:shd w:fill="F3F5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2393"/>
            <w:vAlign w:val="center"/>
            <w:shd w:fill="F3F5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18</w:t>
            </w:r>
          </w:p>
        </w:tc>
      </w:tr>
      <w:tr>
        <w:trPr>
          <w:cantSplit/>
        </w:trPr>
        <w:tc>
          <w:tcPr>
            <w:tcW w:type="dxa" w:w="351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Main workflows</w:t>
            </w:r>
          </w:p>
        </w:tc>
        <w:tc>
          <w:tcPr>
            <w:tcW w:type="dxa" w:w="1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2112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393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3519"/>
            <w:vAlign w:val="center"/>
            <w:shd w:fill="F3F5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Candidate measurable NFR rows</w:t>
            </w:r>
          </w:p>
        </w:tc>
        <w:tc>
          <w:tcPr>
            <w:tcW w:type="dxa" w:w="1408"/>
            <w:vAlign w:val="center"/>
            <w:shd w:fill="F3F5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2112"/>
            <w:vAlign w:val="center"/>
            <w:shd w:fill="F3F5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393"/>
            <w:vAlign w:val="center"/>
            <w:shd w:fill="F3F5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351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Representative legal state transitions</w:t>
            </w:r>
          </w:p>
        </w:tc>
        <w:tc>
          <w:tcPr>
            <w:tcW w:type="dxa" w:w="1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15 registries</w:t>
            </w:r>
          </w:p>
        </w:tc>
        <w:tc>
          <w:tcPr>
            <w:tcW w:type="dxa" w:w="2112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2 per registry</w:t>
            </w:r>
          </w:p>
        </w:tc>
        <w:tc>
          <w:tcPr>
            <w:tcW w:type="dxa" w:w="2393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30</w:t>
            </w:r>
          </w:p>
        </w:tc>
      </w:tr>
      <w:tr>
        <w:trPr>
          <w:cantSplit/>
        </w:trPr>
        <w:tc>
          <w:tcPr>
            <w:tcW w:type="dxa" w:w="3519"/>
            <w:vAlign w:val="center"/>
            <w:shd w:fill="F3F5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Rejected / illegal state transitions</w:t>
            </w:r>
          </w:p>
        </w:tc>
        <w:tc>
          <w:tcPr>
            <w:tcW w:type="dxa" w:w="1408"/>
            <w:vAlign w:val="center"/>
            <w:shd w:fill="F3F5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15 registries</w:t>
            </w:r>
          </w:p>
        </w:tc>
        <w:tc>
          <w:tcPr>
            <w:tcW w:type="dxa" w:w="2112"/>
            <w:vAlign w:val="center"/>
            <w:shd w:fill="F3F5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1 per registry</w:t>
            </w:r>
          </w:p>
        </w:tc>
        <w:tc>
          <w:tcPr>
            <w:tcW w:type="dxa" w:w="2393"/>
            <w:vAlign w:val="center"/>
            <w:shd w:fill="F3F5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351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Total proposed target</w:t>
            </w:r>
          </w:p>
        </w:tc>
        <w:tc>
          <w:tcPr>
            <w:tcW w:type="dxa" w:w="1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2112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18 + 4 + 6 + 30 + 15</w:t>
            </w:r>
          </w:p>
        </w:tc>
        <w:tc>
          <w:tcPr>
            <w:tcW w:type="dxa" w:w="2393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73 planning cases</w:t>
            </w:r>
          </w:p>
        </w:tc>
      </w:tr>
      <w:tr>
        <w:trPr>
          <w:cantSplit/>
        </w:trPr>
        <w:tc>
          <w:tcPr>
            <w:tcW w:type="dxa" w:w="3519"/>
            <w:vAlign w:val="center"/>
            <w:shd w:fill="F3F5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Automated-in-CI planning floor</w:t>
            </w:r>
          </w:p>
        </w:tc>
        <w:tc>
          <w:tcPr>
            <w:tcW w:type="dxa" w:w="1408"/>
            <w:vAlign w:val="center"/>
            <w:shd w:fill="F3F5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≥50% of target</w:t>
            </w:r>
          </w:p>
        </w:tc>
        <w:tc>
          <w:tcPr>
            <w:tcW w:type="dxa" w:w="2112"/>
            <w:vAlign w:val="center"/>
            <w:shd w:fill="F3F5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round up</w:t>
            </w:r>
          </w:p>
        </w:tc>
        <w:tc>
          <w:tcPr>
            <w:tcW w:type="dxa" w:w="2393"/>
            <w:vAlign w:val="center"/>
            <w:shd w:fill="F3F5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37 proposed cases</w:t>
            </w:r>
          </w:p>
        </w:tc>
      </w:tr>
    </w:tbl>
    <w:p>
      <w:pPr>
        <w:spacing w:after="20"/>
      </w:pPr>
    </w:p>
    <w:p>
      <w:pPr>
        <w:pageBreakBefore w:val="0"/>
        <w:spacing w:after="60" w:line="240" w:lineRule="auto"/>
      </w:pPr>
      <w:r>
        <w:t>Proposed planning target only—not a measured suite or an instructor-approved commitment: 18 mandatory-feature rows + 4 workflow rows + 6 candidate NFR rows + 30 representative legal transitions + 15 rejected transitions = 73 cases. The crosswalk below selects two legal and one negative example per B19.4 registry; owners must confirm these examples and add any omitted guards. No staging result is claimed.</w:t>
      </w:r>
    </w:p>
    <w:p>
      <w:pPr>
        <w:pStyle w:val="Heading3"/>
        <w:keepNext/>
      </w:pPr>
      <w:r>
        <w:t>A3.1. Representative lifecycle transition crosswalk</w:t>
      </w:r>
    </w:p>
    <w:p>
      <w:pPr>
        <w:keepNext/>
      </w:pPr>
      <w:r>
        <w:t>Illustrative acceptance candidates from SRS v3.3/B19.4; the route/DTO owner must confirm each legal and rejected transition before implementation. This is not an exhaustive transition matrix or runtime evidence.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10"/>
          </w:tcPr>
          <w:p>
            <w:r>
              <w:rPr>
                <w:rFonts w:ascii="Arial" w:hAnsi="Arial"/>
              </w:rPr>
              <w:t>Registry</w:t>
            </w:r>
          </w:p>
        </w:tc>
        <w:tc>
          <w:tcPr>
            <w:tcW w:type="dxa" w:w="2410"/>
          </w:tcPr>
          <w:p>
            <w:r>
              <w:rPr>
                <w:rFonts w:ascii="Arial" w:hAnsi="Arial"/>
              </w:rPr>
              <w:t>Representative legal transition 1</w:t>
            </w:r>
          </w:p>
        </w:tc>
        <w:tc>
          <w:tcPr>
            <w:tcW w:type="dxa" w:w="2410"/>
          </w:tcPr>
          <w:p>
            <w:r>
              <w:rPr>
                <w:rFonts w:ascii="Arial" w:hAnsi="Arial"/>
              </w:rPr>
              <w:t>Representative legal transition 2</w:t>
            </w:r>
          </w:p>
        </w:tc>
        <w:tc>
          <w:tcPr>
            <w:tcW w:type="dxa" w:w="2410"/>
          </w:tcPr>
          <w:p>
            <w:r>
              <w:rPr>
                <w:rFonts w:ascii="Arial" w:hAnsi="Arial"/>
              </w:rPr>
              <w:t>Rejected transition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Session lifecycle</w:t>
            </w:r>
          </w:p>
        </w:tc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draft → scheduled</w:t>
            </w:r>
          </w:p>
        </w:tc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scheduled → lobby</w:t>
            </w:r>
          </w:p>
        </w:tc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completed → active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Shared learning stage</w:t>
            </w:r>
          </w:p>
        </w:tc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preparation → join</w:t>
            </w:r>
          </w:p>
        </w:tc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join → explore_draw</w:t>
            </w:r>
          </w:p>
        </w:tc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completion → active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Group progress</w:t>
            </w:r>
          </w:p>
        </w:tc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waiting → exploring</w:t>
            </w:r>
          </w:p>
        </w:tc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drawing → reviewing</w:t>
            </w:r>
          </w:p>
        </w:tc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finished → drawing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Admission</w:t>
            </w:r>
          </w:p>
        </w:tc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pending → admitted</w:t>
            </w:r>
          </w:p>
        </w:tc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admitted → left</w:t>
            </w:r>
          </w:p>
        </w:tc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expired → admitted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Device connection</w:t>
            </w:r>
          </w:p>
        </w:tc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connecting → authenticated</w:t>
            </w:r>
          </w:p>
        </w:tc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resyncing → connected</w:t>
            </w:r>
          </w:p>
        </w:tc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revoked → connected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Draft sync</w:t>
            </w:r>
          </w:p>
        </w:tc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local_only → queued</w:t>
            </w:r>
          </w:p>
        </w:tc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sent_unacknowledged → accepted_durable</w:t>
            </w:r>
          </w:p>
        </w:tc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quarantined → accepted_durable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Sketch pipeline</w:t>
            </w:r>
          </w:p>
        </w:tc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requested → analyzing</w:t>
            </w:r>
          </w:p>
        </w:tc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pending_teacher_review → approved</w:t>
            </w:r>
          </w:p>
        </w:tc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blocked_unsafe → approved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Child suggestion response</w:t>
            </w:r>
          </w:p>
        </w:tc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available → viewed</w:t>
            </w:r>
          </w:p>
        </w:tc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viewed → hidden</w:t>
            </w:r>
          </w:p>
        </w:tc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declined → available for the same version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Knowledge editorial</w:t>
            </w:r>
          </w:p>
        </w:tc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draft → in_review</w:t>
            </w:r>
          </w:p>
        </w:tc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in_review → approved_for_render</w:t>
            </w:r>
          </w:p>
        </w:tc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withdrawn → in_review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Media job</w:t>
            </w:r>
          </w:p>
        </w:tc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queued → running</w:t>
            </w:r>
          </w:p>
        </w:tc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running → succeeded</w:t>
            </w:r>
          </w:p>
        </w:tc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failed_exhausted → running on the same job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Video delivery</w:t>
            </w:r>
          </w:p>
        </w:tc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generating → ready_for_review</w:t>
            </w:r>
          </w:p>
        </w:tc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ready_for_review → approved</w:t>
            </w:r>
          </w:p>
        </w:tc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skipped_by_teacher → playing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Activity execution</w:t>
            </w:r>
          </w:p>
        </w:tc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proposed → teacher_selected</w:t>
            </w:r>
          </w:p>
        </w:tc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preparation_required → ready</w:t>
            </w:r>
          </w:p>
        </w:tc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completed → in_progress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Observation</w:t>
            </w:r>
          </w:p>
        </w:tc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draft → ai_suggested</w:t>
            </w:r>
          </w:p>
        </w:tc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ai_suggested → teacher_confirmed</w:t>
            </w:r>
          </w:p>
        </w:tc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withdrawn → teacher_confirmed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Content publication</w:t>
            </w:r>
          </w:p>
        </w:tc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submitted → published</w:t>
            </w:r>
          </w:p>
        </w:tc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published → recalled</w:t>
            </w:r>
          </w:p>
        </w:tc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recalled → published without a revised version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Data request</w:t>
            </w:r>
          </w:p>
        </w:tc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received → identity_check</w:t>
            </w:r>
          </w:p>
        </w:tc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scope_review → approved</w:t>
            </w:r>
          </w:p>
        </w:tc>
        <w:tc>
          <w:tcPr>
            <w:tcW w:type="dxa" w:w="2410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rejected → approved without a new review</w:t>
            </w:r>
          </w:p>
        </w:tc>
      </w:tr>
    </w:tbl>
    <w:sectPr w:rsidR="00FC693F" w:rsidRPr="0006063C" w:rsidSect="00034616">
      <w:footerReference w:type="default" r:id="rId9"/>
      <w:pgSz w:w="11909" w:h="16834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>Sketch2Life | Review 2 | BM01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14243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14243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1424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Sketch2Life Review 2 Design Brief</dc:title>
  <dc:subject>BM01 Design Brief and Appendix A</dc:subject>
  <dc:creator>python-docx</dc:creator>
  <cp:keywords>Sketch2Life, Review 2, SRS v3.3, SDD, current-state evidence</cp:keywords>
  <dc:description>Review 2 draft; current-state limits and unconfirmed planning proposals are stated explicitly.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