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9652A"/>
          <w:spacing w:val="40"/>
          <w:sz w:val="16"/>
          <w:szCs w:val="16"/>
        </w:rPr>
        <w:t xml:space="preserve">SWP490 · CAPSTONE PROJECT · REVIEW 2 · BM02</w:t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SRS/SDD Self-Review Report – Review 2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1. Run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Project code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FA26SE225 (inferred from filename; confirm)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Project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Sketch2Life: Collaborative Creative Learning with AI for Children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Đỗ Cao Đạt SE193713; Phạm Tấn Hiếu SE184252; Vũ Chí Bảo SE182733; Lý Anh Khoa SE182682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Supervisor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Lâm Hữu Khánh Phương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AI tool and model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OpenAI Codex desktop coding agent, GPT-6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Run 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23 October 2026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Repository tag / commit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No review-2 tag exists. Local dev HEAD 0a7ce768c153f2104cff930569c3eda6e484532c; working tree has uncommitted user changes and was included in source review.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Registration form version used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Phieu_FA26SE225_v1.2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Draft self-review v1.0; not a tagged-baseline course run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7"/>
              </w:rPr>
              <w:t>23 October 2026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2. Standard Prompt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You are reviewing the SRS and SDD of a software capstone project against its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registration form and source code. Report only; do not change any file.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Inputs: the registration form, SRS, SDD (with diagrams), source code and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database script in this repository.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Check: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Scope: FRs in the SRS not covered by the registration form, and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registration items with no FR.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 Requirements: FRs without an actor or testable acceptance criteria;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NFRs without metric, threshold and measurement method.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 Data: entities missing from the Logical ERD; ERD entities or attributes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missing from the database script, and tables not in the ERD.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 States: for each main entity, states used in code but missing from its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state machine; transitions with no triggering FR; states with no exit.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5. Flows: main business flows in activity diagrams with no implementation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or no test.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6. Architecture: components or third-party services in code but not in the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architecture diagram, and the reverse.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7. Design vs code: modules, APIs or business rules implemented differently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from the SDD.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Output one table: ID | Category | Location | Finding | Severity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(High/Medium/Low) | Evidence. Then list the 5 most important findings.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something cannot be verified from the repository, say so; do not guess.</w:t>
            </w:r>
          </w:p>
        </w:tc>
      </w:tr>
    </w:tbl>
    <w:p>
      <w:pPr>
        <w:pStyle w:val="Heading2"/>
        <w:pageBreakBefore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3. Findings and Team Response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64"/>
        <w:gridCol w:w="1063"/>
        <w:gridCol w:w="1329"/>
        <w:gridCol w:w="2326"/>
        <w:gridCol w:w="930"/>
        <w:gridCol w:w="1329"/>
        <w:gridCol w:w="1997"/>
      </w:tblGrid>
      <w:tr>
        <w:trPr>
          <w:tblHeader/>
          <w:cantSplit/>
        </w:trPr>
        <w:tc>
          <w:tcPr>
            <w:tcW w:type="dxa" w:w="5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93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Category</w:t>
            </w:r>
          </w:p>
        </w:tc>
        <w:tc>
          <w:tcPr>
            <w:tcW w:type="dxa" w:w="13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Location</w:t>
            </w:r>
          </w:p>
        </w:tc>
        <w:tc>
          <w:tcPr>
            <w:tcW w:type="dxa" w:w="2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Finding</w:t>
            </w:r>
          </w:p>
        </w:tc>
        <w:tc>
          <w:tcPr>
            <w:tcW w:type="dxa" w:w="72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Severity</w:t>
            </w:r>
          </w:p>
        </w:tc>
        <w:tc>
          <w:tcPr>
            <w:tcW w:type="dxa" w:w="15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194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3"/>
              </w:rPr>
              <w:t>Team response</w:t>
            </w:r>
          </w:p>
        </w:tc>
      </w:tr>
      <w:tr>
        <w:trPr>
          <w:cantSplit/>
        </w:trPr>
        <w:tc>
          <w:tcPr>
            <w:tcW w:type="dxa" w:w="5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SR-01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Flows</w:t>
            </w:r>
          </w:p>
        </w:tc>
        <w:tc>
          <w:tcPr>
            <w:tcW w:type="dxa" w:w="136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apps/child-ui/src/services/apiClient.ts; apps/child-ui/src/services/sessionClient.ts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The registered join/drawing workflows are not connected end-to-end: the Child API client returns a stub success and session verification uses a local fixture. The UI source therefore does not prove admission, persistence or recovery against BE1.</w:t>
            </w:r>
          </w:p>
        </w:tc>
        <w:tc>
          <w:tcPr>
            <w:tcW w:type="dxa" w:w="72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Source code shows stubbed API/session behavior; BE1 durable APIs exist separately in backend. Proposed response: Planned — Bảo owns Child adapter; Đạt coordinates contract/E2E; target W6-W9, dates TBD.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5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SR-02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Architecture</w:t>
            </w:r>
          </w:p>
        </w:tc>
        <w:tc>
          <w:tcPr>
            <w:tcW w:type="dxa" w:w="136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backend/src/sketch2life/interfaces/http/app.py; ADR-0019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The current HTTP composition still includes durable classroom routes alongside legacy/demo routers and process-local stores. The accepted classroom-first product composition with isolated demo entrypoints is not fully implemented.</w:t>
            </w:r>
          </w:p>
        </w:tc>
        <w:tc>
          <w:tcPr>
            <w:tcW w:type="dxa" w:w="72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App composition imports/mounts both route families. ADR-0019 explicitly separates target documentation from runtime implementation. Proposed response: Planned — Đạt, with Khoa; before staging, calendar TBD.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5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SR-03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Data</w:t>
            </w:r>
          </w:p>
        </w:tc>
        <w:tc>
          <w:tcPr>
            <w:tcW w:type="dxa" w:w="136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Report 4 §8; backend/alembic/versions; backend/alembic/README.md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The logical target model contains classroom, privacy, learning-content and portfolio entities that do not all have a single accepted end-to-end physical mapping. The database is split across nine module migration roots; the Report 4 ERD is an excerpt and no unified release order is approved.</w:t>
            </w:r>
          </w:p>
        </w:tc>
        <w:tc>
          <w:tcPr>
            <w:tcW w:type="dxa" w:w="72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Repository migrations show separate be1_core, ai_jobs, ap, lc, kv, vr, ae, pa and vf roots; README warns that plain upgrade head is ambiguous. Proposed response: Planned — Khoa; approve crosswalk and fresh-database upgrade/rollback before staging.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5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SR-04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States</w:t>
            </w:r>
          </w:p>
        </w:tc>
        <w:tc>
          <w:tcPr>
            <w:tcW w:type="dxa" w:w="136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D10_state_session.mmd; backend/src/sketch2life/infrastructure/persistence/be1_models.py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The target session state model uses Draft/Lobby/Active/Paused/Completed/EndedEarly, while the persisted BE1 session status uses configured/lobby/active/paused/finished. Mapping finished to Completed versus EndedEarly and invalid-transition handling are not yet accepted in a versioned contract.</w:t>
            </w:r>
          </w:p>
        </w:tc>
        <w:tc>
          <w:tcPr>
            <w:tcW w:type="dxa" w:w="72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The state diagram and ORM enum names differ. Proposed response: Planned — Khoa; define explicit state mapping and transition-negative tests before integration freeze.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5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SR-05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Data / privacy</w:t>
            </w:r>
          </w:p>
        </w:tc>
        <w:tc>
          <w:tcPr>
            <w:tcW w:type="dxa" w:w="136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Phieu_FA26SE225_v1.2; backend/src/sketch2life/infrastructure/persistence/be1_models.py; FEAT-047 consent receipt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The registration sets a 90-day session/artwork retention default and school-mediated purpose consent. Current BE1 records consent and fails closed for pending consent, but the full purpose catalogue, representative verification and purge of all derivatives/copies are not demonstrated.</w:t>
            </w:r>
          </w:p>
        </w:tc>
        <w:tc>
          <w:tcPr>
            <w:tcW w:type="dxa" w:w="72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Registration and SRS data lifecycle require scope/copy-specific handling; BE1 receipt reports CONSENT_NOT_EFFECTIVE for pending consent and bounds purge evidence. Proposed response: Planned — Đạt and Khoa; approve policy and purge tests before any child-data pilot.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5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SR-06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Flows / testing</w:t>
            </w:r>
          </w:p>
        </w:tc>
        <w:tc>
          <w:tcPr>
            <w:tcW w:type="dxa" w:w="136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Report 5 §6; FEAT-059 receipts; Project Tracking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None of the four main workflows has a current staging E2E receipt in this snapshot, and the target of one class with up to 40 unique children has no measured capacity result. Historical unit/contract/cleanup receipts do not close the workflow gate.</w:t>
            </w:r>
          </w:p>
        </w:tc>
        <w:tc>
          <w:tcPr>
            <w:tcW w:type="dxa" w:w="72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Recorded FEAT-059 checks were bounded local tests; no staging/classroom/load receipt is registered. Proposed response: Planned — Đạt coordinates all owners; W12-W13 proposal, dates TBD.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5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SR-07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Architecture / third-party service</w:t>
            </w:r>
          </w:p>
        </w:tc>
        <w:tc>
          <w:tcPr>
            <w:tcW w:type="dxa" w:w="136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ADR-0019; Report 4 §6; Modal configuration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Modal is selected but its application/environment, model, GPU, endpoint, region, scale, timeout, secret policy, spending cap and inference measurements are unspecified. AI request speed and product availability cannot be verified.</w:t>
            </w:r>
          </w:p>
        </w:tc>
        <w:tc>
          <w:tcPr>
            <w:tcW w:type="dxa" w:w="72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High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Owner selected Modal and deferred deployment values; repository has no product endpoint receipt. Proposed response: Planned — Hiếu with owner; before AI acceptance, dates TBD.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5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SR-08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Requirements / NFR</w:t>
            </w:r>
          </w:p>
        </w:tc>
        <w:tc>
          <w:tcPr>
            <w:tcW w:type="dxa" w:w="136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SRS v3.1 B11; Report 3 candidate NFR table; Report 5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Some quality constraints remain qualitative or have candidate thresholds only. RPO/RTO, AI quality, age/safety review, cost and non-session data retention have no approved measurement profile.</w:t>
            </w:r>
          </w:p>
        </w:tc>
        <w:tc>
          <w:tcPr>
            <w:tcW w:type="dxa" w:w="72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Medium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SRS labels these values proposed/TBD; candidate latency and purge checks are explicitly not measured. Proposed response: Planned — owners propose metrics at weekly review; supervisor approval pending.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5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SR-09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Scope / metadata</w:t>
            </w:r>
          </w:p>
        </w:tc>
        <w:tc>
          <w:tcPr>
            <w:tcW w:type="dxa" w:w="136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Phieu_FA26SE225_v1.2.docx; BM01 header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The form body leaves class and project code blank. FA26SE225 is inferred from the filename and must not be treated as a confirmed class/project identifier.</w:t>
            </w:r>
          </w:p>
        </w:tc>
        <w:tc>
          <w:tcPr>
            <w:tcW w:type="dxa" w:w="72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Medium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The supplied form body has an empty Class field and no project-code field value. Proposed response: Planned — Đạt confirms from the official course record before submission.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/>
            </w:pPr>
          </w:p>
        </w:tc>
      </w:tr>
      <w:tr>
        <w:trPr>
          <w:cantSplit/>
        </w:trPr>
        <w:tc>
          <w:tcPr>
            <w:tcW w:type="dxa" w:w="5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SR-10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Design vs code</w:t>
            </w:r>
          </w:p>
        </w:tc>
        <w:tc>
          <w:tcPr>
            <w:tcW w:type="dxa" w:w="136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apps/admin-ui/src/services/authService.ts; apps/teacher-ui/src/services; apps/child-ui/src/services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The Admin login currently returns a mock token and the Teacher/Child services use fixtures or stubs. The review documents their prototype status, but live adult identity and integrated UI requests cannot be verified from those service modules.</w:t>
            </w:r>
          </w:p>
        </w:tc>
        <w:tc>
          <w:tcPr>
            <w:tcW w:type="dxa" w:w="72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Low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3"/>
              </w:rPr>
              <w:t>Mock token and fixture service code are visible in repository; no production identity receipt is claimed. Proposed response: Kept for this draft because these surfaces are prototypes; integrate through the approved contracts before staging.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/>
            </w:pP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4. Top 5 Findings (as reported by the AI)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"/>
        <w:gridCol w:w="1927"/>
        <w:gridCol w:w="6748"/>
      </w:tblGrid>
      <w:tr>
        <w:trPr>
          <w:tblHeader/>
        </w:trPr>
        <w:tc>
          <w:tcPr>
            <w:tcW w:type="dxa" w:w="6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#</w:t>
            </w:r>
          </w:p>
        </w:tc>
        <w:tc>
          <w:tcPr>
            <w:tcW w:type="dxa" w:w="1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Finding ID</w:t>
            </w:r>
          </w:p>
        </w:tc>
        <w:tc>
          <w:tcPr>
            <w:tcW w:type="dxa" w:w="77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Summary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224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SR-01</w:t>
            </w:r>
          </w:p>
        </w:tc>
        <w:tc>
          <w:tcPr>
            <w:tcW w:type="dxa" w:w="77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The registered join/drawing workflows are not connected end-to-end: the Child API client returns a stub success and session verification uses a local fixture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224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SR-02</w:t>
            </w:r>
          </w:p>
        </w:tc>
        <w:tc>
          <w:tcPr>
            <w:tcW w:type="dxa" w:w="77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The current HTTP composition still includes durable classroom routes alongside legacy/demo routers and process-local stores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224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SR-03</w:t>
            </w:r>
          </w:p>
        </w:tc>
        <w:tc>
          <w:tcPr>
            <w:tcW w:type="dxa" w:w="77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The logical target model contains classroom, privacy, learning-content and portfolio entities that do not all have a single accepted end-to-end physical mapping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224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SR-04</w:t>
            </w:r>
          </w:p>
        </w:tc>
        <w:tc>
          <w:tcPr>
            <w:tcW w:type="dxa" w:w="77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The target session state model uses Draft/Lobby/Active/Paused/Completed/EndedEarly, while the persisted BE1 session status uses configured/lobby/active/paused/finished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1224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SR-05</w:t>
            </w:r>
          </w:p>
        </w:tc>
        <w:tc>
          <w:tcPr>
            <w:tcW w:type="dxa" w:w="7776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5"/>
              </w:rPr>
              <w:t>The registration sets a 90-day session/artwork retention default and school-mediated purpose consent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5. Summary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28"/>
        <w:gridCol w:w="1752"/>
        <w:gridCol w:w="1752"/>
        <w:gridCol w:w="1752"/>
        <w:gridCol w:w="1754"/>
      </w:tblGrid>
      <w:tr>
        <w:trPr>
          <w:tblHeader/>
        </w:trPr>
        <w:tc>
          <w:tcPr>
            <w:tcW w:type="dxa" w:w="144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100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Total</w:t>
            </w:r>
          </w:p>
        </w:tc>
        <w:tc>
          <w:tcPr>
            <w:tcW w:type="dxa" w:w="100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Fixed</w:t>
            </w:r>
          </w:p>
        </w:tc>
        <w:tc>
          <w:tcPr>
            <w:tcW w:type="dxa" w:w="100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Kept</w:t>
            </w:r>
          </w:p>
        </w:tc>
        <w:tc>
          <w:tcPr>
            <w:tcW w:type="dxa" w:w="100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43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Planned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Low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</w:tbl>
    <w:p>
      <w:pPr>
        <w:spacing w:before="120" w:after="120"/>
      </w:pPr>
      <w:r>
        <w:t>Summary. The static source review reports 7 High, 2 Medium and 1 Low finding. Team responses are proposed for owner confirmation; no issue is recorded Fixed because this documentation pass did not modify application code. The review-2 tag is absent and the checkout was dirty, so this draft does not satisfy the guide's exact tagged-baseline run requirement. No application test was run for this review.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SWP490 · BM02 Self-Review Report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BM02 Self-Review Report</dc:title>
  <dc:creator>SWP490</dc:creator>
  <cp:lastModifiedBy>Un-named</cp:lastModifiedBy>
  <cp:revision>1</cp:revision>
  <dcterms:created xsi:type="dcterms:W3CDTF">2026-10-20T02:46:32.122Z</dcterms:created>
  <dcterms:modified xsi:type="dcterms:W3CDTF">2026-10-20T02:46:32.122Z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