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9652A"/>
          <w:spacing w:val="40"/>
          <w:sz w:val="16"/>
          <w:szCs w:val="16"/>
        </w:rPr>
        <w:t xml:space="preserve">SWP490 · CAPSTONE PROJECT · REVIEW 2 · BM02</w:t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4233A"/>
          <w:sz w:val="32"/>
          <w:szCs w:val="32"/>
        </w:rPr>
        <w:t xml:space="preserve">SRS/SDD Self-Review Report – Review 2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1. Run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sz w:val="17"/>
              </w:rPr>
              <w:t>Project code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7"/>
              </w:rPr>
              <w:t>FA26SE225 (inferred from filename; confirm)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sz w:val="17"/>
              </w:rPr>
              <w:t>Project name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7"/>
              </w:rPr>
              <w:t>Sketch2Life: Collaborative Creative Learning with AI for Children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sz w:val="17"/>
              </w:rPr>
              <w:t>Team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7"/>
              </w:rPr>
              <w:t>Đỗ Cao Đạt SE193713; Phạm Tấn Hiếu SE184252; Vũ Chí Bảo SE182733; Lý Anh Khoa SE182682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sz w:val="17"/>
              </w:rPr>
              <w:t>Supervisor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7"/>
              </w:rPr>
              <w:t>Lâm Hữu Khánh Phương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sz w:val="17"/>
              </w:rPr>
              <w:t>AI tool and model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7"/>
              </w:rPr>
              <w:t>OpenAI Codex desktop coding agent, GPT-6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sz w:val="17"/>
              </w:rPr>
              <w:t>Run date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7"/>
              </w:rPr>
              <w:t>23 October 2026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sz w:val="17"/>
              </w:rPr>
              <w:t>Repository tag / commit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7"/>
              </w:rPr>
              <w:t>No review-2 tag exists. Local dev HEAD 0a7ce768c153f2104cff930569c3eda6e484532c; working tree has uncommitted user changes and was included in source review.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sz w:val="17"/>
              </w:rPr>
              <w:t>Registration form version used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7"/>
              </w:rPr>
              <w:t>Phieu_FA26SE225_v1.2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sz w:val="17"/>
              </w:rPr>
              <w:t>Version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7"/>
              </w:rPr>
              <w:t>Draft self-review v1.0; not a tagged-baseline course run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7"/>
              </w:rPr>
              <w:t>23 October 2026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2. Standard Prompt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You are reviewing the SRS and SDD of a software capstone project against its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registration form and source code. Report only; do not change any file.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Inputs: the registration form, SRS, SDD (with diagrams), source code and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database script in this repository.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Check: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Scope: FRs in the SRS not covered by the registration form, and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registration items with no FR.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 Requirements: FRs without an actor or testable acceptance criteria;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NFRs without metric, threshold and measurement method.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 Data: entities missing from the Logical ERD; ERD entities or attributes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missing from the database script, and tables not in the ERD.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4. States: for each main entity, states used in code but missing from its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state machine; transitions with no triggering FR; states with no exit.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5. Flows: main business flows in activity diagrams with no implementation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or no test.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6. Architecture: components or third-party services in code but not in the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architecture diagram, and the reverse.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7. Design vs code: modules, APIs or business rules implemented differently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from the SDD.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Output one table: ID | Category | Location | Finding | Severity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(High/Medium/Low) | Evidence. Then list the 5 most important findings.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something cannot be verified from the repository, say so; do not guess.</w:t>
            </w:r>
          </w:p>
        </w:tc>
      </w:tr>
    </w:tbl>
    <w:p>
      <w:pPr>
        <w:pStyle w:val="Heading2"/>
        <w:pageBreakBefore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3. Findings and Team Response</w:t>
      </w:r>
    </w:p>
    <w:tbl>
      <w:tblPr>
        <w:tblW w:type="dxa" w:w="86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8"/>
        <w:gridCol w:w="857"/>
        <w:gridCol w:w="1253"/>
        <w:gridCol w:w="2176"/>
        <w:gridCol w:w="660"/>
        <w:gridCol w:w="1385"/>
        <w:gridCol w:w="1781"/>
      </w:tblGrid>
      <w:tr>
        <w:trPr>
          <w:tblHeader/>
          <w:cantSplit/>
        </w:trPr>
        <w:tc>
          <w:tcPr>
            <w:tcW w:type="dxa" w:w="5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85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3"/>
              </w:rPr>
              <w:t>Category</w:t>
            </w:r>
          </w:p>
        </w:tc>
        <w:tc>
          <w:tcPr>
            <w:tcW w:type="dxa" w:w="12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3"/>
              </w:rPr>
              <w:t>Location</w:t>
            </w:r>
          </w:p>
        </w:tc>
        <w:tc>
          <w:tcPr>
            <w:tcW w:type="dxa" w:w="21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3"/>
              </w:rPr>
              <w:t>Finding</w:t>
            </w:r>
          </w:p>
        </w:tc>
        <w:tc>
          <w:tcPr>
            <w:tcW w:type="dxa" w:w="6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3"/>
              </w:rPr>
              <w:t>Severity</w:t>
            </w:r>
          </w:p>
        </w:tc>
        <w:tc>
          <w:tcPr>
            <w:tcW w:type="dxa" w:w="13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3"/>
              </w:rPr>
              <w:t>Evidence</w:t>
            </w:r>
          </w:p>
        </w:tc>
        <w:tc>
          <w:tcPr>
            <w:tcW w:type="dxa" w:w="178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3"/>
              </w:rPr>
              <w:t>Team response</w:t>
            </w:r>
          </w:p>
        </w:tc>
      </w:tr>
      <w:tr>
        <w:trPr>
          <w:cantSplit/>
        </w:trPr>
        <w:tc>
          <w:tcPr>
            <w:tcW w:type="dxa" w:w="52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SR-01</w:t>
            </w:r>
          </w:p>
        </w:tc>
        <w:tc>
          <w:tcPr>
            <w:tcW w:type="dxa" w:w="857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Flows</w:t>
            </w:r>
          </w:p>
        </w:tc>
        <w:tc>
          <w:tcPr>
            <w:tcW w:type="dxa" w:w="1253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apps/child-ui/src/services/apiClient.ts; apps/child-ui/src/services/sessionClient.ts</w:t>
            </w:r>
          </w:p>
        </w:tc>
        <w:tc>
          <w:tcPr>
            <w:tcW w:type="dxa" w:w="217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The registered join/drawing workflows are not connected end-to-end: the Child API client returns a stub success and session verification uses a local fixture. The UI source therefore does not prove admission, persistence or recovery against BE1.</w:t>
            </w:r>
          </w:p>
        </w:tc>
        <w:tc>
          <w:tcPr>
            <w:tcW w:type="dxa" w:w="660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1385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Source code shows stubbed API/session behavior; BE1 durable APIs exist separately in backend. Proposed response: Planned — Bảo owns Child adapter; Đạt coordinates contract/E2E; target W6-W9, dates TBD.</w:t>
            </w:r>
          </w:p>
        </w:tc>
        <w:tc>
          <w:tcPr>
            <w:tcW w:type="dxa" w:w="1781"/>
            <w:vAlign w:val="center"/>
          </w:tcPr>
          <w:p>
            <w:pPr>
              <w:spacing w:after="20" w:before="0"/>
            </w:pPr>
          </w:p>
        </w:tc>
      </w:tr>
      <w:tr>
        <w:trPr>
          <w:cantSplit/>
        </w:trPr>
        <w:tc>
          <w:tcPr>
            <w:tcW w:type="dxa" w:w="52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SR-02</w:t>
            </w:r>
          </w:p>
        </w:tc>
        <w:tc>
          <w:tcPr>
            <w:tcW w:type="dxa" w:w="857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Architecture</w:t>
            </w:r>
          </w:p>
        </w:tc>
        <w:tc>
          <w:tcPr>
            <w:tcW w:type="dxa" w:w="1253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backend/src/sketch2life/interfaces/http/app.py; ADR-0019</w:t>
            </w:r>
          </w:p>
        </w:tc>
        <w:tc>
          <w:tcPr>
            <w:tcW w:type="dxa" w:w="217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The current HTTP composition still includes durable classroom routes alongside legacy/demo routers and process-local stores. The accepted classroom-first product composition with isolated demo entrypoints is not fully implemented.</w:t>
            </w:r>
          </w:p>
        </w:tc>
        <w:tc>
          <w:tcPr>
            <w:tcW w:type="dxa" w:w="660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1385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App composition imports/mounts both route families. ADR-0019 explicitly separates target documentation from runtime implementation. Proposed response: Planned — Đạt, with Khoa; before staging, calendar TBD.</w:t>
            </w:r>
          </w:p>
        </w:tc>
        <w:tc>
          <w:tcPr>
            <w:tcW w:type="dxa" w:w="1781"/>
            <w:vAlign w:val="center"/>
          </w:tcPr>
          <w:p>
            <w:pPr>
              <w:spacing w:after="20" w:before="0"/>
            </w:pPr>
          </w:p>
        </w:tc>
      </w:tr>
      <w:tr>
        <w:trPr>
          <w:cantSplit/>
        </w:trPr>
        <w:tc>
          <w:tcPr>
            <w:tcW w:type="dxa" w:w="52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SR-03</w:t>
            </w:r>
          </w:p>
        </w:tc>
        <w:tc>
          <w:tcPr>
            <w:tcW w:type="dxa" w:w="857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Data</w:t>
            </w:r>
          </w:p>
        </w:tc>
        <w:tc>
          <w:tcPr>
            <w:tcW w:type="dxa" w:w="1253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Report 4 §8; backend/alembic/versions; backend/alembic/README.md</w:t>
            </w:r>
          </w:p>
        </w:tc>
        <w:tc>
          <w:tcPr>
            <w:tcW w:type="dxa" w:w="217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The logical target model contains classroom, privacy, learning-content and portfolio entities that do not all have a single accepted end-to-end physical mapping. The database is split across nine module migration roots; the Report 4 ERD is an excerpt and no unified release order is approved.</w:t>
            </w:r>
          </w:p>
        </w:tc>
        <w:tc>
          <w:tcPr>
            <w:tcW w:type="dxa" w:w="660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1385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Repository migrations show separate be1_core, ai_jobs, ap, lc, kv, vr, ae, pa and vf roots; README warns that plain upgrade head is ambiguous. Proposed response: Planned — Khoa; approve crosswalk and fresh-database upgrade/rollback before staging.</w:t>
            </w:r>
          </w:p>
        </w:tc>
        <w:tc>
          <w:tcPr>
            <w:tcW w:type="dxa" w:w="1781"/>
            <w:vAlign w:val="center"/>
          </w:tcPr>
          <w:p>
            <w:pPr>
              <w:spacing w:after="20" w:before="0"/>
            </w:pPr>
          </w:p>
        </w:tc>
      </w:tr>
      <w:tr>
        <w:trPr>
          <w:cantSplit/>
        </w:trPr>
        <w:tc>
          <w:tcPr>
            <w:tcW w:type="dxa" w:w="52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SR-04</w:t>
            </w:r>
          </w:p>
        </w:tc>
        <w:tc>
          <w:tcPr>
            <w:tcW w:type="dxa" w:w="857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States</w:t>
            </w:r>
          </w:p>
        </w:tc>
        <w:tc>
          <w:tcPr>
            <w:tcW w:type="dxa" w:w="1253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D10_state_session.mmd; backend/src/sketch2life/infrastructure/persistence/be1_models.py</w:t>
            </w:r>
          </w:p>
        </w:tc>
        <w:tc>
          <w:tcPr>
            <w:tcW w:type="dxa" w:w="217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The target session state model uses Draft/Lobby/Active/Paused/Completed/EndedEarly, while the persisted BE1 session status uses configured/lobby/active/paused/finished. Mapping finished to Completed versus EndedEarly and invalid-transition handling are not yet accepted in a versioned contract.</w:t>
            </w:r>
          </w:p>
        </w:tc>
        <w:tc>
          <w:tcPr>
            <w:tcW w:type="dxa" w:w="660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1385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The state diagram and ORM enum names differ. Proposed response: Planned — Khoa; define explicit state mapping and transition-negative tests before integration freeze.</w:t>
            </w:r>
          </w:p>
        </w:tc>
        <w:tc>
          <w:tcPr>
            <w:tcW w:type="dxa" w:w="1781"/>
            <w:vAlign w:val="center"/>
          </w:tcPr>
          <w:p>
            <w:pPr>
              <w:spacing w:after="20" w:before="0"/>
            </w:pPr>
          </w:p>
        </w:tc>
      </w:tr>
      <w:tr>
        <w:trPr>
          <w:cantSplit/>
        </w:trPr>
        <w:tc>
          <w:tcPr>
            <w:tcW w:type="dxa" w:w="52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SR-05</w:t>
            </w:r>
          </w:p>
        </w:tc>
        <w:tc>
          <w:tcPr>
            <w:tcW w:type="dxa" w:w="857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Data / privacy</w:t>
            </w:r>
          </w:p>
        </w:tc>
        <w:tc>
          <w:tcPr>
            <w:tcW w:type="dxa" w:w="1253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Phieu_FA26SE225_v1.2; backend/src/sketch2life/infrastructure/persistence/be1_models.py; FEAT-047 consent receipt</w:t>
            </w:r>
          </w:p>
        </w:tc>
        <w:tc>
          <w:tcPr>
            <w:tcW w:type="dxa" w:w="217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The registration sets a 90-day session/artwork retention default and school-mediated purpose consent. Current BE1 records consent and fails closed for pending consent, but the full purpose catalogue, representative verification and purge of all derivatives/copies are not demonstrated.</w:t>
            </w:r>
          </w:p>
        </w:tc>
        <w:tc>
          <w:tcPr>
            <w:tcW w:type="dxa" w:w="660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1385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Registration and SRS data lifecycle require scope/copy-specific handling; BE1 receipt reports CONSENT_NOT_EFFECTIVE for pending consent and bounds purge evidence. Proposed response: Planned — Đạt and Khoa; approve policy and purge tests before any child-data pilot.</w:t>
            </w:r>
          </w:p>
        </w:tc>
        <w:tc>
          <w:tcPr>
            <w:tcW w:type="dxa" w:w="1781"/>
            <w:vAlign w:val="center"/>
          </w:tcPr>
          <w:p>
            <w:pPr>
              <w:spacing w:after="20" w:before="0"/>
            </w:pPr>
          </w:p>
        </w:tc>
      </w:tr>
      <w:tr>
        <w:trPr>
          <w:cantSplit/>
        </w:trPr>
        <w:tc>
          <w:tcPr>
            <w:tcW w:type="dxa" w:w="52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SR-06</w:t>
            </w:r>
          </w:p>
        </w:tc>
        <w:tc>
          <w:tcPr>
            <w:tcW w:type="dxa" w:w="857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Flows / testing</w:t>
            </w:r>
          </w:p>
        </w:tc>
        <w:tc>
          <w:tcPr>
            <w:tcW w:type="dxa" w:w="1253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Report 5 §6; FEAT-059 receipts; Project Tracking</w:t>
            </w:r>
          </w:p>
        </w:tc>
        <w:tc>
          <w:tcPr>
            <w:tcW w:type="dxa" w:w="217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None of the four main workflows has a current staging E2E receipt in this snapshot, and the target of one class with up to 40 unique children has no measured capacity result. Historical unit/contract/cleanup receipts do not close the workflow gate.</w:t>
            </w:r>
          </w:p>
        </w:tc>
        <w:tc>
          <w:tcPr>
            <w:tcW w:type="dxa" w:w="660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1385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Recorded FEAT-059 checks were bounded local tests; no staging/classroom/load receipt is registered. Proposed response: Planned — Đạt coordinates all owners; W12-W13 proposal, dates TBD.</w:t>
            </w:r>
          </w:p>
        </w:tc>
        <w:tc>
          <w:tcPr>
            <w:tcW w:type="dxa" w:w="1781"/>
            <w:vAlign w:val="center"/>
          </w:tcPr>
          <w:p>
            <w:pPr>
              <w:spacing w:after="20" w:before="0"/>
            </w:pPr>
          </w:p>
        </w:tc>
      </w:tr>
      <w:tr>
        <w:trPr>
          <w:cantSplit/>
        </w:trPr>
        <w:tc>
          <w:tcPr>
            <w:tcW w:type="dxa" w:w="52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SR-07</w:t>
            </w:r>
          </w:p>
        </w:tc>
        <w:tc>
          <w:tcPr>
            <w:tcW w:type="dxa" w:w="857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Architecture / third-party service</w:t>
            </w:r>
          </w:p>
        </w:tc>
        <w:tc>
          <w:tcPr>
            <w:tcW w:type="dxa" w:w="1253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ADR-0019; Report 4 §6; Modal configuration</w:t>
            </w:r>
          </w:p>
        </w:tc>
        <w:tc>
          <w:tcPr>
            <w:tcW w:type="dxa" w:w="217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Modal is selected but its application/environment, model, GPU, endpoint, region, scale, timeout, secret policy, spending cap and inference measurements are unspecified. AI request speed and product availability cannot be verified.</w:t>
            </w:r>
          </w:p>
        </w:tc>
        <w:tc>
          <w:tcPr>
            <w:tcW w:type="dxa" w:w="660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1385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Owner selected Modal and deferred deployment values; repository has no product endpoint receipt. Proposed response: Planned — Hiếu with owner; before AI acceptance, dates TBD.</w:t>
            </w:r>
          </w:p>
        </w:tc>
        <w:tc>
          <w:tcPr>
            <w:tcW w:type="dxa" w:w="1781"/>
            <w:vAlign w:val="center"/>
          </w:tcPr>
          <w:p>
            <w:pPr>
              <w:spacing w:after="20" w:before="0"/>
            </w:pPr>
          </w:p>
        </w:tc>
      </w:tr>
      <w:tr>
        <w:trPr>
          <w:cantSplit/>
        </w:trPr>
        <w:tc>
          <w:tcPr>
            <w:tcW w:type="dxa" w:w="52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SR-08</w:t>
            </w:r>
          </w:p>
        </w:tc>
        <w:tc>
          <w:tcPr>
            <w:tcW w:type="dxa" w:w="857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Requirements / NFR</w:t>
            </w:r>
          </w:p>
        </w:tc>
        <w:tc>
          <w:tcPr>
            <w:tcW w:type="dxa" w:w="1253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SRS v3.1 B11; Report 3 candidate NFR table; Report 5</w:t>
            </w:r>
          </w:p>
        </w:tc>
        <w:tc>
          <w:tcPr>
            <w:tcW w:type="dxa" w:w="217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Some quality constraints remain qualitative or have candidate thresholds only. RPO/RTO, AI quality, age/safety review, cost and non-session data retention have no approved measurement profile.</w:t>
            </w:r>
          </w:p>
        </w:tc>
        <w:tc>
          <w:tcPr>
            <w:tcW w:type="dxa" w:w="660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Medium</w:t>
            </w:r>
          </w:p>
        </w:tc>
        <w:tc>
          <w:tcPr>
            <w:tcW w:type="dxa" w:w="1385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SRS labels these values proposed/TBD; candidate latency and purge checks are explicitly not measured. Proposed response: Planned — owners propose metrics at weekly review; supervisor approval pending.</w:t>
            </w:r>
          </w:p>
        </w:tc>
        <w:tc>
          <w:tcPr>
            <w:tcW w:type="dxa" w:w="1781"/>
            <w:vAlign w:val="center"/>
          </w:tcPr>
          <w:p>
            <w:pPr>
              <w:spacing w:after="20" w:before="0"/>
            </w:pPr>
          </w:p>
        </w:tc>
      </w:tr>
      <w:tr>
        <w:trPr>
          <w:cantSplit/>
        </w:trPr>
        <w:tc>
          <w:tcPr>
            <w:tcW w:type="dxa" w:w="52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SR-09</w:t>
            </w:r>
          </w:p>
        </w:tc>
        <w:tc>
          <w:tcPr>
            <w:tcW w:type="dxa" w:w="857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Scope / metadata</w:t>
            </w:r>
          </w:p>
        </w:tc>
        <w:tc>
          <w:tcPr>
            <w:tcW w:type="dxa" w:w="1253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Phieu_FA26SE225_v1.2.docx; BM01 header</w:t>
            </w:r>
          </w:p>
        </w:tc>
        <w:tc>
          <w:tcPr>
            <w:tcW w:type="dxa" w:w="217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The form body leaves class and project code blank. FA26SE225 is inferred from the filename and must not be treated as a confirmed class/project identifier.</w:t>
            </w:r>
          </w:p>
        </w:tc>
        <w:tc>
          <w:tcPr>
            <w:tcW w:type="dxa" w:w="660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Medium</w:t>
            </w:r>
          </w:p>
        </w:tc>
        <w:tc>
          <w:tcPr>
            <w:tcW w:type="dxa" w:w="1385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The supplied form body has an empty Class field and no project-code field value. Proposed response: Planned — Đạt confirms from the official course record before submission.</w:t>
            </w:r>
          </w:p>
        </w:tc>
        <w:tc>
          <w:tcPr>
            <w:tcW w:type="dxa" w:w="1781"/>
            <w:vAlign w:val="center"/>
          </w:tcPr>
          <w:p>
            <w:pPr>
              <w:spacing w:after="20" w:before="0"/>
            </w:pPr>
          </w:p>
        </w:tc>
      </w:tr>
      <w:tr>
        <w:trPr>
          <w:cantSplit/>
        </w:trPr>
        <w:tc>
          <w:tcPr>
            <w:tcW w:type="dxa" w:w="52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SR-10</w:t>
            </w:r>
          </w:p>
        </w:tc>
        <w:tc>
          <w:tcPr>
            <w:tcW w:type="dxa" w:w="857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Design vs code</w:t>
            </w:r>
          </w:p>
        </w:tc>
        <w:tc>
          <w:tcPr>
            <w:tcW w:type="dxa" w:w="1253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apps/admin-ui/src/services/authService.ts; apps/teacher-ui/src/services; apps/child-ui/src/services</w:t>
            </w:r>
          </w:p>
        </w:tc>
        <w:tc>
          <w:tcPr>
            <w:tcW w:type="dxa" w:w="217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The Admin login currently returns a mock token and the Teacher/Child services use fixtures or stubs. The review documents their prototype status, but live adult identity and integrated UI requests cannot be verified from those service modules.</w:t>
            </w:r>
          </w:p>
        </w:tc>
        <w:tc>
          <w:tcPr>
            <w:tcW w:type="dxa" w:w="660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Low</w:t>
            </w:r>
          </w:p>
        </w:tc>
        <w:tc>
          <w:tcPr>
            <w:tcW w:type="dxa" w:w="1385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Mock token and fixture service code are visible in repository; no production identity receipt is claimed. Proposed response: Kept for this draft because these surfaces are prototypes; integrate through the approved contracts before staging.</w:t>
            </w:r>
          </w:p>
        </w:tc>
        <w:tc>
          <w:tcPr>
            <w:tcW w:type="dxa" w:w="1781"/>
            <w:vAlign w:val="center"/>
          </w:tcPr>
          <w:p>
            <w:pPr>
              <w:spacing w:after="20" w:before="0"/>
            </w:pP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4. Top 5 Findings (as reported by the AI)</w:t>
      </w:r>
    </w:p>
    <w:tbl>
      <w:tblPr>
        <w:tblW w:type="dxa" w:w="86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0"/>
        <w:gridCol w:w="1096"/>
        <w:gridCol w:w="6964"/>
      </w:tblGrid>
      <w:tr>
        <w:trPr>
          <w:tblHeader/>
        </w:trPr>
        <w:tc>
          <w:tcPr>
            <w:tcW w:type="dxa" w:w="5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#</w:t>
            </w:r>
          </w:p>
        </w:tc>
        <w:tc>
          <w:tcPr>
            <w:tcW w:type="dxa" w:w="109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Finding ID</w:t>
            </w:r>
          </w:p>
        </w:tc>
        <w:tc>
          <w:tcPr>
            <w:tcW w:type="dxa" w:w="69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Summary</w:t>
            </w:r>
          </w:p>
        </w:tc>
      </w:tr>
      <w:tr>
        <w:tc>
          <w:tcPr>
            <w:tcW w:type="dxa" w:w="580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09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SR-01</w:t>
            </w:r>
          </w:p>
        </w:tc>
        <w:tc>
          <w:tcPr>
            <w:tcW w:type="dxa" w:w="6964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The registered join/drawing workflows are not connected end-to-end: the Child API client returns a stub success and session verification uses a local fixture</w:t>
            </w:r>
          </w:p>
        </w:tc>
      </w:tr>
      <w:tr>
        <w:tc>
          <w:tcPr>
            <w:tcW w:type="dxa" w:w="580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09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SR-02</w:t>
            </w:r>
          </w:p>
        </w:tc>
        <w:tc>
          <w:tcPr>
            <w:tcW w:type="dxa" w:w="6964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The current HTTP composition still includes durable classroom routes alongside legacy/demo routers and process-local stores</w:t>
            </w:r>
          </w:p>
        </w:tc>
      </w:tr>
      <w:tr>
        <w:tc>
          <w:tcPr>
            <w:tcW w:type="dxa" w:w="580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09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SR-03</w:t>
            </w:r>
          </w:p>
        </w:tc>
        <w:tc>
          <w:tcPr>
            <w:tcW w:type="dxa" w:w="6964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The logical target model contains classroom, privacy, learning-content and portfolio entities that do not all have a single accepted end-to-end physical mapping</w:t>
            </w:r>
          </w:p>
        </w:tc>
      </w:tr>
      <w:tr>
        <w:tc>
          <w:tcPr>
            <w:tcW w:type="dxa" w:w="580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09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SR-04</w:t>
            </w:r>
          </w:p>
        </w:tc>
        <w:tc>
          <w:tcPr>
            <w:tcW w:type="dxa" w:w="6964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The target session state model uses Draft/Lobby/Active/Paused/Completed/EndedEarly, while the persisted BE1 session status uses configured/lobby/active/paused/finished</w:t>
            </w:r>
          </w:p>
        </w:tc>
      </w:tr>
      <w:tr>
        <w:tc>
          <w:tcPr>
            <w:tcW w:type="dxa" w:w="580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109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SR-05</w:t>
            </w:r>
          </w:p>
        </w:tc>
        <w:tc>
          <w:tcPr>
            <w:tcW w:type="dxa" w:w="6964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The registration sets a 90-day session/artwork retention default and school-mediated purpose consent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5. Summary</w:t>
      </w:r>
    </w:p>
    <w:tbl>
      <w:tblPr>
        <w:tblW w:type="dxa" w:w="547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0"/>
        <w:gridCol w:w="1008"/>
        <w:gridCol w:w="1008"/>
        <w:gridCol w:w="1008"/>
        <w:gridCol w:w="1008"/>
      </w:tblGrid>
      <w:tr>
        <w:trPr>
          <w:tblHeader/>
        </w:trPr>
        <w:tc>
          <w:tcPr>
            <w:tcW w:type="dxa" w:w="144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100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Total</w:t>
            </w:r>
          </w:p>
        </w:tc>
        <w:tc>
          <w:tcPr>
            <w:tcW w:type="dxa" w:w="100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Fixed</w:t>
            </w:r>
          </w:p>
        </w:tc>
        <w:tc>
          <w:tcPr>
            <w:tcW w:type="dxa" w:w="100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Kept</w:t>
            </w:r>
          </w:p>
        </w:tc>
        <w:tc>
          <w:tcPr>
            <w:tcW w:type="dxa" w:w="100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Planned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  <w:tc>
          <w:tcPr>
            <w:tcW w:type="dxa" w:w="100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100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6"/>
              </w:rPr>
              <w:t>Medium</w:t>
            </w:r>
          </w:p>
        </w:tc>
        <w:tc>
          <w:tcPr>
            <w:tcW w:type="dxa" w:w="100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100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6"/>
              </w:rPr>
              <w:t>Low</w:t>
            </w:r>
          </w:p>
        </w:tc>
        <w:tc>
          <w:tcPr>
            <w:tcW w:type="dxa" w:w="100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00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</w:tbl>
    <w:p>
      <w:pPr>
        <w:spacing w:before="120" w:after="120"/>
      </w:pPr>
      <w:r>
        <w:t>Summary. The static source review reports 7 High, 2 Medium and 1 Low finding. Team responses are proposed for owner confirmation; no issue is recorded Fixed because this documentation pass did not modify application code. The review-2 tag is absent and the checkout was dirty, so this draft does not satisfy the guide's exact tagged-baseline run requirement. No application test was run for this review.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SWP490 · BM02 Self-Review Report ·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BM02 Self-Review Report</dc:title>
  <dc:creator>SWP490</dc:creator>
  <cp:lastModifiedBy>Un-named</cp:lastModifiedBy>
  <cp:revision>1</cp:revision>
  <dcterms:created xsi:type="dcterms:W3CDTF">2026-10-20T02:46:32.122Z</dcterms:created>
  <dcterms:modified xsi:type="dcterms:W3CDTF">2026-10-20T02:46:32.122Z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