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应用程序间的通讯</w:t>
      </w:r>
      <w:r>
        <w:rPr>
          <w:rFonts w:hint="eastAsia" w:ascii="Arial" w:hAnsi="Arial" w:cs="Arial"/>
          <w:color w:val="4D4D4D"/>
          <w:shd w:val="clear" w:color="auto" w:fill="FFFFFF"/>
        </w:rPr>
        <w:t>，</w:t>
      </w:r>
      <w:r>
        <w:rPr>
          <w:rStyle w:val="6"/>
          <w:rFonts w:ascii="Arial" w:hAnsi="Arial" w:cs="Arial"/>
          <w:color w:val="4D4D4D"/>
          <w:shd w:val="clear" w:color="auto" w:fill="FFFFFF"/>
        </w:rPr>
        <w:t>服务化 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Style w:val="6"/>
          <w:rFonts w:ascii="Arial" w:hAnsi="Arial" w:cs="Arial"/>
          <w:color w:val="4D4D4D"/>
          <w:shd w:val="clear" w:color="auto" w:fill="FFFFFF"/>
        </w:rPr>
        <w:t>微服务 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Style w:val="6"/>
          <w:rFonts w:ascii="Arial" w:hAnsi="Arial" w:cs="Arial"/>
          <w:color w:val="4D4D4D"/>
          <w:shd w:val="clear" w:color="auto" w:fill="FFFFFF"/>
        </w:rPr>
        <w:t>分布式系统架构</w:t>
      </w:r>
      <w:r>
        <w:rPr>
          <w:rFonts w:ascii="Arial" w:hAnsi="Arial" w:cs="Arial"/>
          <w:color w:val="4D4D4D"/>
          <w:shd w:val="clear" w:color="auto" w:fill="FFFFFF"/>
        </w:rPr>
        <w:t> 的基础场景。即RPC框架就是实现以上结构的有力方式。</w:t>
      </w:r>
    </w:p>
    <w:p>
      <w:r>
        <w:drawing>
          <wp:inline distT="0" distB="0" distL="114300" distR="114300">
            <wp:extent cx="3781425" cy="27051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RPC两个核心模块，通讯，序列化</w:t>
      </w:r>
    </w:p>
    <w:p/>
    <w:p>
      <w:r>
        <w:t>使用Dubbo可以将核心业务抽取出来，作为独立的服务，逐渐形成稳定的服务中心，可用于提高业务复用灵活扩展，使前端应用能更快速的响应多变的市场需求。</w:t>
      </w:r>
    </w:p>
    <w:p/>
    <w:p>
      <w:pPr>
        <w:rPr>
          <w:rFonts w:hint="eastAsia"/>
        </w:rPr>
      </w:pPr>
      <w:r>
        <w:rPr>
          <w:rFonts w:hint="eastAsia"/>
        </w:rPr>
        <w:t>架构图</w:t>
      </w:r>
    </w:p>
    <w:p>
      <w:r>
        <w:drawing>
          <wp:inline distT="0" distB="0" distL="0" distR="0">
            <wp:extent cx="5274310" cy="4100195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eastAsia="宋体" w:cs="Arial"/>
          <w:color w:val="4D4D4D"/>
          <w:kern w:val="0"/>
          <w:sz w:val="24"/>
        </w:rPr>
      </w:pPr>
      <w:r>
        <w:rPr>
          <w:rFonts w:ascii="Arial" w:hAnsi="Arial" w:eastAsia="宋体" w:cs="Arial"/>
          <w:color w:val="4D4D4D"/>
          <w:kern w:val="0"/>
          <w:sz w:val="24"/>
        </w:rPr>
        <w:t>DUBBO分为四个模块，分别为：注册中心（Registry）、提供者（Provider）、消费者（Consumer）和监控（Monitor）。</w:t>
      </w:r>
    </w:p>
    <w:p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hAnsi="Arial" w:eastAsia="宋体" w:cs="Arial"/>
          <w:kern w:val="0"/>
          <w:sz w:val="24"/>
        </w:rPr>
      </w:pPr>
      <w:r>
        <w:rPr>
          <w:rFonts w:ascii="Arial" w:hAnsi="Arial" w:eastAsia="宋体" w:cs="Arial"/>
          <w:kern w:val="0"/>
          <w:sz w:val="24"/>
        </w:rPr>
        <w:t>注册中心（Registry）：可以是zookeeper、redis、multicast、simple（官方推荐使用Zookeeper）；</w:t>
      </w:r>
    </w:p>
    <w:p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hAnsi="Arial" w:eastAsia="宋体" w:cs="Arial"/>
          <w:kern w:val="0"/>
          <w:sz w:val="24"/>
        </w:rPr>
      </w:pPr>
      <w:r>
        <w:rPr>
          <w:rFonts w:ascii="Arial" w:hAnsi="Arial" w:eastAsia="宋体" w:cs="Arial"/>
          <w:kern w:val="0"/>
          <w:sz w:val="24"/>
        </w:rPr>
        <w:t>提供者（Provider）：服务启动时，Provider引用容器中的服务，并向Registry注册服务，同时暴露服务（Consumer是直接和Provider通讯实现服务调用的）。</w:t>
      </w:r>
    </w:p>
    <w:p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hAnsi="Arial" w:eastAsia="宋体" w:cs="Arial"/>
          <w:kern w:val="0"/>
          <w:sz w:val="24"/>
        </w:rPr>
      </w:pPr>
      <w:r>
        <w:rPr>
          <w:rFonts w:ascii="Arial" w:hAnsi="Arial" w:eastAsia="宋体" w:cs="Arial"/>
          <w:kern w:val="0"/>
          <w:sz w:val="24"/>
        </w:rPr>
        <w:t>消费者（Consumer）：服务启动时，Consumer向Registry订阅服务，如果没有订阅到自己想获得的服务，它会不断的尝试订阅。新的服务注册到注册中心以后，注册中心会将这些服务通过notify到消费者。Consumer直接调用Provider提供的服务。</w:t>
      </w:r>
    </w:p>
    <w:p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hAnsi="Arial" w:eastAsia="宋体" w:cs="Arial"/>
          <w:kern w:val="0"/>
          <w:sz w:val="24"/>
        </w:rPr>
      </w:pPr>
      <w:r>
        <w:rPr>
          <w:rFonts w:ascii="Arial" w:hAnsi="Arial" w:eastAsia="宋体" w:cs="Arial"/>
          <w:kern w:val="0"/>
          <w:sz w:val="24"/>
        </w:rPr>
        <w:t>监控（Monitor）：Consumer和Provider会通过异步的方式定时向Monitor发送消息，报告服务的状态。Monitor在整个架构中是可选的，Monitor功能需要单独配置，不配置或者配置后挂掉并不会影响服务的调用。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工程建立：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引入dubbo依赖</w:t>
      </w:r>
    </w:p>
    <w:p>
      <w:pPr>
        <w:numPr>
          <w:numId w:val="0"/>
        </w:numPr>
      </w:pPr>
      <w:r>
        <w:drawing>
          <wp:inline distT="0" distB="0" distL="114300" distR="114300">
            <wp:extent cx="4657725" cy="20574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Dubbo命名空间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115060"/>
            <wp:effectExtent l="0" t="0" r="762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注册中心</w:t>
      </w:r>
    </w:p>
    <w:p>
      <w:r>
        <w:drawing>
          <wp:inline distT="0" distB="0" distL="114300" distR="114300">
            <wp:extent cx="5274310" cy="912495"/>
            <wp:effectExtent l="0" t="0" r="254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通信规则和端口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67225" cy="4572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暴露服务 需要服务实现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493395"/>
            <wp:effectExtent l="0" t="0" r="635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76885"/>
            <wp:effectExtent l="0" t="0" r="6985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Dubbo和spring依赖信息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86000" cy="101917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@service注解可以暴露服务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@Reference 远程引用服务，从注册中心发现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参数覆盖策略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41575" cy="2619375"/>
            <wp:effectExtent l="0" t="0" r="1587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超时属性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086350" cy="74295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81400" cy="40005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使用注解进行配置的话，属性就在@service中或者@reference</w:t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配置覆盖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52900" cy="142875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重试次数，并不包含第一次，例如设置3，失败后还会再设置3次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57775" cy="981075"/>
            <wp:effectExtent l="0" t="0" r="9525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幂等例如查询删除修改操作可以设置重试次数，非幂等例如新增则不能设置重试次数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单个提供方如果想要提供多个相同服务，需要修改端口然后再运行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负载均衡：提升某个服务的权重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服务降级：当服务器压力剧增时，根据业务情况和流量，对一些服务和页面有策略的不处理或换种简单的方式处理，从而释放服务器资源以保证核心交易正常运作或高效运作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两种降级方式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429125" cy="914400"/>
            <wp:effectExtent l="0" t="0" r="952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2245"/>
    <w:multiLevelType w:val="multilevel"/>
    <w:tmpl w:val="38502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6EDD6F7"/>
    <w:multiLevelType w:val="singleLevel"/>
    <w:tmpl w:val="56EDD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7A"/>
    <w:rsid w:val="005260F2"/>
    <w:rsid w:val="00825DBA"/>
    <w:rsid w:val="00944DC5"/>
    <w:rsid w:val="00A62A36"/>
    <w:rsid w:val="00DD3B92"/>
    <w:rsid w:val="00E71C7A"/>
    <w:rsid w:val="00F50435"/>
    <w:rsid w:val="06AF2F9C"/>
    <w:rsid w:val="06FE1006"/>
    <w:rsid w:val="0E874F8F"/>
    <w:rsid w:val="0FD807E7"/>
    <w:rsid w:val="10EA00BA"/>
    <w:rsid w:val="11853C33"/>
    <w:rsid w:val="12C53F10"/>
    <w:rsid w:val="15081CB2"/>
    <w:rsid w:val="1B29759C"/>
    <w:rsid w:val="1C12684E"/>
    <w:rsid w:val="1DD41267"/>
    <w:rsid w:val="25F41DB0"/>
    <w:rsid w:val="2762657E"/>
    <w:rsid w:val="27C663D0"/>
    <w:rsid w:val="288207C6"/>
    <w:rsid w:val="2ABC1100"/>
    <w:rsid w:val="2DFE36E8"/>
    <w:rsid w:val="3910325B"/>
    <w:rsid w:val="40755ADF"/>
    <w:rsid w:val="475F5490"/>
    <w:rsid w:val="485B5A3B"/>
    <w:rsid w:val="495A3EF1"/>
    <w:rsid w:val="4E60293E"/>
    <w:rsid w:val="4E6B5A19"/>
    <w:rsid w:val="50CF2540"/>
    <w:rsid w:val="55C27C91"/>
    <w:rsid w:val="571851ED"/>
    <w:rsid w:val="59AD63F9"/>
    <w:rsid w:val="5E19356D"/>
    <w:rsid w:val="62AE5C91"/>
    <w:rsid w:val="63DC45EF"/>
    <w:rsid w:val="6D0B6DD6"/>
    <w:rsid w:val="708867F3"/>
    <w:rsid w:val="77EA2FEF"/>
    <w:rsid w:val="7FDB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525</Characters>
  <Lines>4</Lines>
  <Paragraphs>1</Paragraphs>
  <TotalTime>90</TotalTime>
  <ScaleCrop>false</ScaleCrop>
  <LinksUpToDate>false</LinksUpToDate>
  <CharactersWithSpaces>616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2020-12-01T01:25:00Z</dcterms:created>
  <dc:creator>91974</dc:creator>
  <cp:lastModifiedBy>91974</cp:lastModifiedBy>
  <dcterms:modified xsi:type="dcterms:W3CDTF">2020-12-07T08:46:26Z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