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 Guide for Client-Server Application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provides instructions on running the Client-Server File Transfer Application. The application allows clients to request files from the server, and the server responds by sending the requested files to the clients.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Running the Server:(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start the server which listens for incoming client connections.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Open a terminal window.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Navigate to the directory containing the server executable.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Run the server executable using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./server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Running the Client:(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Establish a connection with the server, and the main menu will be displayed.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Open a new terminal window.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Navigate to the directory containing the client executable.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Run the client executable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./client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Using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 Features: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server provides the following options: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name and student ID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5 random numbers and compute the sum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server uname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a list of files in the 'upload'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 a file from the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 Features: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server interacts with the client through a menu.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Clients can request files from the server using the "Menu" option.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 Features: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File transfer from server to client.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Displaying student information, random numbers, system information, and file lists.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Known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After successfully receiving a file, the client application may freeze temporarily before returning to the main menu.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Exiting the client forcefully using Ctrl+C might cause the server to enter into a loop when handling file requests.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