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BCCC6" w14:textId="77777777" w:rsidR="007864F2" w:rsidRDefault="00000000">
      <w:pPr>
        <w:pStyle w:val="aa"/>
        <w:numPr>
          <w:ilvl w:val="0"/>
          <w:numId w:val="1"/>
        </w:numPr>
        <w:spacing w:line="360" w:lineRule="auto"/>
        <w:rPr>
          <w:rFonts w:ascii="微软雅黑" w:eastAsia="微软雅黑" w:hAnsi="微软雅黑"/>
          <w:b/>
          <w:bCs/>
        </w:rPr>
      </w:pPr>
      <w:r>
        <w:rPr>
          <w:rFonts w:ascii="微软雅黑" w:eastAsia="微软雅黑" w:hAnsi="微软雅黑"/>
          <w:b/>
          <w:bCs/>
        </w:rPr>
        <w:t>Lecture 6</w:t>
      </w:r>
    </w:p>
    <w:p w14:paraId="6CCBB7DF" w14:textId="77777777" w:rsidR="007864F2" w:rsidRDefault="00000000">
      <w:pPr>
        <w:pStyle w:val="aa"/>
        <w:numPr>
          <w:ilvl w:val="0"/>
          <w:numId w:val="2"/>
        </w:numPr>
        <w:spacing w:line="360" w:lineRule="auto"/>
        <w:rPr>
          <w:rFonts w:ascii="微软雅黑" w:eastAsia="微软雅黑" w:hAnsi="微软雅黑"/>
        </w:rPr>
      </w:pPr>
      <w:r>
        <w:rPr>
          <w:rFonts w:ascii="微软雅黑" w:eastAsia="微软雅黑" w:hAnsi="微软雅黑"/>
        </w:rPr>
        <w:t>Q，V，A</w:t>
      </w:r>
    </w:p>
    <w:p w14:paraId="5E59CE16" w14:textId="77777777" w:rsidR="007864F2" w:rsidRDefault="00000000">
      <w:pPr>
        <w:pStyle w:val="aa"/>
        <w:spacing w:line="360" w:lineRule="auto"/>
        <w:ind w:left="360" w:firstLine="0"/>
        <w:rPr>
          <w:rFonts w:ascii="微软雅黑" w:eastAsia="微软雅黑" w:hAnsi="微软雅黑"/>
        </w:rPr>
      </w:pPr>
      <w:r>
        <w:rPr>
          <w:noProof/>
        </w:rPr>
        <mc:AlternateContent>
          <mc:Choice Requires="wps">
            <w:drawing>
              <wp:inline distT="114300" distB="168910" distL="133350" distR="136525" wp14:anchorId="7DC96E67" wp14:editId="339D5D28">
                <wp:extent cx="4817110" cy="1870075"/>
                <wp:effectExtent l="133350" t="114300" r="136525" b="168910"/>
                <wp:docPr id="1" name="Shape1"/>
                <wp:cNvGraphicFramePr/>
                <a:graphic xmlns:a="http://schemas.openxmlformats.org/drawingml/2006/main">
                  <a:graphicData uri="http://schemas.openxmlformats.org/drawingml/2006/picture">
                    <pic:pic xmlns:pic="http://schemas.openxmlformats.org/drawingml/2006/picture">
                      <pic:nvPicPr>
                        <pic:cNvPr id="0" name="Shape1"/>
                        <pic:cNvPicPr/>
                      </pic:nvPicPr>
                      <pic:blipFill>
                        <a:blip r:embed="rId5"/>
                        <a:stretch/>
                      </pic:blipFill>
                      <pic:spPr>
                        <a:xfrm>
                          <a:off x="0" y="0"/>
                          <a:ext cx="4816440" cy="1869480"/>
                        </a:xfrm>
                        <a:prstGeom prst="rect">
                          <a:avLst/>
                        </a:prstGeom>
                        <a:ln w="88920" cap="sq">
                          <a:solidFill>
                            <a:srgbClr val="FFFFFF"/>
                          </a:solidFill>
                          <a:miter/>
                        </a:ln>
                        <a:effectLst>
                          <a:outerShdw blurRad="55000" dist="1764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t" style="position:absolute;margin-left:0pt;margin-top:-169.55pt;width:379.2pt;height:147.15pt;mso-position-vertical:top" wp14:anchorId="765842EB" type="shapetype_75">
                <v:imagedata r:id="rId6" o:detectmouseclick="t"/>
                <w10:wrap type="none"/>
                <v:stroke color="white" weight="88920" joinstyle="miter" endcap="square"/>
                <v:shadow on="t" obscured="f" color="black"/>
              </v:shape>
            </w:pict>
          </mc:Fallback>
        </mc:AlternateContent>
      </w:r>
    </w:p>
    <w:p w14:paraId="3644075F" w14:textId="77777777" w:rsidR="007864F2" w:rsidRDefault="00000000">
      <w:pPr>
        <w:pStyle w:val="aa"/>
        <w:spacing w:line="360" w:lineRule="auto"/>
        <w:ind w:left="360" w:firstLine="0"/>
        <w:rPr>
          <w:rFonts w:ascii="微软雅黑" w:eastAsia="微软雅黑" w:hAnsi="微软雅黑"/>
        </w:rPr>
      </w:pPr>
      <w:r>
        <w:rPr>
          <w:noProof/>
        </w:rPr>
        <mc:AlternateContent>
          <mc:Choice Requires="wps">
            <w:drawing>
              <wp:inline distT="114300" distB="159385" distL="133350" distR="128270" wp14:anchorId="370B8533" wp14:editId="5001BBCF">
                <wp:extent cx="4597400" cy="1194435"/>
                <wp:effectExtent l="133350" t="114300" r="128270" b="159385"/>
                <wp:docPr id="2" name="Shape2"/>
                <wp:cNvGraphicFramePr/>
                <a:graphic xmlns:a="http://schemas.openxmlformats.org/drawingml/2006/main">
                  <a:graphicData uri="http://schemas.openxmlformats.org/drawingml/2006/picture">
                    <pic:pic xmlns:pic="http://schemas.openxmlformats.org/drawingml/2006/picture">
                      <pic:nvPicPr>
                        <pic:cNvPr id="1" name="Shape2"/>
                        <pic:cNvPicPr/>
                      </pic:nvPicPr>
                      <pic:blipFill>
                        <a:blip r:embed="rId7"/>
                        <a:stretch/>
                      </pic:blipFill>
                      <pic:spPr>
                        <a:xfrm>
                          <a:off x="0" y="0"/>
                          <a:ext cx="4596840" cy="1193760"/>
                        </a:xfrm>
                        <a:prstGeom prst="rect">
                          <a:avLst/>
                        </a:prstGeom>
                        <a:ln w="88920" cap="sq">
                          <a:solidFill>
                            <a:srgbClr val="FFFFFF"/>
                          </a:solidFill>
                          <a:miter/>
                        </a:ln>
                        <a:effectLst>
                          <a:outerShdw blurRad="55000" dist="1764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mc:Choice>
          <mc:Fallback>
            <w:pict>
              <v:shape id="shape_0" ID="Shape2" stroked="t" style="position:absolute;margin-left:0pt;margin-top:-115.6pt;width:361.9pt;height:93.95pt;mso-position-vertical:top" wp14:anchorId="7732766C" type="shapetype_75">
                <v:imagedata r:id="rId8" o:detectmouseclick="t"/>
                <w10:wrap type="none"/>
                <v:stroke color="white" weight="88920" joinstyle="miter" endcap="square"/>
                <v:shadow on="t" obscured="f" color="black"/>
              </v:shape>
            </w:pict>
          </mc:Fallback>
        </mc:AlternateContent>
      </w:r>
    </w:p>
    <w:p w14:paraId="6ADB9822" w14:textId="77777777" w:rsidR="007864F2" w:rsidRDefault="00000000">
      <w:pPr>
        <w:pStyle w:val="aa"/>
        <w:numPr>
          <w:ilvl w:val="0"/>
          <w:numId w:val="2"/>
        </w:numPr>
        <w:spacing w:line="360" w:lineRule="auto"/>
        <w:rPr>
          <w:rFonts w:ascii="微软雅黑" w:eastAsia="微软雅黑" w:hAnsi="微软雅黑"/>
        </w:rPr>
      </w:pPr>
      <w:r>
        <w:rPr>
          <w:rFonts w:ascii="微软雅黑" w:eastAsia="微软雅黑" w:hAnsi="微软雅黑"/>
        </w:rPr>
        <w:t>The core of the normal actor-critic approach is introducing a network to evaluate the reward of the state-action pair. Compared to the true reward, this way can lead to lower variance and get good generalization, it is a better choice for training the policy.</w:t>
      </w:r>
    </w:p>
    <w:p w14:paraId="05683B47" w14:textId="77777777" w:rsidR="007864F2" w:rsidRDefault="00000000">
      <w:pPr>
        <w:pStyle w:val="aa"/>
        <w:numPr>
          <w:ilvl w:val="0"/>
          <w:numId w:val="2"/>
        </w:numPr>
        <w:spacing w:line="360" w:lineRule="auto"/>
        <w:rPr>
          <w:rFonts w:ascii="微软雅黑" w:eastAsia="微软雅黑" w:hAnsi="微软雅黑"/>
        </w:rPr>
      </w:pPr>
      <w:r>
        <w:rPr>
          <w:rFonts w:ascii="微软雅黑" w:eastAsia="微软雅黑" w:hAnsi="微软雅黑"/>
        </w:rPr>
        <w:t>Actor-critic algorithm</w:t>
      </w:r>
    </w:p>
    <w:p w14:paraId="0AB6CE11" w14:textId="77777777" w:rsidR="007864F2" w:rsidRDefault="00000000">
      <w:pPr>
        <w:pStyle w:val="aa"/>
        <w:spacing w:line="360" w:lineRule="auto"/>
        <w:ind w:left="360" w:firstLine="0"/>
        <w:rPr>
          <w:rFonts w:ascii="微软雅黑" w:eastAsia="微软雅黑" w:hAnsi="微软雅黑"/>
        </w:rPr>
      </w:pPr>
      <w:r>
        <w:rPr>
          <w:noProof/>
        </w:rPr>
        <mc:AlternateContent>
          <mc:Choice Requires="wps">
            <w:drawing>
              <wp:inline distT="114300" distB="162560" distL="133350" distR="154940" wp14:anchorId="6D8EDC92" wp14:editId="1CB0CE38">
                <wp:extent cx="5274945" cy="1857375"/>
                <wp:effectExtent l="133350" t="114300" r="154940" b="162560"/>
                <wp:docPr id="3" name="Shape3"/>
                <wp:cNvGraphicFramePr/>
                <a:graphic xmlns:a="http://schemas.openxmlformats.org/drawingml/2006/main">
                  <a:graphicData uri="http://schemas.openxmlformats.org/drawingml/2006/picture">
                    <pic:pic xmlns:pic="http://schemas.openxmlformats.org/drawingml/2006/picture">
                      <pic:nvPicPr>
                        <pic:cNvPr id="2" name="Shape3"/>
                        <pic:cNvPicPr/>
                      </pic:nvPicPr>
                      <pic:blipFill>
                        <a:blip r:embed="rId9"/>
                        <a:stretch/>
                      </pic:blipFill>
                      <pic:spPr>
                        <a:xfrm>
                          <a:off x="0" y="0"/>
                          <a:ext cx="5274360" cy="1856880"/>
                        </a:xfrm>
                        <a:prstGeom prst="rect">
                          <a:avLst/>
                        </a:prstGeom>
                        <a:ln w="88920" cap="sq">
                          <a:solidFill>
                            <a:srgbClr val="FFFFFF"/>
                          </a:solidFill>
                          <a:miter/>
                        </a:ln>
                        <a:effectLst>
                          <a:outerShdw blurRad="55000" dist="1764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mc:Choice>
          <mc:Fallback>
            <w:pict>
              <v:shape id="shape_0" ID="Shape3" stroked="t" style="position:absolute;margin-left:0pt;margin-top:-168.05pt;width:415.25pt;height:146.15pt;mso-position-vertical:top" wp14:anchorId="2B5FF428" type="shapetype_75">
                <v:imagedata r:id="rId10" o:detectmouseclick="t"/>
                <w10:wrap type="none"/>
                <v:stroke color="white" weight="88920" joinstyle="miter" endcap="square"/>
                <v:shadow on="t" obscured="f" color="black"/>
              </v:shape>
            </w:pict>
          </mc:Fallback>
        </mc:AlternateContent>
      </w:r>
    </w:p>
    <w:p w14:paraId="220C094A" w14:textId="77777777" w:rsidR="007864F2" w:rsidRDefault="00000000">
      <w:pPr>
        <w:pStyle w:val="aa"/>
        <w:numPr>
          <w:ilvl w:val="0"/>
          <w:numId w:val="2"/>
        </w:numPr>
        <w:spacing w:line="360" w:lineRule="auto"/>
        <w:rPr>
          <w:rFonts w:ascii="微软雅黑" w:eastAsia="微软雅黑" w:hAnsi="微软雅黑"/>
        </w:rPr>
      </w:pPr>
      <w:r>
        <w:rPr>
          <w:rFonts w:ascii="微软雅黑" w:eastAsia="微软雅黑" w:hAnsi="微软雅黑"/>
        </w:rPr>
        <w:lastRenderedPageBreak/>
        <w:t>At the second step, we can fit V-function by Monte Carlo or Temporal Difference. MC is unbiased but have higher variance. TD is biased but have lower variance, which is more efficient. Moreover, training process only starts after an episode with MC, but can start after a single action with TD. Thus, MC is an offline algo, TD is an online algo.</w:t>
      </w:r>
    </w:p>
    <w:p w14:paraId="42CD2EAE" w14:textId="23E6CB8B" w:rsidR="007864F2" w:rsidRDefault="00000000">
      <w:pPr>
        <w:pStyle w:val="aa"/>
        <w:numPr>
          <w:ilvl w:val="0"/>
          <w:numId w:val="2"/>
        </w:numPr>
        <w:spacing w:line="360" w:lineRule="auto"/>
        <w:rPr>
          <w:rFonts w:ascii="微软雅黑" w:eastAsia="微软雅黑" w:hAnsi="微软雅黑"/>
        </w:rPr>
      </w:pPr>
      <w:r>
        <w:rPr>
          <w:rFonts w:ascii="微软雅黑" w:eastAsia="微软雅黑" w:hAnsi="微软雅黑"/>
        </w:rPr>
        <w:t>The original policy gradient only has actor network, so it cannot use TD approach, so it is a</w:t>
      </w:r>
      <w:r w:rsidR="00886D84">
        <w:rPr>
          <w:rFonts w:ascii="微软雅黑" w:eastAsia="微软雅黑" w:hAnsi="微软雅黑" w:hint="eastAsia"/>
        </w:rPr>
        <w:t>n</w:t>
      </w:r>
      <w:r>
        <w:rPr>
          <w:rFonts w:ascii="微软雅黑" w:eastAsia="微软雅黑" w:hAnsi="微软雅黑"/>
        </w:rPr>
        <w:t xml:space="preserve"> offline algorithm. However, it also has both on-policy and off-policy implementation.</w:t>
      </w:r>
    </w:p>
    <w:p w14:paraId="54849809" w14:textId="77777777" w:rsidR="007864F2" w:rsidRDefault="007864F2">
      <w:pPr>
        <w:rPr>
          <w:rFonts w:hint="eastAsia"/>
        </w:rPr>
      </w:pPr>
    </w:p>
    <w:sectPr w:rsidR="007864F2">
      <w:pgSz w:w="11906" w:h="16838"/>
      <w:pgMar w:top="1440" w:right="1800" w:bottom="1440" w:left="1800" w:header="0" w:footer="0" w:gutter="0"/>
      <w:cols w:space="720"/>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C46B9"/>
    <w:multiLevelType w:val="multilevel"/>
    <w:tmpl w:val="D88E4316"/>
    <w:lvl w:ilvl="0">
      <w:numFmt w:val="bullet"/>
      <w:lvlText w:val="-"/>
      <w:lvlJc w:val="left"/>
      <w:pPr>
        <w:tabs>
          <w:tab w:val="num" w:pos="0"/>
        </w:tabs>
        <w:ind w:left="360" w:hanging="360"/>
      </w:pPr>
      <w:rPr>
        <w:rFonts w:ascii="微软雅黑" w:hAnsi="微软雅黑" w:cs="微软雅黑"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1" w15:restartNumberingAfterBreak="0">
    <w:nsid w:val="25C00131"/>
    <w:multiLevelType w:val="multilevel"/>
    <w:tmpl w:val="B22278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0126704"/>
    <w:multiLevelType w:val="multilevel"/>
    <w:tmpl w:val="9514953A"/>
    <w:lvl w:ilvl="0">
      <w:start w:val="1"/>
      <w:numFmt w:val="decimal"/>
      <w:lvlText w:val="%1."/>
      <w:lvlJc w:val="left"/>
      <w:pPr>
        <w:tabs>
          <w:tab w:val="num" w:pos="0"/>
        </w:tabs>
        <w:ind w:left="360" w:hanging="360"/>
      </w:p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num w:numId="1" w16cid:durableId="401291087">
    <w:abstractNumId w:val="0"/>
  </w:num>
  <w:num w:numId="2" w16cid:durableId="1983386892">
    <w:abstractNumId w:val="2"/>
  </w:num>
  <w:num w:numId="3" w16cid:durableId="958678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F2"/>
    <w:rsid w:val="007864F2"/>
    <w:rsid w:val="00886D84"/>
    <w:rsid w:val="00DF1F8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C072"/>
  <w15:docId w15:val="{4CBA74E3-4997-496B-9F4E-03AD31CA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366C3F"/>
    <w:rPr>
      <w:sz w:val="18"/>
      <w:szCs w:val="18"/>
    </w:rPr>
  </w:style>
  <w:style w:type="character" w:customStyle="1" w:styleId="a4">
    <w:name w:val="页脚 字符"/>
    <w:basedOn w:val="a0"/>
    <w:uiPriority w:val="99"/>
    <w:qFormat/>
    <w:rsid w:val="00366C3F"/>
    <w:rPr>
      <w:sz w:val="18"/>
      <w:szCs w:val="18"/>
    </w:rPr>
  </w:style>
  <w:style w:type="paragraph" w:customStyle="1" w:styleId="Heading">
    <w:name w:val="Heading"/>
    <w:basedOn w:val="a"/>
    <w:next w:val="a5"/>
    <w:qFormat/>
    <w:pPr>
      <w:keepNext/>
      <w:spacing w:before="240" w:after="120"/>
    </w:pPr>
    <w:rPr>
      <w:rFonts w:ascii="Liberation Sans" w:eastAsia="Noto Sans CJK SC" w:hAnsi="Liberation Sans" w:cs="Lohit Devanagari"/>
      <w:sz w:val="28"/>
      <w:szCs w:val="28"/>
    </w:rPr>
  </w:style>
  <w:style w:type="paragraph" w:styleId="a5">
    <w:name w:val="Body Text"/>
    <w:basedOn w:val="a"/>
    <w:pPr>
      <w:spacing w:after="140" w:line="276" w:lineRule="auto"/>
    </w:pPr>
  </w:style>
  <w:style w:type="paragraph" w:styleId="a6">
    <w:name w:val="List"/>
    <w:basedOn w:val="a5"/>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HeaderandFooter">
    <w:name w:val="Header and Footer"/>
    <w:basedOn w:val="a"/>
    <w:qFormat/>
  </w:style>
  <w:style w:type="paragraph" w:styleId="a8">
    <w:name w:val="header"/>
    <w:basedOn w:val="a"/>
    <w:uiPriority w:val="99"/>
    <w:unhideWhenUsed/>
    <w:rsid w:val="00366C3F"/>
    <w:pPr>
      <w:tabs>
        <w:tab w:val="center" w:pos="4153"/>
        <w:tab w:val="right" w:pos="8306"/>
      </w:tabs>
      <w:snapToGrid w:val="0"/>
      <w:jc w:val="center"/>
    </w:pPr>
    <w:rPr>
      <w:sz w:val="18"/>
      <w:szCs w:val="18"/>
    </w:rPr>
  </w:style>
  <w:style w:type="paragraph" w:styleId="a9">
    <w:name w:val="footer"/>
    <w:basedOn w:val="a"/>
    <w:uiPriority w:val="99"/>
    <w:unhideWhenUsed/>
    <w:rsid w:val="00366C3F"/>
    <w:pPr>
      <w:tabs>
        <w:tab w:val="center" w:pos="4153"/>
        <w:tab w:val="right" w:pos="8306"/>
      </w:tabs>
      <w:snapToGrid w:val="0"/>
      <w:jc w:val="left"/>
    </w:pPr>
    <w:rPr>
      <w:sz w:val="18"/>
      <w:szCs w:val="18"/>
    </w:rPr>
  </w:style>
  <w:style w:type="paragraph" w:styleId="aa">
    <w:name w:val="List Paragraph"/>
    <w:basedOn w:val="a"/>
    <w:uiPriority w:val="34"/>
    <w:qFormat/>
    <w:rsid w:val="00366C3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翔宇 曹</dc:creator>
  <dc:description/>
  <cp:lastModifiedBy>翔宇 曹</cp:lastModifiedBy>
  <cp:revision>15</cp:revision>
  <dcterms:created xsi:type="dcterms:W3CDTF">2024-11-12T03:24:00Z</dcterms:created>
  <dcterms:modified xsi:type="dcterms:W3CDTF">2024-11-12T04:07:00Z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