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480"/>
        <w:jc w:val="center"/>
      </w:pPr>
      <w:r>
        <w:rPr>
          <w:rFonts w:ascii="Calibri" w:hAnsi="Calibri"/>
          <w:b/>
          <w:color w:val="5C6A7A"/>
          <w:sz w:val="20"/>
        </w:rPr>
        <w:t>SOURCE-VERIFIED EMBEDDED ADC GUIDE</w:t>
      </w:r>
    </w:p>
    <w:p>
      <w:pPr>
        <w:spacing w:after="100"/>
        <w:jc w:val="center"/>
      </w:pPr>
      <w:r>
        <w:rPr>
          <w:rFonts w:ascii="Calibri" w:hAnsi="Calibri"/>
          <w:b/>
          <w:color w:val="1F4E79"/>
          <w:sz w:val="58"/>
        </w:rPr>
        <w:t>ADS1115 Continuous Conversion Mode</w:t>
      </w:r>
    </w:p>
    <w:p>
      <w:pPr>
        <w:spacing w:after="560"/>
        <w:jc w:val="center"/>
      </w:pPr>
      <w:r>
        <w:rPr>
          <w:rFonts w:ascii="Calibri" w:hAnsi="Calibri"/>
          <w:color w:val="5C6A7A"/>
          <w:sz w:val="25"/>
        </w:rPr>
        <w:t>Simple Explanations, Internal ADC Behavior, Latest-Sample Timing, Integer Scaling, Finalized Source, and Engineering Review</w:t>
      </w:r>
    </w:p>
    <w:tbl>
      <w:tblPr>
        <w:tblW w:type="dxa" w:w="9360"/>
        <w:jc w:val="left"/>
        <w:tblLayout w:type="fixed"/>
        <w:tblLook w:firstColumn="1" w:firstRow="1" w:lastColumn="0" w:lastRow="0" w:noHBand="0" w:noVBand="1" w:val="04A0"/>
        <w:tblInd w:type="dxa" w:w="120"/>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Pr>
      <w:tblGrid>
        <w:gridCol w:w="9360"/>
      </w:tblGrid>
      <w:tr>
        <w:trPr>
          <w:tblHeader w:val="true"/>
        </w:trPr>
        <w:tc>
          <w:tcPr>
            <w:tcW w:type="dxa" w:w="9360"/>
            <w:vAlign w:val="center"/>
            <w:tcMar>
              <w:top w:w="80" w:type="dxa"/>
              <w:start w:w="120" w:type="dxa"/>
              <w:bottom w:w="80" w:type="dxa"/>
              <w:end w:w="120" w:type="dxa"/>
            </w:tcMar>
            <w:shd w:fill="EAF4EA"/>
          </w:tcPr>
          <w:p>
            <w:r>
              <w:rPr>
                <w:rFonts w:ascii="Calibri" w:hAnsi="Calibri"/>
                <w:b/>
                <w:color w:val="1F4E79"/>
                <w:sz w:val="21"/>
              </w:rPr>
              <w:t xml:space="preserve">Document purpose: </w:t>
            </w:r>
            <w:r>
              <w:rPr>
                <w:rFonts w:ascii="Calibri" w:hAnsi="Calibri"/>
                <w:color w:val="162233"/>
                <w:sz w:val="21"/>
              </w:rPr>
              <w:t>Understand what the ADS1115 does after continuous mode is started, how often new data appears, what the Conversion register stores, and how the attached STM32F4 driver reads and displays the latest AIN0 value.</w:t>
            </w:r>
          </w:p>
        </w:tc>
      </w:tr>
    </w:tbl>
    <w:p>
      <w:pPr>
        <w:spacing w:after="80"/>
      </w:pP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350"/>
        <w:gridCol w:w="7010"/>
      </w:tblGrid>
      <w:tr>
        <w:trPr>
          <w:tblHeader w:val="true"/>
        </w:trPr>
        <w:tc>
          <w:tcPr>
            <w:tcW w:type="dxa" w:w="2350"/>
            <w:vAlign w:val="center"/>
            <w:tcMar>
              <w:top w:w="80" w:type="dxa"/>
              <w:start w:w="120" w:type="dxa"/>
              <w:bottom w:w="80" w:type="dxa"/>
              <w:end w:w="120" w:type="dxa"/>
            </w:tcMar>
            <w:shd w:fill="F2F4F7"/>
          </w:tcPr>
          <w:p>
            <w:pPr>
              <w:jc w:val="center"/>
            </w:pPr>
            <w:r>
              <w:rPr>
                <w:rFonts w:ascii="Calibri" w:hAnsi="Calibri"/>
                <w:b/>
                <w:color w:val="162233"/>
                <w:sz w:val="20"/>
              </w:rPr>
              <w:t>Coverage</w:t>
            </w:r>
          </w:p>
        </w:tc>
        <w:tc>
          <w:tcPr>
            <w:tcW w:type="dxa" w:w="7010"/>
            <w:vAlign w:val="center"/>
            <w:tcMar>
              <w:top w:w="80" w:type="dxa"/>
              <w:start w:w="120" w:type="dxa"/>
              <w:bottom w:w="80" w:type="dxa"/>
              <w:end w:w="120" w:type="dxa"/>
            </w:tcMar>
            <w:shd w:fill="F2F4F7"/>
          </w:tcPr>
          <w:p>
            <w:pPr>
              <w:jc w:val="center"/>
            </w:pPr>
            <w:r>
              <w:rPr>
                <w:rFonts w:ascii="Calibri" w:hAnsi="Calibri"/>
                <w:b/>
                <w:color w:val="162233"/>
                <w:sz w:val="20"/>
              </w:rPr>
              <w:t>This edition explains</w:t>
            </w:r>
          </w:p>
        </w:tc>
      </w:tr>
      <w:tr>
        <w:tc>
          <w:tcPr>
            <w:tcW w:type="dxa" w:w="2350"/>
          </w:tcPr>
          <w:p>
            <w:pPr>
              <w:jc w:val="center"/>
            </w:pPr>
            <w:r>
              <w:rPr>
                <w:rFonts w:ascii="Calibri" w:hAnsi="Calibri"/>
                <w:color w:val="162233"/>
                <w:sz w:val="20"/>
              </w:rPr>
              <w:t>Mode</w:t>
            </w:r>
          </w:p>
        </w:tc>
        <w:tc>
          <w:tcPr>
            <w:tcW w:type="dxa" w:w="7010"/>
          </w:tcPr>
          <w:p>
            <w:pPr>
              <w:jc w:val="left"/>
            </w:pPr>
            <w:r>
              <w:rPr>
                <w:rFonts w:ascii="Calibri" w:hAnsi="Calibri"/>
                <w:color w:val="162233"/>
                <w:sz w:val="20"/>
              </w:rPr>
              <w:t>AIN0 single-ended, +/-4.096 V, continuous conversion, 128 SPS</w:t>
            </w:r>
          </w:p>
        </w:tc>
      </w:tr>
      <w:tr>
        <w:tc>
          <w:tcPr>
            <w:tcW w:type="dxa" w:w="2350"/>
          </w:tcPr>
          <w:p>
            <w:pPr>
              <w:jc w:val="center"/>
            </w:pPr>
            <w:r>
              <w:rPr>
                <w:rFonts w:ascii="Calibri" w:hAnsi="Calibri"/>
                <w:color w:val="162233"/>
                <w:sz w:val="20"/>
              </w:rPr>
              <w:t>Key idea</w:t>
            </w:r>
          </w:p>
        </w:tc>
        <w:tc>
          <w:tcPr>
            <w:tcW w:type="dxa" w:w="7010"/>
          </w:tcPr>
          <w:p>
            <w:pPr>
              <w:jc w:val="left"/>
            </w:pPr>
            <w:r>
              <w:rPr>
                <w:rFonts w:ascii="Calibri" w:hAnsi="Calibri"/>
                <w:color w:val="162233"/>
                <w:sz w:val="20"/>
              </w:rPr>
              <w:t>Write Config once; the ADC keeps converting by itself</w:t>
            </w:r>
          </w:p>
        </w:tc>
      </w:tr>
      <w:tr>
        <w:tc>
          <w:tcPr>
            <w:tcW w:type="dxa" w:w="2350"/>
          </w:tcPr>
          <w:p>
            <w:pPr>
              <w:jc w:val="center"/>
            </w:pPr>
            <w:r>
              <w:rPr>
                <w:rFonts w:ascii="Calibri" w:hAnsi="Calibri"/>
                <w:color w:val="162233"/>
                <w:sz w:val="20"/>
              </w:rPr>
              <w:t>Data behavior</w:t>
            </w:r>
          </w:p>
        </w:tc>
        <w:tc>
          <w:tcPr>
            <w:tcW w:type="dxa" w:w="7010"/>
          </w:tcPr>
          <w:p>
            <w:pPr>
              <w:jc w:val="left"/>
            </w:pPr>
            <w:r>
              <w:rPr>
                <w:rFonts w:ascii="Calibri" w:hAnsi="Calibri"/>
                <w:color w:val="162233"/>
                <w:sz w:val="20"/>
              </w:rPr>
              <w:t>One latest-result register, no FIFO, repeated/skipped samples depending on read rate</w:t>
            </w:r>
          </w:p>
        </w:tc>
      </w:tr>
      <w:tr>
        <w:tc>
          <w:tcPr>
            <w:tcW w:type="dxa" w:w="2350"/>
          </w:tcPr>
          <w:p>
            <w:pPr>
              <w:jc w:val="center"/>
            </w:pPr>
            <w:r>
              <w:rPr>
                <w:rFonts w:ascii="Calibri" w:hAnsi="Calibri"/>
                <w:color w:val="162233"/>
                <w:sz w:val="20"/>
              </w:rPr>
              <w:t>Math</w:t>
            </w:r>
          </w:p>
        </w:tc>
        <w:tc>
          <w:tcPr>
            <w:tcW w:type="dxa" w:w="7010"/>
          </w:tcPr>
          <w:p>
            <w:pPr>
              <w:jc w:val="left"/>
            </w:pPr>
            <w:r>
              <w:rPr>
                <w:rFonts w:ascii="Calibri" w:hAnsi="Calibri"/>
                <w:color w:val="162233"/>
                <w:sz w:val="20"/>
              </w:rPr>
              <w:t>Signed raw code -&gt; microvolts -&gt; rounded millivolts</w:t>
            </w:r>
          </w:p>
        </w:tc>
      </w:tr>
      <w:tr>
        <w:tc>
          <w:tcPr>
            <w:tcW w:type="dxa" w:w="2350"/>
          </w:tcPr>
          <w:p>
            <w:pPr>
              <w:jc w:val="center"/>
            </w:pPr>
            <w:r>
              <w:rPr>
                <w:rFonts w:ascii="Calibri" w:hAnsi="Calibri"/>
                <w:color w:val="162233"/>
                <w:sz w:val="20"/>
              </w:rPr>
              <w:t>Source</w:t>
            </w:r>
          </w:p>
        </w:tc>
        <w:tc>
          <w:tcPr>
            <w:tcW w:type="dxa" w:w="7010"/>
          </w:tcPr>
          <w:p>
            <w:pPr>
              <w:jc w:val="left"/>
            </w:pPr>
            <w:r>
              <w:rPr>
                <w:rFonts w:ascii="Calibri" w:hAnsi="Calibri"/>
                <w:color w:val="162233"/>
                <w:sz w:val="20"/>
              </w:rPr>
              <w:t>Six attached C/H files are the implementation authority</w:t>
            </w:r>
          </w:p>
        </w:tc>
      </w:tr>
      <w:tr>
        <w:tc>
          <w:tcPr>
            <w:tcW w:type="dxa" w:w="2350"/>
          </w:tcPr>
          <w:p>
            <w:pPr>
              <w:jc w:val="center"/>
            </w:pPr>
            <w:r>
              <w:rPr>
                <w:rFonts w:ascii="Calibri" w:hAnsi="Calibri"/>
                <w:color w:val="162233"/>
                <w:sz w:val="20"/>
              </w:rPr>
              <w:t>Reference depth</w:t>
            </w:r>
          </w:p>
        </w:tc>
        <w:tc>
          <w:tcPr>
            <w:tcW w:type="dxa" w:w="7010"/>
          </w:tcPr>
          <w:p>
            <w:pPr>
              <w:jc w:val="left"/>
            </w:pPr>
            <w:r>
              <w:rPr>
                <w:rFonts w:ascii="Calibri" w:hAnsi="Calibri"/>
                <w:color w:val="162233"/>
                <w:sz w:val="20"/>
              </w:rPr>
              <w:t>Functional modes, timing, reconfiguration, power, noise, ALERT/RDY, and limitations</w:t>
            </w:r>
          </w:p>
        </w:tc>
      </w:tr>
    </w:tbl>
    <w:p>
      <w:pPr>
        <w:spacing w:after="120"/>
      </w:pPr>
    </w:p>
    <w:p>
      <w:r>
        <w:br w:type="page"/>
      </w:r>
    </w:p>
    <w:p>
      <w:pPr>
        <w:pStyle w:val="Heading1"/>
      </w:pPr>
      <w:r>
        <w:t>1. Document Control and Source Scope</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700"/>
        <w:gridCol w:w="6660"/>
      </w:tblGrid>
      <w:tr>
        <w:trPr>
          <w:tblHeader w:val="true"/>
        </w:trPr>
        <w:tc>
          <w:tcPr>
            <w:tcW w:type="dxa" w:w="2700"/>
            <w:vAlign w:val="center"/>
            <w:tcMar>
              <w:top w:w="80" w:type="dxa"/>
              <w:start w:w="120" w:type="dxa"/>
              <w:bottom w:w="80" w:type="dxa"/>
              <w:end w:w="120" w:type="dxa"/>
            </w:tcMar>
            <w:shd w:fill="E8EEF5"/>
          </w:tcPr>
          <w:p>
            <w:pPr>
              <w:jc w:val="center"/>
            </w:pPr>
            <w:r>
              <w:rPr>
                <w:rFonts w:ascii="Calibri" w:hAnsi="Calibri"/>
                <w:b/>
                <w:color w:val="162233"/>
                <w:sz w:val="18"/>
              </w:rPr>
              <w:t>Item</w:t>
            </w:r>
          </w:p>
        </w:tc>
        <w:tc>
          <w:tcPr>
            <w:tcW w:type="dxa" w:w="6660"/>
            <w:vAlign w:val="center"/>
            <w:tcMar>
              <w:top w:w="80" w:type="dxa"/>
              <w:start w:w="120" w:type="dxa"/>
              <w:bottom w:w="80" w:type="dxa"/>
              <w:end w:w="120" w:type="dxa"/>
            </w:tcMar>
            <w:shd w:fill="E8EEF5"/>
          </w:tcPr>
          <w:p>
            <w:pPr>
              <w:jc w:val="center"/>
            </w:pPr>
            <w:r>
              <w:rPr>
                <w:rFonts w:ascii="Calibri" w:hAnsi="Calibri"/>
                <w:b/>
                <w:color w:val="162233"/>
                <w:sz w:val="18"/>
              </w:rPr>
              <w:t>Value</w:t>
            </w:r>
          </w:p>
        </w:tc>
      </w:tr>
      <w:tr>
        <w:tc>
          <w:tcPr>
            <w:tcW w:type="dxa" w:w="2700"/>
          </w:tcPr>
          <w:p>
            <w:pPr>
              <w:jc w:val="center"/>
            </w:pPr>
            <w:r>
              <w:rPr>
                <w:rFonts w:ascii="Calibri" w:hAnsi="Calibri"/>
                <w:color w:val="162233"/>
                <w:sz w:val="17"/>
              </w:rPr>
              <w:t>Document type</w:t>
            </w:r>
          </w:p>
        </w:tc>
        <w:tc>
          <w:tcPr>
            <w:tcW w:type="dxa" w:w="6660"/>
          </w:tcPr>
          <w:p>
            <w:pPr>
              <w:jc w:val="left"/>
            </w:pPr>
            <w:r>
              <w:rPr>
                <w:rFonts w:ascii="Calibri" w:hAnsi="Calibri"/>
                <w:color w:val="162233"/>
                <w:sz w:val="17"/>
              </w:rPr>
              <w:t>ADS1115 continuous-mode source-verified learning reference</w:t>
            </w:r>
          </w:p>
        </w:tc>
      </w:tr>
      <w:tr>
        <w:tc>
          <w:tcPr>
            <w:tcW w:type="dxa" w:w="2700"/>
          </w:tcPr>
          <w:p>
            <w:pPr>
              <w:jc w:val="left"/>
            </w:pPr>
            <w:r>
              <w:rPr>
                <w:rFonts w:ascii="Calibri" w:hAnsi="Calibri"/>
                <w:color w:val="162233"/>
                <w:sz w:val="17"/>
              </w:rPr>
              <w:t>Implementation authority</w:t>
            </w:r>
          </w:p>
        </w:tc>
        <w:tc>
          <w:tcPr>
            <w:tcW w:type="dxa" w:w="6660"/>
          </w:tcPr>
          <w:p>
            <w:pPr>
              <w:jc w:val="left"/>
            </w:pPr>
            <w:r>
              <w:rPr>
                <w:rFonts w:ascii="Calibri" w:hAnsi="Calibri"/>
                <w:color w:val="162233"/>
                <w:sz w:val="17"/>
              </w:rPr>
              <w:t>Attached ads1115.c/.h, i2c.c/.h, main.c/.h</w:t>
            </w:r>
          </w:p>
        </w:tc>
      </w:tr>
      <w:tr>
        <w:tc>
          <w:tcPr>
            <w:tcW w:type="dxa" w:w="2700"/>
          </w:tcPr>
          <w:p>
            <w:pPr>
              <w:jc w:val="left"/>
            </w:pPr>
            <w:r>
              <w:rPr>
                <w:rFonts w:ascii="Calibri" w:hAnsi="Calibri"/>
                <w:color w:val="162233"/>
                <w:sz w:val="17"/>
              </w:rPr>
              <w:t>Learning narrative</w:t>
            </w:r>
          </w:p>
        </w:tc>
        <w:tc>
          <w:tcPr>
            <w:tcW w:type="dxa" w:w="6660"/>
          </w:tcPr>
          <w:p>
            <w:pPr>
              <w:jc w:val="left"/>
            </w:pPr>
            <w:r>
              <w:rPr>
                <w:rFonts w:ascii="Calibri" w:hAnsi="Calibri"/>
                <w:color w:val="162233"/>
                <w:sz w:val="17"/>
              </w:rPr>
              <w:t>Attached continuous-mode chat</w:t>
            </w:r>
          </w:p>
        </w:tc>
      </w:tr>
      <w:tr>
        <w:tc>
          <w:tcPr>
            <w:tcW w:type="dxa" w:w="2700"/>
          </w:tcPr>
          <w:p>
            <w:pPr>
              <w:jc w:val="center"/>
            </w:pPr>
            <w:r>
              <w:rPr>
                <w:rFonts w:ascii="Calibri" w:hAnsi="Calibri"/>
                <w:color w:val="162233"/>
                <w:sz w:val="17"/>
              </w:rPr>
              <w:t>Device reference</w:t>
            </w:r>
          </w:p>
        </w:tc>
        <w:tc>
          <w:tcPr>
            <w:tcW w:type="dxa" w:w="6660"/>
          </w:tcPr>
          <w:p>
            <w:pPr>
              <w:jc w:val="left"/>
            </w:pPr>
            <w:r>
              <w:rPr>
                <w:rFonts w:ascii="Calibri" w:hAnsi="Calibri"/>
                <w:color w:val="162233"/>
                <w:sz w:val="17"/>
              </w:rPr>
              <w:t>TI ADS111x datasheet SBAS444E</w:t>
            </w:r>
          </w:p>
        </w:tc>
      </w:tr>
      <w:tr>
        <w:tc>
          <w:tcPr>
            <w:tcW w:type="dxa" w:w="2700"/>
          </w:tcPr>
          <w:p>
            <w:pPr>
              <w:jc w:val="center"/>
            </w:pPr>
            <w:r>
              <w:rPr>
                <w:rFonts w:ascii="Calibri" w:hAnsi="Calibri"/>
                <w:color w:val="162233"/>
                <w:sz w:val="17"/>
              </w:rPr>
              <w:t>Design</w:t>
            </w:r>
          </w:p>
        </w:tc>
        <w:tc>
          <w:tcPr>
            <w:tcW w:type="dxa" w:w="6660"/>
          </w:tcPr>
          <w:p>
            <w:pPr>
              <w:jc w:val="left"/>
            </w:pPr>
            <w:r>
              <w:rPr>
                <w:rFonts w:ascii="Calibri" w:hAnsi="Calibri"/>
                <w:color w:val="162233"/>
                <w:sz w:val="17"/>
              </w:rPr>
              <w:t>compact_reference_guide with editorial cover</w:t>
            </w:r>
          </w:p>
        </w:tc>
      </w:tr>
      <w:tr>
        <w:tc>
          <w:tcPr>
            <w:tcW w:type="dxa" w:w="2700"/>
          </w:tcPr>
          <w:p>
            <w:pPr>
              <w:jc w:val="center"/>
            </w:pPr>
            <w:r>
              <w:rPr>
                <w:rFonts w:ascii="Calibri" w:hAnsi="Calibri"/>
                <w:color w:val="162233"/>
                <w:sz w:val="17"/>
              </w:rPr>
              <w:t>Generated</w:t>
            </w:r>
          </w:p>
        </w:tc>
        <w:tc>
          <w:tcPr>
            <w:tcW w:type="dxa" w:w="6660"/>
          </w:tcPr>
          <w:p>
            <w:pPr>
              <w:jc w:val="left"/>
            </w:pPr>
            <w:r>
              <w:rPr>
                <w:rFonts w:ascii="Calibri" w:hAnsi="Calibri"/>
                <w:color w:val="162233"/>
                <w:sz w:val="17"/>
              </w:rPr>
              <w:t>10 July 2026</w:t>
            </w:r>
          </w:p>
        </w:tc>
      </w:tr>
      <w:tr>
        <w:tc>
          <w:tcPr>
            <w:tcW w:type="dxa" w:w="2700"/>
          </w:tcPr>
          <w:p>
            <w:pPr>
              <w:jc w:val="center"/>
            </w:pPr>
            <w:r>
              <w:rPr>
                <w:rFonts w:ascii="Calibri" w:hAnsi="Calibri"/>
                <w:color w:val="162233"/>
                <w:sz w:val="17"/>
              </w:rPr>
              <w:t>Footer</w:t>
            </w:r>
          </w:p>
        </w:tc>
        <w:tc>
          <w:tcPr>
            <w:tcW w:type="dxa" w:w="6660"/>
          </w:tcPr>
          <w:p>
            <w:pPr>
              <w:jc w:val="left"/>
            </w:pPr>
            <w:r>
              <w:rPr>
                <w:rFonts w:ascii="Calibri" w:hAnsi="Calibri"/>
                <w:color w:val="162233"/>
                <w:sz w:val="17"/>
              </w:rPr>
              <w:t>Embedded Learning Document</w:t>
            </w:r>
          </w:p>
        </w:tc>
      </w:tr>
    </w:tbl>
    <w:p>
      <w:pPr>
        <w:spacing w:after="120"/>
      </w:pPr>
    </w:p>
    <w:p>
      <w:pPr>
        <w:pStyle w:val="Heading1"/>
      </w:pPr>
      <w:r>
        <w:t>2. Files Read</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700"/>
        <w:gridCol w:w="5300"/>
        <w:gridCol w:w="2360"/>
      </w:tblGrid>
      <w:tr>
        <w:trPr>
          <w:tblHeader w:val="true"/>
        </w:trPr>
        <w:tc>
          <w:tcPr>
            <w:tcW w:type="dxa" w:w="1700"/>
            <w:vAlign w:val="center"/>
            <w:tcMar>
              <w:top w:w="80" w:type="dxa"/>
              <w:start w:w="120" w:type="dxa"/>
              <w:bottom w:w="80" w:type="dxa"/>
              <w:end w:w="120" w:type="dxa"/>
            </w:tcMar>
            <w:shd w:fill="E8EEF5"/>
          </w:tcPr>
          <w:p>
            <w:pPr>
              <w:jc w:val="center"/>
            </w:pPr>
            <w:r>
              <w:rPr>
                <w:rFonts w:ascii="Calibri" w:hAnsi="Calibri"/>
                <w:b/>
                <w:color w:val="162233"/>
                <w:sz w:val="18"/>
              </w:rPr>
              <w:t>File</w:t>
            </w:r>
          </w:p>
        </w:tc>
        <w:tc>
          <w:tcPr>
            <w:tcW w:type="dxa" w:w="5300"/>
            <w:vAlign w:val="center"/>
            <w:tcMar>
              <w:top w:w="80" w:type="dxa"/>
              <w:start w:w="120" w:type="dxa"/>
              <w:bottom w:w="80" w:type="dxa"/>
              <w:end w:w="120" w:type="dxa"/>
            </w:tcMar>
            <w:shd w:fill="E8EEF5"/>
          </w:tcPr>
          <w:p>
            <w:pPr>
              <w:jc w:val="center"/>
            </w:pPr>
            <w:r>
              <w:rPr>
                <w:rFonts w:ascii="Calibri" w:hAnsi="Calibri"/>
                <w:b/>
                <w:color w:val="162233"/>
                <w:sz w:val="18"/>
              </w:rPr>
              <w:t>Role</w:t>
            </w:r>
          </w:p>
        </w:tc>
        <w:tc>
          <w:tcPr>
            <w:tcW w:type="dxa" w:w="2360"/>
            <w:vAlign w:val="center"/>
            <w:tcMar>
              <w:top w:w="80" w:type="dxa"/>
              <w:start w:w="120" w:type="dxa"/>
              <w:bottom w:w="80" w:type="dxa"/>
              <w:end w:w="120" w:type="dxa"/>
            </w:tcMar>
            <w:shd w:fill="E8EEF5"/>
          </w:tcPr>
          <w:p>
            <w:pPr>
              <w:jc w:val="center"/>
            </w:pPr>
            <w:r>
              <w:rPr>
                <w:rFonts w:ascii="Calibri" w:hAnsi="Calibri"/>
                <w:b/>
                <w:color w:val="162233"/>
                <w:sz w:val="18"/>
              </w:rPr>
              <w:t>SHA256 prefix</w:t>
            </w:r>
          </w:p>
        </w:tc>
      </w:tr>
      <w:tr>
        <w:tc>
          <w:tcPr>
            <w:tcW w:type="dxa" w:w="1700"/>
          </w:tcPr>
          <w:p>
            <w:pPr>
              <w:jc w:val="center"/>
            </w:pPr>
            <w:r>
              <w:rPr>
                <w:rFonts w:ascii="Calibri" w:hAnsi="Calibri"/>
                <w:color w:val="162233"/>
                <w:sz w:val="17"/>
              </w:rPr>
              <w:t>ads1115.c</w:t>
            </w:r>
          </w:p>
        </w:tc>
        <w:tc>
          <w:tcPr>
            <w:tcW w:type="dxa" w:w="5300"/>
          </w:tcPr>
          <w:p>
            <w:pPr>
              <w:jc w:val="left"/>
            </w:pPr>
            <w:r>
              <w:rPr>
                <w:rFonts w:ascii="Calibri" w:hAnsi="Calibri"/>
                <w:color w:val="162233"/>
                <w:sz w:val="17"/>
              </w:rPr>
              <w:t>Continuous start/stop, raw read, integer conversion, UART test</w:t>
            </w:r>
          </w:p>
        </w:tc>
        <w:tc>
          <w:tcPr>
            <w:tcW w:type="dxa" w:w="2360"/>
          </w:tcPr>
          <w:p>
            <w:pPr>
              <w:jc w:val="left"/>
            </w:pPr>
            <w:r>
              <w:rPr>
                <w:rFonts w:ascii="Calibri" w:hAnsi="Calibri"/>
                <w:color w:val="162233"/>
                <w:sz w:val="17"/>
              </w:rPr>
              <w:t>4bc2af939b8accdb...</w:t>
            </w:r>
          </w:p>
        </w:tc>
      </w:tr>
      <w:tr>
        <w:tc>
          <w:tcPr>
            <w:tcW w:type="dxa" w:w="1700"/>
          </w:tcPr>
          <w:p>
            <w:pPr>
              <w:jc w:val="center"/>
            </w:pPr>
            <w:r>
              <w:rPr>
                <w:rFonts w:ascii="Calibri" w:hAnsi="Calibri"/>
                <w:color w:val="162233"/>
                <w:sz w:val="17"/>
              </w:rPr>
              <w:t>i2c.c</w:t>
            </w:r>
          </w:p>
        </w:tc>
        <w:tc>
          <w:tcPr>
            <w:tcW w:type="dxa" w:w="5300"/>
          </w:tcPr>
          <w:p>
            <w:pPr>
              <w:jc w:val="left"/>
            </w:pPr>
            <w:r>
              <w:rPr>
                <w:rFonts w:ascii="Calibri" w:hAnsi="Calibri"/>
                <w:color w:val="162233"/>
                <w:sz w:val="17"/>
              </w:rPr>
              <w:t>STM32F4 I2C1 polling backend</w:t>
            </w:r>
          </w:p>
        </w:tc>
        <w:tc>
          <w:tcPr>
            <w:tcW w:type="dxa" w:w="2360"/>
          </w:tcPr>
          <w:p>
            <w:pPr>
              <w:jc w:val="left"/>
            </w:pPr>
            <w:r>
              <w:rPr>
                <w:rFonts w:ascii="Calibri" w:hAnsi="Calibri"/>
                <w:color w:val="162233"/>
                <w:sz w:val="17"/>
              </w:rPr>
              <w:t>12116366d7dd2f2a...</w:t>
            </w:r>
          </w:p>
        </w:tc>
      </w:tr>
      <w:tr>
        <w:tc>
          <w:tcPr>
            <w:tcW w:type="dxa" w:w="1700"/>
          </w:tcPr>
          <w:p>
            <w:pPr>
              <w:jc w:val="center"/>
            </w:pPr>
            <w:r>
              <w:rPr>
                <w:rFonts w:ascii="Calibri" w:hAnsi="Calibri"/>
                <w:color w:val="162233"/>
                <w:sz w:val="17"/>
              </w:rPr>
              <w:t>main.c</w:t>
            </w:r>
          </w:p>
        </w:tc>
        <w:tc>
          <w:tcPr>
            <w:tcW w:type="dxa" w:w="5300"/>
          </w:tcPr>
          <w:p>
            <w:pPr>
              <w:jc w:val="left"/>
            </w:pPr>
            <w:r>
              <w:rPr>
                <w:rFonts w:ascii="Calibri" w:hAnsi="Calibri"/>
                <w:color w:val="162233"/>
                <w:sz w:val="17"/>
              </w:rPr>
              <w:t>Current application integration and active one-shot loop</w:t>
            </w:r>
          </w:p>
        </w:tc>
        <w:tc>
          <w:tcPr>
            <w:tcW w:type="dxa" w:w="2360"/>
          </w:tcPr>
          <w:p>
            <w:pPr>
              <w:jc w:val="left"/>
            </w:pPr>
            <w:r>
              <w:rPr>
                <w:rFonts w:ascii="Calibri" w:hAnsi="Calibri"/>
                <w:color w:val="162233"/>
                <w:sz w:val="17"/>
              </w:rPr>
              <w:t>789ae9628f4fe072...</w:t>
            </w:r>
          </w:p>
        </w:tc>
      </w:tr>
      <w:tr>
        <w:tc>
          <w:tcPr>
            <w:tcW w:type="dxa" w:w="1700"/>
          </w:tcPr>
          <w:p>
            <w:pPr>
              <w:jc w:val="center"/>
            </w:pPr>
            <w:r>
              <w:rPr>
                <w:rFonts w:ascii="Calibri" w:hAnsi="Calibri"/>
                <w:color w:val="162233"/>
                <w:sz w:val="17"/>
              </w:rPr>
              <w:t>ads1115.h</w:t>
            </w:r>
          </w:p>
        </w:tc>
        <w:tc>
          <w:tcPr>
            <w:tcW w:type="dxa" w:w="5300"/>
          </w:tcPr>
          <w:p>
            <w:pPr>
              <w:jc w:val="left"/>
            </w:pPr>
            <w:r>
              <w:rPr>
                <w:rFonts w:ascii="Calibri" w:hAnsi="Calibri"/>
                <w:color w:val="162233"/>
                <w:sz w:val="17"/>
              </w:rPr>
              <w:t>Continuous Config/LSB macros and public APIs</w:t>
            </w:r>
          </w:p>
        </w:tc>
        <w:tc>
          <w:tcPr>
            <w:tcW w:type="dxa" w:w="2360"/>
          </w:tcPr>
          <w:p>
            <w:pPr>
              <w:jc w:val="left"/>
            </w:pPr>
            <w:r>
              <w:rPr>
                <w:rFonts w:ascii="Calibri" w:hAnsi="Calibri"/>
                <w:color w:val="162233"/>
                <w:sz w:val="17"/>
              </w:rPr>
              <w:t>4afe01d3b3b36e18...</w:t>
            </w:r>
          </w:p>
        </w:tc>
      </w:tr>
      <w:tr>
        <w:tc>
          <w:tcPr>
            <w:tcW w:type="dxa" w:w="1700"/>
          </w:tcPr>
          <w:p>
            <w:pPr>
              <w:jc w:val="center"/>
            </w:pPr>
            <w:r>
              <w:rPr>
                <w:rFonts w:ascii="Calibri" w:hAnsi="Calibri"/>
                <w:color w:val="162233"/>
                <w:sz w:val="17"/>
              </w:rPr>
              <w:t>i2c.h</w:t>
            </w:r>
          </w:p>
        </w:tc>
        <w:tc>
          <w:tcPr>
            <w:tcW w:type="dxa" w:w="5300"/>
          </w:tcPr>
          <w:p>
            <w:pPr>
              <w:jc w:val="left"/>
            </w:pPr>
            <w:r>
              <w:rPr>
                <w:rFonts w:ascii="Calibri" w:hAnsi="Calibri"/>
                <w:color w:val="162233"/>
                <w:sz w:val="17"/>
              </w:rPr>
              <w:t>Generic I2C APIs and timeout macro</w:t>
            </w:r>
          </w:p>
        </w:tc>
        <w:tc>
          <w:tcPr>
            <w:tcW w:type="dxa" w:w="2360"/>
          </w:tcPr>
          <w:p>
            <w:pPr>
              <w:jc w:val="left"/>
            </w:pPr>
            <w:r>
              <w:rPr>
                <w:rFonts w:ascii="Calibri" w:hAnsi="Calibri"/>
                <w:color w:val="162233"/>
                <w:sz w:val="17"/>
              </w:rPr>
              <w:t>d779de638d9b500b...</w:t>
            </w:r>
          </w:p>
        </w:tc>
      </w:tr>
      <w:tr>
        <w:tc>
          <w:tcPr>
            <w:tcW w:type="dxa" w:w="1700"/>
          </w:tcPr>
          <w:p>
            <w:pPr>
              <w:jc w:val="center"/>
            </w:pPr>
            <w:r>
              <w:rPr>
                <w:rFonts w:ascii="Calibri" w:hAnsi="Calibri"/>
                <w:color w:val="162233"/>
                <w:sz w:val="17"/>
              </w:rPr>
              <w:t>main.h</w:t>
            </w:r>
          </w:p>
        </w:tc>
        <w:tc>
          <w:tcPr>
            <w:tcW w:type="dxa" w:w="5300"/>
          </w:tcPr>
          <w:p>
            <w:pPr>
              <w:jc w:val="left"/>
            </w:pPr>
            <w:r>
              <w:rPr>
                <w:rFonts w:ascii="Calibri" w:hAnsi="Calibri"/>
                <w:color w:val="162233"/>
                <w:sz w:val="17"/>
              </w:rPr>
              <w:t>Application/HAL header and Error_Handler declaration</w:t>
            </w:r>
          </w:p>
        </w:tc>
        <w:tc>
          <w:tcPr>
            <w:tcW w:type="dxa" w:w="2360"/>
          </w:tcPr>
          <w:p>
            <w:pPr>
              <w:jc w:val="left"/>
            </w:pPr>
            <w:r>
              <w:rPr>
                <w:rFonts w:ascii="Calibri" w:hAnsi="Calibri"/>
                <w:color w:val="162233"/>
                <w:sz w:val="17"/>
              </w:rPr>
              <w:t>e07a43ebc634ce45...</w:t>
            </w:r>
          </w:p>
        </w:tc>
      </w:tr>
    </w:tbl>
    <w:p>
      <w:pPr>
        <w:spacing w:after="120"/>
      </w:pPr>
    </w:p>
    <w:p>
      <w:pPr>
        <w:pStyle w:val="Heading1"/>
      </w:pPr>
      <w:r>
        <w:t>3. Learning Objectives</w:t>
      </w:r>
    </w:p>
    <w:p>
      <w:pPr>
        <w:pStyle w:val="ListBullet"/>
      </w:pPr>
      <w:r>
        <w:rPr>
          <w:rFonts w:ascii="Calibri" w:hAnsi="Calibri"/>
          <w:color w:val="162233"/>
          <w:sz w:val="21"/>
        </w:rPr>
        <w:t>Explain continuous mode using simple producer-and-reader language.</w:t>
      </w:r>
    </w:p>
    <w:p>
      <w:pPr>
        <w:pStyle w:val="ListBullet"/>
      </w:pPr>
      <w:r>
        <w:rPr>
          <w:rFonts w:ascii="Calibri" w:hAnsi="Calibri"/>
          <w:color w:val="162233"/>
          <w:sz w:val="21"/>
        </w:rPr>
        <w:t>Understand why Config is written once and Conversion is read many times.</w:t>
      </w:r>
    </w:p>
    <w:p>
      <w:pPr>
        <w:pStyle w:val="ListBullet"/>
      </w:pPr>
      <w:r>
        <w:rPr>
          <w:rFonts w:ascii="Calibri" w:hAnsi="Calibri"/>
          <w:color w:val="162233"/>
          <w:sz w:val="21"/>
        </w:rPr>
        <w:t>Decode the difference between 0xC383 and 0xC283.</w:t>
      </w:r>
    </w:p>
    <w:p>
      <w:pPr>
        <w:pStyle w:val="ListBullet"/>
      </w:pPr>
      <w:r>
        <w:rPr>
          <w:rFonts w:ascii="Calibri" w:hAnsi="Calibri"/>
          <w:color w:val="162233"/>
          <w:sz w:val="21"/>
        </w:rPr>
        <w:t>Understand what happens when the MCU reads faster or slower than 128 SPS.</w:t>
      </w:r>
    </w:p>
    <w:p>
      <w:pPr>
        <w:pStyle w:val="ListBullet"/>
      </w:pPr>
      <w:r>
        <w:rPr>
          <w:rFonts w:ascii="Calibri" w:hAnsi="Calibri"/>
          <w:color w:val="162233"/>
          <w:sz w:val="21"/>
        </w:rPr>
        <w:t>Follow the exact continuous-mode functions in the attached source.</w:t>
      </w:r>
    </w:p>
    <w:p>
      <w:pPr>
        <w:pStyle w:val="ListBullet"/>
      </w:pPr>
      <w:r>
        <w:rPr>
          <w:rFonts w:ascii="Calibri" w:hAnsi="Calibri"/>
          <w:color w:val="162233"/>
          <w:sz w:val="21"/>
        </w:rPr>
        <w:t>Understand integer microvolt-to-millivolt conversion and rounding.</w:t>
      </w:r>
    </w:p>
    <w:p>
      <w:pPr>
        <w:pStyle w:val="ListBullet"/>
      </w:pPr>
      <w:r>
        <w:rPr>
          <w:rFonts w:ascii="Calibri" w:hAnsi="Calibri"/>
          <w:color w:val="162233"/>
          <w:sz w:val="21"/>
        </w:rPr>
        <w:t>Know the current integration status, limitations, and next improvements.</w:t>
      </w:r>
    </w:p>
    <w:p>
      <w:pPr>
        <w:pStyle w:val="Heading1"/>
      </w:pPr>
      <w:r>
        <w:t>4. Project Objective and Implementation Status</w:t>
      </w:r>
    </w:p>
    <w:p>
      <w:r>
        <w:rPr>
          <w:rFonts w:ascii="Calibri" w:hAnsi="Calibri"/>
        </w:rPr>
        <w:t>The driver now contains functions to start AIN0 continuous conversion, read the latest signed result, convert it to millivolts, print it, and return the device to single-shot/power-down mode. However, the attached main.c still calls ADS1115_Test_AIN0() in its main loop. Therefore the continuous driver is implemented, but it is not the active application path in the attached main.c.</w:t>
      </w:r>
    </w:p>
    <w:tbl>
      <w:tblPr>
        <w:tblW w:type="dxa" w:w="9360"/>
        <w:jc w:val="left"/>
        <w:tblLayout w:type="fixed"/>
        <w:tblLook w:firstColumn="1" w:firstRow="1" w:lastColumn="0" w:lastRow="0" w:noHBand="0" w:noVBand="1" w:val="04A0"/>
        <w:tblInd w:type="dxa" w:w="120"/>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Pr>
      <w:tblGrid>
        <w:gridCol w:w="9360"/>
      </w:tblGrid>
      <w:tr>
        <w:trPr>
          <w:tblHeader w:val="true"/>
        </w:trPr>
        <w:tc>
          <w:tcPr>
            <w:tcW w:type="dxa" w:w="9360"/>
            <w:vAlign w:val="center"/>
            <w:tcMar>
              <w:top w:w="80" w:type="dxa"/>
              <w:start w:w="120" w:type="dxa"/>
              <w:bottom w:w="80" w:type="dxa"/>
              <w:end w:w="120" w:type="dxa"/>
            </w:tcMar>
            <w:shd w:fill="FFF7D6"/>
          </w:tcPr>
          <w:p>
            <w:r>
              <w:rPr>
                <w:rFonts w:ascii="Calibri" w:hAnsi="Calibri"/>
                <w:b/>
                <w:color w:val="1F4E79"/>
                <w:sz w:val="21"/>
              </w:rPr>
              <w:t xml:space="preserve">Source truth: </w:t>
            </w:r>
            <w:r>
              <w:rPr>
                <w:rFonts w:ascii="Calibri" w:hAnsi="Calibri"/>
                <w:color w:val="162233"/>
                <w:sz w:val="21"/>
              </w:rPr>
              <w:t>ADS1115_TestContinuous_AIN0() is a complete demonstration loop inside ads1115.c. If it is called, it does not return because it contains while(1). ADS1115_StopContinuous() therefore cannot be reached from that test function without changing the control structure.</w:t>
            </w:r>
          </w:p>
        </w:tc>
      </w:tr>
    </w:tbl>
    <w:p>
      <w:pPr>
        <w:spacing w:after="80"/>
      </w:pPr>
    </w:p>
    <w:p>
      <w:pPr>
        <w:pStyle w:val="Heading1"/>
      </w:pPr>
      <w:r>
        <w:t>5. System Overview</w:t>
      </w:r>
    </w:p>
    <w:p>
      <w:pPr>
        <w:spacing w:before="120" w:after="60"/>
        <w:jc w:val="center"/>
      </w:pPr>
      <w:r>
        <w:drawing>
          <wp:inline xmlns:a="http://schemas.openxmlformats.org/drawingml/2006/main" xmlns:pic="http://schemas.openxmlformats.org/drawingml/2006/picture">
            <wp:extent cx="5806440" cy="2941930"/>
            <wp:docPr id="1" name="Picture 1" descr="Analog source through MUX, PGA, delta-sigma modulator, digital filter, Conversion register, and MCU I2C driver."/>
            <wp:cNvGraphicFramePr>
              <a:graphicFrameLocks noChangeAspect="1"/>
            </wp:cNvGraphicFramePr>
            <a:graphic>
              <a:graphicData uri="http://schemas.openxmlformats.org/drawingml/2006/picture">
                <pic:pic>
                  <pic:nvPicPr>
                    <pic:cNvPr id="0" name="system.png"/>
                    <pic:cNvPicPr/>
                  </pic:nvPicPr>
                  <pic:blipFill>
                    <a:blip r:embed="rId11"/>
                    <a:stretch>
                      <a:fillRect/>
                    </a:stretch>
                  </pic:blipFill>
                  <pic:spPr>
                    <a:xfrm>
                      <a:off x="0" y="0"/>
                      <a:ext cx="5806440" cy="2941930"/>
                    </a:xfrm>
                    <a:prstGeom prst="rect"/>
                  </pic:spPr>
                </pic:pic>
              </a:graphicData>
            </a:graphic>
          </wp:inline>
        </w:drawing>
      </w:r>
    </w:p>
    <w:p>
      <w:pPr>
        <w:spacing w:before="40" w:after="160"/>
        <w:jc w:val="center"/>
      </w:pPr>
      <w:r>
        <w:rPr>
          <w:rFonts w:ascii="Calibri" w:hAnsi="Calibri"/>
          <w:i/>
          <w:color w:val="5C6A7A"/>
          <w:sz w:val="18"/>
        </w:rPr>
        <w:t>Figure 1. ADS1115 analog and digital signal path.</w:t>
      </w:r>
    </w:p>
    <w:p>
      <w:pPr>
        <w:pStyle w:val="Heading2"/>
      </w:pPr>
      <w:r>
        <w:t>5.1 Think of Continuous Mode as a Producer</w:t>
      </w:r>
    </w:p>
    <w:p>
      <w:r>
        <w:rPr>
          <w:rFonts w:ascii="Calibri" w:hAnsi="Calibri"/>
        </w:rPr>
        <w:t>The ADS1115 is the producer. After the MCU writes 0xC283, the ADC keeps making one new sample after another. The MCU is the reader. It can read the Conversion register whenever the application needs a value. Reading does not start, stop, or pause conversion.</w:t>
      </w:r>
    </w:p>
    <w:p>
      <w:pPr>
        <w:pStyle w:val="Heading1"/>
      </w:pPr>
      <w:r>
        <w:t>6. Single-Shot Versus Continuous Mode</w:t>
      </w:r>
    </w:p>
    <w:p>
      <w:pPr>
        <w:spacing w:before="120" w:after="60"/>
        <w:jc w:val="center"/>
      </w:pPr>
      <w:r>
        <w:drawing>
          <wp:inline xmlns:a="http://schemas.openxmlformats.org/drawingml/2006/main" xmlns:pic="http://schemas.openxmlformats.org/drawingml/2006/picture">
            <wp:extent cx="5806440" cy="3184177"/>
            <wp:docPr id="2" name="Picture 2" descr="Single-shot requires a new request for each result; continuous mode keeps converting after one configuration write."/>
            <wp:cNvGraphicFramePr>
              <a:graphicFrameLocks noChangeAspect="1"/>
            </wp:cNvGraphicFramePr>
            <a:graphic>
              <a:graphicData uri="http://schemas.openxmlformats.org/drawingml/2006/picture">
                <pic:pic>
                  <pic:nvPicPr>
                    <pic:cNvPr id="0" name="single_vs_continuous.png"/>
                    <pic:cNvPicPr/>
                  </pic:nvPicPr>
                  <pic:blipFill>
                    <a:blip r:embed="rId12"/>
                    <a:stretch>
                      <a:fillRect/>
                    </a:stretch>
                  </pic:blipFill>
                  <pic:spPr>
                    <a:xfrm>
                      <a:off x="0" y="0"/>
                      <a:ext cx="5806440" cy="3184177"/>
                    </a:xfrm>
                    <a:prstGeom prst="rect"/>
                  </pic:spPr>
                </pic:pic>
              </a:graphicData>
            </a:graphic>
          </wp:inline>
        </w:drawing>
      </w:r>
    </w:p>
    <w:p>
      <w:pPr>
        <w:spacing w:before="40" w:after="160"/>
        <w:jc w:val="center"/>
      </w:pPr>
      <w:r>
        <w:rPr>
          <w:rFonts w:ascii="Calibri" w:hAnsi="Calibri"/>
          <w:i/>
          <w:color w:val="5C6A7A"/>
          <w:sz w:val="18"/>
        </w:rPr>
        <w:t>Figure 2. How the two conversion modes differ.</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500"/>
        <w:gridCol w:w="3430"/>
        <w:gridCol w:w="3430"/>
      </w:tblGrid>
      <w:tr>
        <w:trPr>
          <w:tblHeader w:val="true"/>
        </w:trPr>
        <w:tc>
          <w:tcPr>
            <w:tcW w:type="dxa" w:w="2500"/>
            <w:vAlign w:val="center"/>
            <w:tcMar>
              <w:top w:w="80" w:type="dxa"/>
              <w:start w:w="120" w:type="dxa"/>
              <w:bottom w:w="80" w:type="dxa"/>
              <w:end w:w="120" w:type="dxa"/>
            </w:tcMar>
            <w:shd w:fill="E8EEF5"/>
          </w:tcPr>
          <w:p>
            <w:pPr>
              <w:jc w:val="center"/>
            </w:pPr>
            <w:r>
              <w:rPr>
                <w:rFonts w:ascii="Calibri" w:hAnsi="Calibri"/>
                <w:b/>
                <w:color w:val="162233"/>
                <w:sz w:val="18"/>
              </w:rPr>
              <w:t>Question</w:t>
            </w:r>
          </w:p>
        </w:tc>
        <w:tc>
          <w:tcPr>
            <w:tcW w:type="dxa" w:w="3430"/>
            <w:vAlign w:val="center"/>
            <w:tcMar>
              <w:top w:w="80" w:type="dxa"/>
              <w:start w:w="120" w:type="dxa"/>
              <w:bottom w:w="80" w:type="dxa"/>
              <w:end w:w="120" w:type="dxa"/>
            </w:tcMar>
            <w:shd w:fill="E8EEF5"/>
          </w:tcPr>
          <w:p>
            <w:pPr>
              <w:jc w:val="center"/>
            </w:pPr>
            <w:r>
              <w:rPr>
                <w:rFonts w:ascii="Calibri" w:hAnsi="Calibri"/>
                <w:b/>
                <w:color w:val="162233"/>
                <w:sz w:val="18"/>
              </w:rPr>
              <w:t>Single-shot</w:t>
            </w:r>
          </w:p>
        </w:tc>
        <w:tc>
          <w:tcPr>
            <w:tcW w:type="dxa" w:w="3430"/>
            <w:vAlign w:val="center"/>
            <w:tcMar>
              <w:top w:w="80" w:type="dxa"/>
              <w:start w:w="120" w:type="dxa"/>
              <w:bottom w:w="80" w:type="dxa"/>
              <w:end w:w="120" w:type="dxa"/>
            </w:tcMar>
            <w:shd w:fill="E8EEF5"/>
          </w:tcPr>
          <w:p>
            <w:pPr>
              <w:jc w:val="center"/>
            </w:pPr>
            <w:r>
              <w:rPr>
                <w:rFonts w:ascii="Calibri" w:hAnsi="Calibri"/>
                <w:b/>
                <w:color w:val="162233"/>
                <w:sz w:val="18"/>
              </w:rPr>
              <w:t>Continuous</w:t>
            </w:r>
          </w:p>
        </w:tc>
      </w:tr>
      <w:tr>
        <w:tc>
          <w:tcPr>
            <w:tcW w:type="dxa" w:w="2500"/>
          </w:tcPr>
          <w:p>
            <w:pPr>
              <w:jc w:val="left"/>
            </w:pPr>
            <w:r>
              <w:rPr>
                <w:rFonts w:ascii="Calibri" w:hAnsi="Calibri"/>
                <w:color w:val="162233"/>
                <w:sz w:val="17"/>
              </w:rPr>
              <w:t>How conversion starts</w:t>
            </w:r>
          </w:p>
        </w:tc>
        <w:tc>
          <w:tcPr>
            <w:tcW w:type="dxa" w:w="3430"/>
          </w:tcPr>
          <w:p>
            <w:pPr>
              <w:jc w:val="left"/>
            </w:pPr>
            <w:r>
              <w:rPr>
                <w:rFonts w:ascii="Calibri" w:hAnsi="Calibri"/>
                <w:color w:val="162233"/>
                <w:sz w:val="17"/>
              </w:rPr>
              <w:t>Write OS=1 for each reading</w:t>
            </w:r>
          </w:p>
        </w:tc>
        <w:tc>
          <w:tcPr>
            <w:tcW w:type="dxa" w:w="3430"/>
          </w:tcPr>
          <w:p>
            <w:pPr>
              <w:jc w:val="left"/>
            </w:pPr>
            <w:r>
              <w:rPr>
                <w:rFonts w:ascii="Calibri" w:hAnsi="Calibri"/>
                <w:color w:val="162233"/>
                <w:sz w:val="17"/>
              </w:rPr>
              <w:t>Write MODE=0 configuration once</w:t>
            </w:r>
          </w:p>
        </w:tc>
      </w:tr>
      <w:tr>
        <w:tc>
          <w:tcPr>
            <w:tcW w:type="dxa" w:w="2500"/>
          </w:tcPr>
          <w:p>
            <w:pPr>
              <w:jc w:val="left"/>
            </w:pPr>
            <w:r>
              <w:rPr>
                <w:rFonts w:ascii="Calibri" w:hAnsi="Calibri"/>
                <w:color w:val="162233"/>
                <w:sz w:val="17"/>
              </w:rPr>
              <w:t>After a conversion</w:t>
            </w:r>
          </w:p>
        </w:tc>
        <w:tc>
          <w:tcPr>
            <w:tcW w:type="dxa" w:w="3430"/>
          </w:tcPr>
          <w:p>
            <w:pPr>
              <w:jc w:val="left"/>
            </w:pPr>
            <w:r>
              <w:rPr>
                <w:rFonts w:ascii="Calibri" w:hAnsi="Calibri"/>
                <w:color w:val="162233"/>
                <w:sz w:val="17"/>
              </w:rPr>
              <w:t>Device returns to power-down</w:t>
            </w:r>
          </w:p>
        </w:tc>
        <w:tc>
          <w:tcPr>
            <w:tcW w:type="dxa" w:w="3430"/>
          </w:tcPr>
          <w:p>
            <w:pPr>
              <w:jc w:val="left"/>
            </w:pPr>
            <w:r>
              <w:rPr>
                <w:rFonts w:ascii="Calibri" w:hAnsi="Calibri"/>
                <w:color w:val="162233"/>
                <w:sz w:val="17"/>
              </w:rPr>
              <w:t>Next conversion starts immediately</w:t>
            </w:r>
          </w:p>
        </w:tc>
      </w:tr>
      <w:tr>
        <w:tc>
          <w:tcPr>
            <w:tcW w:type="dxa" w:w="2500"/>
          </w:tcPr>
          <w:p>
            <w:pPr>
              <w:jc w:val="center"/>
            </w:pPr>
            <w:r>
              <w:rPr>
                <w:rFonts w:ascii="Calibri" w:hAnsi="Calibri"/>
                <w:color w:val="162233"/>
                <w:sz w:val="17"/>
              </w:rPr>
              <w:t>What MCU reads</w:t>
            </w:r>
          </w:p>
        </w:tc>
        <w:tc>
          <w:tcPr>
            <w:tcW w:type="dxa" w:w="3430"/>
          </w:tcPr>
          <w:p>
            <w:pPr>
              <w:jc w:val="left"/>
            </w:pPr>
            <w:r>
              <w:rPr>
                <w:rFonts w:ascii="Calibri" w:hAnsi="Calibri"/>
                <w:color w:val="162233"/>
                <w:sz w:val="17"/>
              </w:rPr>
              <w:t>The requested completed result</w:t>
            </w:r>
          </w:p>
        </w:tc>
        <w:tc>
          <w:tcPr>
            <w:tcW w:type="dxa" w:w="3430"/>
          </w:tcPr>
          <w:p>
            <w:pPr>
              <w:jc w:val="left"/>
            </w:pPr>
            <w:r>
              <w:rPr>
                <w:rFonts w:ascii="Calibri" w:hAnsi="Calibri"/>
                <w:color w:val="162233"/>
                <w:sz w:val="17"/>
              </w:rPr>
              <w:t>Latest completed result</w:t>
            </w:r>
          </w:p>
        </w:tc>
      </w:tr>
      <w:tr>
        <w:tc>
          <w:tcPr>
            <w:tcW w:type="dxa" w:w="2500"/>
          </w:tcPr>
          <w:p>
            <w:pPr>
              <w:jc w:val="center"/>
            </w:pPr>
            <w:r>
              <w:rPr>
                <w:rFonts w:ascii="Calibri" w:hAnsi="Calibri"/>
                <w:color w:val="162233"/>
                <w:sz w:val="17"/>
              </w:rPr>
              <w:t>Power</w:t>
            </w:r>
          </w:p>
        </w:tc>
        <w:tc>
          <w:tcPr>
            <w:tcW w:type="dxa" w:w="3430"/>
          </w:tcPr>
          <w:p>
            <w:pPr>
              <w:jc w:val="left"/>
            </w:pPr>
            <w:r>
              <w:rPr>
                <w:rFonts w:ascii="Calibri" w:hAnsi="Calibri"/>
                <w:color w:val="162233"/>
                <w:sz w:val="17"/>
              </w:rPr>
              <w:t>Lower when readings are spaced apart</w:t>
            </w:r>
          </w:p>
        </w:tc>
        <w:tc>
          <w:tcPr>
            <w:tcW w:type="dxa" w:w="3430"/>
          </w:tcPr>
          <w:p>
            <w:pPr>
              <w:jc w:val="left"/>
            </w:pPr>
            <w:r>
              <w:rPr>
                <w:rFonts w:ascii="Calibri" w:hAnsi="Calibri"/>
                <w:color w:val="162233"/>
                <w:sz w:val="17"/>
              </w:rPr>
              <w:t>ADC remains active</w:t>
            </w:r>
          </w:p>
        </w:tc>
      </w:tr>
      <w:tr>
        <w:tc>
          <w:tcPr>
            <w:tcW w:type="dxa" w:w="2500"/>
          </w:tcPr>
          <w:p>
            <w:pPr>
              <w:jc w:val="center"/>
            </w:pPr>
            <w:r>
              <w:rPr>
                <w:rFonts w:ascii="Calibri" w:hAnsi="Calibri"/>
                <w:color w:val="162233"/>
                <w:sz w:val="17"/>
              </w:rPr>
              <w:t>Best use</w:t>
            </w:r>
          </w:p>
        </w:tc>
        <w:tc>
          <w:tcPr>
            <w:tcW w:type="dxa" w:w="3430"/>
          </w:tcPr>
          <w:p>
            <w:pPr>
              <w:jc w:val="left"/>
            </w:pPr>
            <w:r>
              <w:rPr>
                <w:rFonts w:ascii="Calibri" w:hAnsi="Calibri"/>
                <w:color w:val="162233"/>
                <w:sz w:val="17"/>
              </w:rPr>
              <w:t>Occasional measurements</w:t>
            </w:r>
          </w:p>
        </w:tc>
        <w:tc>
          <w:tcPr>
            <w:tcW w:type="dxa" w:w="3430"/>
          </w:tcPr>
          <w:p>
            <w:pPr>
              <w:jc w:val="left"/>
            </w:pPr>
            <w:r>
              <w:rPr>
                <w:rFonts w:ascii="Calibri" w:hAnsi="Calibri"/>
                <w:color w:val="162233"/>
                <w:sz w:val="17"/>
              </w:rPr>
              <w:t>Regular monitoring</w:t>
            </w:r>
          </w:p>
        </w:tc>
      </w:tr>
    </w:tbl>
    <w:p>
      <w:pPr>
        <w:spacing w:after="120"/>
      </w:pPr>
    </w:p>
    <w:p>
      <w:pPr>
        <w:pStyle w:val="Heading2"/>
      </w:pPr>
      <w:r>
        <w:t>6.1 What Changes in Config</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800"/>
        <w:gridCol w:w="3000"/>
        <w:gridCol w:w="1900"/>
        <w:gridCol w:w="2660"/>
      </w:tblGrid>
      <w:tr>
        <w:trPr>
          <w:tblHeader w:val="true"/>
        </w:trPr>
        <w:tc>
          <w:tcPr>
            <w:tcW w:type="dxa" w:w="1800"/>
            <w:vAlign w:val="center"/>
            <w:tcMar>
              <w:top w:w="80" w:type="dxa"/>
              <w:start w:w="120" w:type="dxa"/>
              <w:bottom w:w="80" w:type="dxa"/>
              <w:end w:w="120" w:type="dxa"/>
            </w:tcMar>
            <w:shd w:fill="E8EEF5"/>
          </w:tcPr>
          <w:p>
            <w:pPr>
              <w:jc w:val="center"/>
            </w:pPr>
            <w:r>
              <w:rPr>
                <w:rFonts w:ascii="Calibri" w:hAnsi="Calibri"/>
                <w:b/>
                <w:color w:val="162233"/>
                <w:sz w:val="18"/>
              </w:rPr>
              <w:t>Config</w:t>
            </w:r>
          </w:p>
        </w:tc>
        <w:tc>
          <w:tcPr>
            <w:tcW w:type="dxa" w:w="3000"/>
            <w:vAlign w:val="center"/>
            <w:tcMar>
              <w:top w:w="80" w:type="dxa"/>
              <w:start w:w="120" w:type="dxa"/>
              <w:bottom w:w="80" w:type="dxa"/>
              <w:end w:w="120" w:type="dxa"/>
            </w:tcMar>
            <w:shd w:fill="E8EEF5"/>
          </w:tcPr>
          <w:p>
            <w:pPr>
              <w:jc w:val="center"/>
            </w:pPr>
            <w:r>
              <w:rPr>
                <w:rFonts w:ascii="Calibri" w:hAnsi="Calibri"/>
                <w:b/>
                <w:color w:val="162233"/>
                <w:sz w:val="18"/>
              </w:rPr>
              <w:t>Binary</w:t>
            </w:r>
          </w:p>
        </w:tc>
        <w:tc>
          <w:tcPr>
            <w:tcW w:type="dxa" w:w="1900"/>
            <w:vAlign w:val="center"/>
            <w:tcMar>
              <w:top w:w="80" w:type="dxa"/>
              <w:start w:w="120" w:type="dxa"/>
              <w:bottom w:w="80" w:type="dxa"/>
              <w:end w:w="120" w:type="dxa"/>
            </w:tcMar>
            <w:shd w:fill="E8EEF5"/>
          </w:tcPr>
          <w:p>
            <w:pPr>
              <w:jc w:val="center"/>
            </w:pPr>
            <w:r>
              <w:rPr>
                <w:rFonts w:ascii="Calibri" w:hAnsi="Calibri"/>
                <w:b/>
                <w:color w:val="162233"/>
                <w:sz w:val="18"/>
              </w:rPr>
              <w:t>MODE bit 8</w:t>
            </w:r>
          </w:p>
        </w:tc>
        <w:tc>
          <w:tcPr>
            <w:tcW w:type="dxa" w:w="2660"/>
            <w:vAlign w:val="center"/>
            <w:tcMar>
              <w:top w:w="80" w:type="dxa"/>
              <w:start w:w="120" w:type="dxa"/>
              <w:bottom w:w="80" w:type="dxa"/>
              <w:end w:w="120" w:type="dxa"/>
            </w:tcMar>
            <w:shd w:fill="E8EEF5"/>
          </w:tcPr>
          <w:p>
            <w:pPr>
              <w:jc w:val="center"/>
            </w:pPr>
            <w:r>
              <w:rPr>
                <w:rFonts w:ascii="Calibri" w:hAnsi="Calibri"/>
                <w:b/>
                <w:color w:val="162233"/>
                <w:sz w:val="18"/>
              </w:rPr>
              <w:t>Behavior</w:t>
            </w:r>
          </w:p>
        </w:tc>
      </w:tr>
      <w:tr>
        <w:tc>
          <w:tcPr>
            <w:tcW w:type="dxa" w:w="1800"/>
          </w:tcPr>
          <w:p>
            <w:pPr>
              <w:jc w:val="center"/>
            </w:pPr>
            <w:r>
              <w:rPr>
                <w:rFonts w:ascii="Calibri" w:hAnsi="Calibri"/>
                <w:color w:val="162233"/>
                <w:sz w:val="17"/>
              </w:rPr>
              <w:t>0xC383</w:t>
            </w:r>
          </w:p>
        </w:tc>
        <w:tc>
          <w:tcPr>
            <w:tcW w:type="dxa" w:w="3000"/>
          </w:tcPr>
          <w:p>
            <w:pPr>
              <w:jc w:val="left"/>
            </w:pPr>
            <w:r>
              <w:rPr>
                <w:rFonts w:ascii="Calibri" w:hAnsi="Calibri"/>
                <w:color w:val="162233"/>
                <w:sz w:val="17"/>
              </w:rPr>
              <w:t>1100 0011 1000 0011</w:t>
            </w:r>
          </w:p>
        </w:tc>
        <w:tc>
          <w:tcPr>
            <w:tcW w:type="dxa" w:w="1900"/>
          </w:tcPr>
          <w:p>
            <w:pPr>
              <w:jc w:val="center"/>
            </w:pPr>
            <w:r>
              <w:rPr>
                <w:rFonts w:ascii="Calibri" w:hAnsi="Calibri"/>
                <w:color w:val="162233"/>
                <w:sz w:val="17"/>
              </w:rPr>
              <w:t>1</w:t>
            </w:r>
          </w:p>
        </w:tc>
        <w:tc>
          <w:tcPr>
            <w:tcW w:type="dxa" w:w="2660"/>
          </w:tcPr>
          <w:p>
            <w:pPr>
              <w:jc w:val="left"/>
            </w:pPr>
            <w:r>
              <w:rPr>
                <w:rFonts w:ascii="Calibri" w:hAnsi="Calibri"/>
                <w:color w:val="162233"/>
                <w:sz w:val="17"/>
              </w:rPr>
              <w:t>Single-shot / power-down</w:t>
            </w:r>
          </w:p>
        </w:tc>
      </w:tr>
      <w:tr>
        <w:tc>
          <w:tcPr>
            <w:tcW w:type="dxa" w:w="1800"/>
          </w:tcPr>
          <w:p>
            <w:pPr>
              <w:jc w:val="center"/>
            </w:pPr>
            <w:r>
              <w:rPr>
                <w:rFonts w:ascii="Calibri" w:hAnsi="Calibri"/>
                <w:color w:val="162233"/>
                <w:sz w:val="17"/>
              </w:rPr>
              <w:t>0xC283</w:t>
            </w:r>
          </w:p>
        </w:tc>
        <w:tc>
          <w:tcPr>
            <w:tcW w:type="dxa" w:w="3000"/>
          </w:tcPr>
          <w:p>
            <w:pPr>
              <w:jc w:val="left"/>
            </w:pPr>
            <w:r>
              <w:rPr>
                <w:rFonts w:ascii="Calibri" w:hAnsi="Calibri"/>
                <w:color w:val="162233"/>
                <w:sz w:val="17"/>
              </w:rPr>
              <w:t>1100 0010 1000 0011</w:t>
            </w:r>
          </w:p>
        </w:tc>
        <w:tc>
          <w:tcPr>
            <w:tcW w:type="dxa" w:w="1900"/>
          </w:tcPr>
          <w:p>
            <w:pPr>
              <w:jc w:val="center"/>
            </w:pPr>
            <w:r>
              <w:rPr>
                <w:rFonts w:ascii="Calibri" w:hAnsi="Calibri"/>
                <w:color w:val="162233"/>
                <w:sz w:val="17"/>
              </w:rPr>
              <w:t>0</w:t>
            </w:r>
          </w:p>
        </w:tc>
        <w:tc>
          <w:tcPr>
            <w:tcW w:type="dxa" w:w="2660"/>
          </w:tcPr>
          <w:p>
            <w:pPr>
              <w:jc w:val="left"/>
            </w:pPr>
            <w:r>
              <w:rPr>
                <w:rFonts w:ascii="Calibri" w:hAnsi="Calibri"/>
                <w:color w:val="162233"/>
                <w:sz w:val="17"/>
              </w:rPr>
              <w:t>Continuous conversion</w:t>
            </w:r>
          </w:p>
        </w:tc>
      </w:tr>
    </w:tbl>
    <w:p>
      <w:pPr>
        <w:spacing w:after="120"/>
      </w:pPr>
    </w:p>
    <w:tbl>
      <w:tblPr>
        <w:tblW w:type="dxa" w:w="9360"/>
        <w:jc w:val="left"/>
        <w:tblLayout w:type="fixed"/>
        <w:tblLook w:firstColumn="1" w:firstRow="1" w:lastColumn="0" w:lastRow="0" w:noHBand="0" w:noVBand="1" w:val="04A0"/>
        <w:tblInd w:type="dxa" w:w="120"/>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Pr>
      <w:tblGrid>
        <w:gridCol w:w="9360"/>
      </w:tblGrid>
      <w:tr>
        <w:trPr>
          <w:tblHeader w:val="true"/>
        </w:trPr>
        <w:tc>
          <w:tcPr>
            <w:tcW w:type="dxa" w:w="9360"/>
            <w:vAlign w:val="center"/>
            <w:tcMar>
              <w:top w:w="80" w:type="dxa"/>
              <w:start w:w="120" w:type="dxa"/>
              <w:bottom w:w="80" w:type="dxa"/>
              <w:end w:w="120" w:type="dxa"/>
            </w:tcMar>
            <w:shd w:fill="EAF4EA"/>
          </w:tcPr>
          <w:p>
            <w:r>
              <w:rPr>
                <w:rFonts w:ascii="Calibri" w:hAnsi="Calibri"/>
                <w:b/>
                <w:color w:val="1F4E79"/>
                <w:sz w:val="21"/>
              </w:rPr>
              <w:t xml:space="preserve">Simple rule: </w:t>
            </w:r>
            <w:r>
              <w:rPr>
                <w:rFonts w:ascii="Calibri" w:hAnsi="Calibri"/>
                <w:color w:val="162233"/>
                <w:sz w:val="21"/>
              </w:rPr>
              <w:t>Only MODE changes between these two project constants. MUX, PGA, data rate, and comparator settings stay the same.</w:t>
            </w:r>
          </w:p>
        </w:tc>
      </w:tr>
    </w:tbl>
    <w:p>
      <w:pPr>
        <w:spacing w:after="80"/>
      </w:pPr>
    </w:p>
    <w:p>
      <w:pPr>
        <w:pStyle w:val="Heading1"/>
      </w:pPr>
      <w:r>
        <w:t>7. What the ADS1115 Does Internally</w:t>
      </w:r>
    </w:p>
    <w:p>
      <w:pPr>
        <w:pStyle w:val="ListNumber"/>
      </w:pPr>
      <w:r>
        <w:rPr>
          <w:rFonts w:ascii="Calibri" w:hAnsi="Calibri"/>
          <w:color w:val="162233"/>
          <w:sz w:val="21"/>
        </w:rPr>
        <w:t>The MUX selects AIN0 relative to GND.</w:t>
      </w:r>
    </w:p>
    <w:p>
      <w:pPr>
        <w:pStyle w:val="ListNumber"/>
      </w:pPr>
      <w:r>
        <w:rPr>
          <w:rFonts w:ascii="Calibri" w:hAnsi="Calibri"/>
          <w:color w:val="162233"/>
          <w:sz w:val="21"/>
        </w:rPr>
        <w:t>The PGA sets the measurement scale to +/-4.096 V.</w:t>
      </w:r>
    </w:p>
    <w:p>
      <w:pPr>
        <w:pStyle w:val="ListNumber"/>
      </w:pPr>
      <w:r>
        <w:rPr>
          <w:rFonts w:ascii="Calibri" w:hAnsi="Calibri"/>
          <w:color w:val="162233"/>
          <w:sz w:val="21"/>
        </w:rPr>
        <w:t>The delta-sigma modulator samples internally at a high rate.</w:t>
      </w:r>
    </w:p>
    <w:p>
      <w:pPr>
        <w:pStyle w:val="ListNumber"/>
      </w:pPr>
      <w:r>
        <w:rPr>
          <w:rFonts w:ascii="Calibri" w:hAnsi="Calibri"/>
          <w:color w:val="162233"/>
          <w:sz w:val="21"/>
        </w:rPr>
        <w:t>The digital filter removes high-frequency noise and decimates the data.</w:t>
      </w:r>
    </w:p>
    <w:p>
      <w:pPr>
        <w:pStyle w:val="ListNumber"/>
      </w:pPr>
      <w:r>
        <w:rPr>
          <w:rFonts w:ascii="Calibri" w:hAnsi="Calibri"/>
          <w:color w:val="162233"/>
          <w:sz w:val="21"/>
        </w:rPr>
        <w:t>At 128 SPS, one completed result appears about every 7.8 ms.</w:t>
      </w:r>
    </w:p>
    <w:p>
      <w:pPr>
        <w:pStyle w:val="ListNumber"/>
      </w:pPr>
      <w:r>
        <w:rPr>
          <w:rFonts w:ascii="Calibri" w:hAnsi="Calibri"/>
          <w:color w:val="162233"/>
          <w:sz w:val="21"/>
        </w:rPr>
        <w:t>The result replaces the old value in the Conversion register.</w:t>
      </w:r>
    </w:p>
    <w:p>
      <w:pPr>
        <w:pStyle w:val="ListNumber"/>
      </w:pPr>
      <w:r>
        <w:rPr>
          <w:rFonts w:ascii="Calibri" w:hAnsi="Calibri"/>
          <w:color w:val="162233"/>
          <w:sz w:val="21"/>
        </w:rPr>
        <w:t>The next conversion begins immediately.</w:t>
      </w:r>
    </w:p>
    <w:p>
      <w:pPr>
        <w:pStyle w:val="Heading2"/>
      </w:pPr>
      <w:r>
        <w:t>7.1 Single-Cycle Settling</w:t>
      </w:r>
    </w:p>
    <w:p>
      <w:r>
        <w:rPr>
          <w:rFonts w:ascii="Calibri" w:hAnsi="Calibri"/>
        </w:rPr>
        <w:t>The datasheet says a conversion settles within one output-data-rate cycle. This means the first completed result after the new continuous configuration uses the new settings; the source waits 10 ms before reading, which is longer than the nominal 7.8125 ms cycle at 128 SPS.</w:t>
      </w:r>
    </w:p>
    <w:p>
      <w:pPr>
        <w:pStyle w:val="Heading2"/>
      </w:pPr>
      <w:r>
        <w:t>7.2 Changing Settings While Continuous Conversion Is Running</w:t>
      </w:r>
    </w:p>
    <w:p>
      <w:r>
        <w:rPr>
          <w:rFonts w:ascii="Calibri" w:hAnsi="Calibri"/>
        </w:rPr>
        <w:t>If software writes a new MUX, PGA, or data-rate setting while a conversion is already running, the current conversion finishes with the old settings. Continuous conversions with the new settings begin after that. This matters when switching channels: label each result with the configuration that produced it.</w:t>
      </w:r>
    </w:p>
    <w:p>
      <w:pPr>
        <w:pStyle w:val="Heading1"/>
      </w:pPr>
      <w:r>
        <w:t>8. Latest-Sample Register: No FIFO</w:t>
      </w:r>
    </w:p>
    <w:p>
      <w:pPr>
        <w:spacing w:before="120" w:after="60"/>
        <w:jc w:val="center"/>
      </w:pPr>
      <w:r>
        <w:drawing>
          <wp:inline xmlns:a="http://schemas.openxmlformats.org/drawingml/2006/main" xmlns:pic="http://schemas.openxmlformats.org/drawingml/2006/picture">
            <wp:extent cx="5806440" cy="3229832"/>
            <wp:docPr id="3" name="Picture 3" descr="Continuous ADC sample timeline showing one latest-result register, skipped samples with slow reads, and repeated results with fast reads."/>
            <wp:cNvGraphicFramePr>
              <a:graphicFrameLocks noChangeAspect="1"/>
            </wp:cNvGraphicFramePr>
            <a:graphic>
              <a:graphicData uri="http://schemas.openxmlformats.org/drawingml/2006/picture">
                <pic:pic>
                  <pic:nvPicPr>
                    <pic:cNvPr id="0" name="continuous_timeline.png"/>
                    <pic:cNvPicPr/>
                  </pic:nvPicPr>
                  <pic:blipFill>
                    <a:blip r:embed="rId13"/>
                    <a:stretch>
                      <a:fillRect/>
                    </a:stretch>
                  </pic:blipFill>
                  <pic:spPr>
                    <a:xfrm>
                      <a:off x="0" y="0"/>
                      <a:ext cx="5806440" cy="3229832"/>
                    </a:xfrm>
                    <a:prstGeom prst="rect"/>
                  </pic:spPr>
                </pic:pic>
              </a:graphicData>
            </a:graphic>
          </wp:inline>
        </w:drawing>
      </w:r>
    </w:p>
    <w:p>
      <w:pPr>
        <w:spacing w:before="40" w:after="160"/>
        <w:jc w:val="center"/>
      </w:pPr>
      <w:r>
        <w:rPr>
          <w:rFonts w:ascii="Calibri" w:hAnsi="Calibri"/>
          <w:i/>
          <w:color w:val="5C6A7A"/>
          <w:sz w:val="18"/>
        </w:rPr>
        <w:t>Figure 3. Relationship between the 128 SPS producer and the 100 ms reader.</w:t>
      </w:r>
    </w:p>
    <w:p>
      <w:r>
        <w:rPr>
          <w:rFonts w:ascii="Calibri" w:hAnsi="Calibri"/>
        </w:rPr>
        <w:t>The ADS1115 has one Conversion register, not a queue of samples. Every completed conversion overwrites the previous result. At 128 SPS, roughly 12 or 13 conversions occur during the source's 100 ms UART delay. The next read returns only the newest completed result; intermediate results are not saved.</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600"/>
        <w:gridCol w:w="6760"/>
      </w:tblGrid>
      <w:tr>
        <w:trPr>
          <w:tblHeader w:val="true"/>
        </w:trPr>
        <w:tc>
          <w:tcPr>
            <w:tcW w:type="dxa" w:w="2600"/>
            <w:vAlign w:val="center"/>
            <w:tcMar>
              <w:top w:w="80" w:type="dxa"/>
              <w:start w:w="120" w:type="dxa"/>
              <w:bottom w:w="80" w:type="dxa"/>
              <w:end w:w="120" w:type="dxa"/>
            </w:tcMar>
            <w:shd w:fill="E8EEF5"/>
          </w:tcPr>
          <w:p>
            <w:pPr>
              <w:jc w:val="center"/>
            </w:pPr>
            <w:r>
              <w:rPr>
                <w:rFonts w:ascii="Calibri" w:hAnsi="Calibri"/>
                <w:b/>
                <w:color w:val="162233"/>
                <w:sz w:val="18"/>
              </w:rPr>
              <w:t>MCU read interval</w:t>
            </w:r>
          </w:p>
        </w:tc>
        <w:tc>
          <w:tcPr>
            <w:tcW w:type="dxa" w:w="6760"/>
            <w:vAlign w:val="center"/>
            <w:tcMar>
              <w:top w:w="80" w:type="dxa"/>
              <w:start w:w="120" w:type="dxa"/>
              <w:bottom w:w="80" w:type="dxa"/>
              <w:end w:w="120" w:type="dxa"/>
            </w:tcMar>
            <w:shd w:fill="E8EEF5"/>
          </w:tcPr>
          <w:p>
            <w:pPr>
              <w:jc w:val="center"/>
            </w:pPr>
            <w:r>
              <w:rPr>
                <w:rFonts w:ascii="Calibri" w:hAnsi="Calibri"/>
                <w:b/>
                <w:color w:val="162233"/>
                <w:sz w:val="18"/>
              </w:rPr>
              <w:t>What happens</w:t>
            </w:r>
          </w:p>
        </w:tc>
      </w:tr>
      <w:tr>
        <w:tc>
          <w:tcPr>
            <w:tcW w:type="dxa" w:w="2600"/>
          </w:tcPr>
          <w:p>
            <w:pPr>
              <w:jc w:val="left"/>
            </w:pPr>
            <w:r>
              <w:rPr>
                <w:rFonts w:ascii="Calibri" w:hAnsi="Calibri"/>
                <w:color w:val="162233"/>
                <w:sz w:val="17"/>
              </w:rPr>
              <w:t>Faster than 7.8 ms</w:t>
            </w:r>
          </w:p>
        </w:tc>
        <w:tc>
          <w:tcPr>
            <w:tcW w:type="dxa" w:w="6760"/>
          </w:tcPr>
          <w:p>
            <w:pPr>
              <w:jc w:val="left"/>
            </w:pPr>
            <w:r>
              <w:rPr>
                <w:rFonts w:ascii="Calibri" w:hAnsi="Calibri"/>
                <w:color w:val="162233"/>
                <w:sz w:val="17"/>
              </w:rPr>
              <w:t>Some reads return the same conversion value again</w:t>
            </w:r>
          </w:p>
        </w:tc>
      </w:tr>
      <w:tr>
        <w:tc>
          <w:tcPr>
            <w:tcW w:type="dxa" w:w="2600"/>
          </w:tcPr>
          <w:p>
            <w:pPr>
              <w:jc w:val="center"/>
            </w:pPr>
            <w:r>
              <w:rPr>
                <w:rFonts w:ascii="Calibri" w:hAnsi="Calibri"/>
                <w:color w:val="162233"/>
                <w:sz w:val="17"/>
              </w:rPr>
              <w:t>About 7.8 ms</w:t>
            </w:r>
          </w:p>
        </w:tc>
        <w:tc>
          <w:tcPr>
            <w:tcW w:type="dxa" w:w="6760"/>
          </w:tcPr>
          <w:p>
            <w:pPr>
              <w:jc w:val="left"/>
            </w:pPr>
            <w:r>
              <w:rPr>
                <w:rFonts w:ascii="Calibri" w:hAnsi="Calibri"/>
                <w:color w:val="162233"/>
                <w:sz w:val="17"/>
              </w:rPr>
              <w:t>Approximately one read per new result, but scheduling/tolerance still matter</w:t>
            </w:r>
          </w:p>
        </w:tc>
      </w:tr>
      <w:tr>
        <w:tc>
          <w:tcPr>
            <w:tcW w:type="dxa" w:w="2600"/>
          </w:tcPr>
          <w:p>
            <w:pPr>
              <w:jc w:val="left"/>
            </w:pPr>
            <w:r>
              <w:rPr>
                <w:rFonts w:ascii="Calibri" w:hAnsi="Calibri"/>
                <w:color w:val="162233"/>
                <w:sz w:val="17"/>
              </w:rPr>
              <w:t>100 ms (source test)</w:t>
            </w:r>
          </w:p>
        </w:tc>
        <w:tc>
          <w:tcPr>
            <w:tcW w:type="dxa" w:w="6760"/>
          </w:tcPr>
          <w:p>
            <w:pPr>
              <w:jc w:val="left"/>
            </w:pPr>
            <w:r>
              <w:rPr>
                <w:rFonts w:ascii="Calibri" w:hAnsi="Calibri"/>
                <w:color w:val="162233"/>
                <w:sz w:val="17"/>
              </w:rPr>
              <w:t>Many conversions occur; only the latest result is displayed</w:t>
            </w:r>
          </w:p>
        </w:tc>
      </w:tr>
      <w:tr>
        <w:tc>
          <w:tcPr>
            <w:tcW w:type="dxa" w:w="2600"/>
          </w:tcPr>
          <w:p>
            <w:pPr>
              <w:jc w:val="center"/>
            </w:pPr>
            <w:r>
              <w:rPr>
                <w:rFonts w:ascii="Calibri" w:hAnsi="Calibri"/>
                <w:color w:val="162233"/>
                <w:sz w:val="17"/>
              </w:rPr>
              <w:t>No reads</w:t>
            </w:r>
          </w:p>
        </w:tc>
        <w:tc>
          <w:tcPr>
            <w:tcW w:type="dxa" w:w="6760"/>
          </w:tcPr>
          <w:p>
            <w:pPr>
              <w:jc w:val="left"/>
            </w:pPr>
            <w:r>
              <w:rPr>
                <w:rFonts w:ascii="Calibri" w:hAnsi="Calibri"/>
                <w:color w:val="162233"/>
                <w:sz w:val="17"/>
              </w:rPr>
              <w:t>ADC still converts and overwrites the Conversion register</w:t>
            </w:r>
          </w:p>
        </w:tc>
      </w:tr>
    </w:tbl>
    <w:p>
      <w:pPr>
        <w:spacing w:after="120"/>
      </w:pPr>
    </w:p>
    <w:p>
      <w:pPr>
        <w:pStyle w:val="Heading1"/>
      </w:pPr>
      <w:r>
        <w:t>9. Data Rate, Noise, and Power</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200"/>
        <w:gridCol w:w="2500"/>
        <w:gridCol w:w="4660"/>
      </w:tblGrid>
      <w:tr>
        <w:trPr>
          <w:tblHeader w:val="true"/>
        </w:trPr>
        <w:tc>
          <w:tcPr>
            <w:tcW w:type="dxa" w:w="2200"/>
            <w:vAlign w:val="center"/>
            <w:tcMar>
              <w:top w:w="80" w:type="dxa"/>
              <w:start w:w="120" w:type="dxa"/>
              <w:bottom w:w="80" w:type="dxa"/>
              <w:end w:w="120" w:type="dxa"/>
            </w:tcMar>
            <w:shd w:fill="E8EEF5"/>
          </w:tcPr>
          <w:p>
            <w:pPr>
              <w:jc w:val="center"/>
            </w:pPr>
            <w:r>
              <w:rPr>
                <w:rFonts w:ascii="Calibri" w:hAnsi="Calibri"/>
                <w:b/>
                <w:color w:val="162233"/>
                <w:sz w:val="18"/>
              </w:rPr>
              <w:t>Data rate</w:t>
            </w:r>
          </w:p>
        </w:tc>
        <w:tc>
          <w:tcPr>
            <w:tcW w:type="dxa" w:w="2500"/>
            <w:vAlign w:val="center"/>
            <w:tcMar>
              <w:top w:w="80" w:type="dxa"/>
              <w:start w:w="120" w:type="dxa"/>
              <w:bottom w:w="80" w:type="dxa"/>
              <w:end w:w="120" w:type="dxa"/>
            </w:tcMar>
            <w:shd w:fill="E8EEF5"/>
          </w:tcPr>
          <w:p>
            <w:pPr>
              <w:jc w:val="center"/>
            </w:pPr>
            <w:r>
              <w:rPr>
                <w:rFonts w:ascii="Calibri" w:hAnsi="Calibri"/>
                <w:b/>
                <w:color w:val="162233"/>
                <w:sz w:val="18"/>
              </w:rPr>
              <w:t>Nominal cycle</w:t>
            </w:r>
          </w:p>
        </w:tc>
        <w:tc>
          <w:tcPr>
            <w:tcW w:type="dxa" w:w="4660"/>
            <w:vAlign w:val="center"/>
            <w:tcMar>
              <w:top w:w="80" w:type="dxa"/>
              <w:start w:w="120" w:type="dxa"/>
              <w:bottom w:w="80" w:type="dxa"/>
              <w:end w:w="120" w:type="dxa"/>
            </w:tcMar>
            <w:shd w:fill="E8EEF5"/>
          </w:tcPr>
          <w:p>
            <w:pPr>
              <w:jc w:val="center"/>
            </w:pPr>
            <w:r>
              <w:rPr>
                <w:rFonts w:ascii="Calibri" w:hAnsi="Calibri"/>
                <w:b/>
                <w:color w:val="162233"/>
                <w:sz w:val="18"/>
              </w:rPr>
              <w:t>Simple meaning</w:t>
            </w:r>
          </w:p>
        </w:tc>
      </w:tr>
      <w:tr>
        <w:tc>
          <w:tcPr>
            <w:tcW w:type="dxa" w:w="2200"/>
          </w:tcPr>
          <w:p>
            <w:pPr>
              <w:jc w:val="center"/>
            </w:pPr>
            <w:r>
              <w:rPr>
                <w:rFonts w:ascii="Calibri" w:hAnsi="Calibri"/>
                <w:color w:val="162233"/>
                <w:sz w:val="17"/>
              </w:rPr>
              <w:t>8 SPS</w:t>
            </w:r>
          </w:p>
        </w:tc>
        <w:tc>
          <w:tcPr>
            <w:tcW w:type="dxa" w:w="2500"/>
          </w:tcPr>
          <w:p>
            <w:pPr>
              <w:jc w:val="left"/>
            </w:pPr>
            <w:r>
              <w:rPr>
                <w:rFonts w:ascii="Calibri" w:hAnsi="Calibri"/>
                <w:color w:val="162233"/>
                <w:sz w:val="17"/>
              </w:rPr>
              <w:t>125 ms</w:t>
            </w:r>
          </w:p>
        </w:tc>
        <w:tc>
          <w:tcPr>
            <w:tcW w:type="dxa" w:w="4660"/>
          </w:tcPr>
          <w:p>
            <w:pPr>
              <w:jc w:val="left"/>
            </w:pPr>
            <w:r>
              <w:rPr>
                <w:rFonts w:ascii="Calibri" w:hAnsi="Calibri"/>
                <w:color w:val="162233"/>
                <w:sz w:val="17"/>
              </w:rPr>
              <w:t>Slowest; strongest internal averaging</w:t>
            </w:r>
          </w:p>
        </w:tc>
      </w:tr>
      <w:tr>
        <w:tc>
          <w:tcPr>
            <w:tcW w:type="dxa" w:w="2200"/>
          </w:tcPr>
          <w:p>
            <w:pPr>
              <w:jc w:val="center"/>
            </w:pPr>
            <w:r>
              <w:rPr>
                <w:rFonts w:ascii="Calibri" w:hAnsi="Calibri"/>
                <w:color w:val="162233"/>
                <w:sz w:val="17"/>
              </w:rPr>
              <w:t>128 SPS</w:t>
            </w:r>
          </w:p>
        </w:tc>
        <w:tc>
          <w:tcPr>
            <w:tcW w:type="dxa" w:w="2500"/>
          </w:tcPr>
          <w:p>
            <w:pPr>
              <w:jc w:val="left"/>
            </w:pPr>
            <w:r>
              <w:rPr>
                <w:rFonts w:ascii="Calibri" w:hAnsi="Calibri"/>
                <w:color w:val="162233"/>
                <w:sz w:val="17"/>
              </w:rPr>
              <w:t>7.8125 ms</w:t>
            </w:r>
          </w:p>
        </w:tc>
        <w:tc>
          <w:tcPr>
            <w:tcW w:type="dxa" w:w="4660"/>
          </w:tcPr>
          <w:p>
            <w:pPr>
              <w:jc w:val="left"/>
            </w:pPr>
            <w:r>
              <w:rPr>
                <w:rFonts w:ascii="Calibri" w:hAnsi="Calibri"/>
                <w:color w:val="162233"/>
                <w:sz w:val="17"/>
              </w:rPr>
              <w:t>Implemented balance of speed and stability</w:t>
            </w:r>
          </w:p>
        </w:tc>
      </w:tr>
      <w:tr>
        <w:tc>
          <w:tcPr>
            <w:tcW w:type="dxa" w:w="2200"/>
          </w:tcPr>
          <w:p>
            <w:pPr>
              <w:jc w:val="center"/>
            </w:pPr>
            <w:r>
              <w:rPr>
                <w:rFonts w:ascii="Calibri" w:hAnsi="Calibri"/>
                <w:color w:val="162233"/>
                <w:sz w:val="17"/>
              </w:rPr>
              <w:t>860 SPS</w:t>
            </w:r>
          </w:p>
        </w:tc>
        <w:tc>
          <w:tcPr>
            <w:tcW w:type="dxa" w:w="2500"/>
          </w:tcPr>
          <w:p>
            <w:pPr>
              <w:jc w:val="left"/>
            </w:pPr>
            <w:r>
              <w:rPr>
                <w:rFonts w:ascii="Calibri" w:hAnsi="Calibri"/>
                <w:color w:val="162233"/>
                <w:sz w:val="17"/>
              </w:rPr>
              <w:t>About 1.163 ms</w:t>
            </w:r>
          </w:p>
        </w:tc>
        <w:tc>
          <w:tcPr>
            <w:tcW w:type="dxa" w:w="4660"/>
          </w:tcPr>
          <w:p>
            <w:pPr>
              <w:jc w:val="left"/>
            </w:pPr>
            <w:r>
              <w:rPr>
                <w:rFonts w:ascii="Calibri" w:hAnsi="Calibri"/>
                <w:color w:val="162233"/>
                <w:sz w:val="17"/>
              </w:rPr>
              <w:t>Fastest; generally more noise</w:t>
            </w:r>
          </w:p>
        </w:tc>
      </w:tr>
    </w:tbl>
    <w:p>
      <w:pPr>
        <w:spacing w:after="120"/>
      </w:pPr>
    </w:p>
    <w:p>
      <w:r>
        <w:rPr>
          <w:rFonts w:ascii="Calibri" w:hAnsi="Calibri"/>
        </w:rPr>
        <w:t>Lower data rate gives the digital filter more internal samples for each output result, so noise generally improves. Continuous mode keeps the ADC active; the datasheet lists about 150 microamps typical continuous-mode current. Single-shot mode can save power because the ADC powers down between requests.</w:t>
      </w:r>
    </w:p>
    <w:p>
      <w:pPr>
        <w:pStyle w:val="Heading2"/>
      </w:pPr>
      <w:r>
        <w:t>9.1 ALERT/RDY as a Better Fresh-Data Signal</w:t>
      </w:r>
    </w:p>
    <w:p>
      <w:r>
        <w:rPr>
          <w:rFonts w:ascii="Calibri" w:hAnsi="Calibri"/>
        </w:rPr>
        <w:t>The ADS1115 can use ALERT/RDY as a conversion-ready output. In continuous mode it can produce an approximately 8 microsecond ready pulse after each conversion. The current source disables the comparator/ALERT output, so it uses fixed delays instead. ALERT/RDY is the natural next step when every new sample matters.</w:t>
      </w:r>
    </w:p>
    <w:p>
      <w:pPr>
        <w:pStyle w:val="Heading1"/>
      </w:pPr>
      <w:r>
        <w:t>10. Raw Code and Integer Voltage Conversion</w:t>
      </w:r>
    </w:p>
    <w:p>
      <w:pPr>
        <w:spacing w:before="120" w:after="60"/>
        <w:jc w:val="center"/>
      </w:pPr>
      <w:r>
        <w:drawing>
          <wp:inline xmlns:a="http://schemas.openxmlformats.org/drawingml/2006/main" xmlns:pic="http://schemas.openxmlformats.org/drawingml/2006/picture">
            <wp:extent cx="5806440" cy="3174187"/>
            <wp:docPr id="4" name="Picture 4" descr="ADS1115 differential signed range and AIN0-to-GND positive code use."/>
            <wp:cNvGraphicFramePr>
              <a:graphicFrameLocks noChangeAspect="1"/>
            </wp:cNvGraphicFramePr>
            <a:graphic>
              <a:graphicData uri="http://schemas.openxmlformats.org/drawingml/2006/picture">
                <pic:pic>
                  <pic:nvPicPr>
                    <pic:cNvPr id="0" name="scaling.png"/>
                    <pic:cNvPicPr/>
                  </pic:nvPicPr>
                  <pic:blipFill>
                    <a:blip r:embed="rId14"/>
                    <a:stretch>
                      <a:fillRect/>
                    </a:stretch>
                  </pic:blipFill>
                  <pic:spPr>
                    <a:xfrm>
                      <a:off x="0" y="0"/>
                      <a:ext cx="5806440" cy="3174187"/>
                    </a:xfrm>
                    <a:prstGeom prst="rect"/>
                  </pic:spPr>
                </pic:pic>
              </a:graphicData>
            </a:graphic>
          </wp:inline>
        </w:drawing>
      </w:r>
    </w:p>
    <w:p>
      <w:pPr>
        <w:spacing w:before="40" w:after="160"/>
        <w:jc w:val="center"/>
      </w:pPr>
      <w:r>
        <w:rPr>
          <w:rFonts w:ascii="Calibri" w:hAnsi="Calibri"/>
          <w:i/>
          <w:color w:val="5C6A7A"/>
          <w:sz w:val="18"/>
        </w:rPr>
        <w:t>Figure 4. Signed code range and single-ended positive range.</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500"/>
        <w:gridCol w:w="3900"/>
        <w:gridCol w:w="3960"/>
      </w:tblGrid>
      <w:tr>
        <w:trPr>
          <w:tblHeader w:val="true"/>
        </w:trPr>
        <w:tc>
          <w:tcPr>
            <w:tcW w:type="dxa" w:w="1500"/>
            <w:vAlign w:val="center"/>
            <w:tcMar>
              <w:top w:w="80" w:type="dxa"/>
              <w:start w:w="120" w:type="dxa"/>
              <w:bottom w:w="80" w:type="dxa"/>
              <w:end w:w="120" w:type="dxa"/>
            </w:tcMar>
            <w:shd w:fill="E8EEF5"/>
          </w:tcPr>
          <w:p>
            <w:pPr>
              <w:jc w:val="center"/>
            </w:pPr>
            <w:r>
              <w:rPr>
                <w:rFonts w:ascii="Calibri" w:hAnsi="Calibri"/>
                <w:b/>
                <w:color w:val="162233"/>
                <w:sz w:val="18"/>
              </w:rPr>
              <w:t>Step</w:t>
            </w:r>
          </w:p>
        </w:tc>
        <w:tc>
          <w:tcPr>
            <w:tcW w:type="dxa" w:w="3900"/>
            <w:vAlign w:val="center"/>
            <w:tcMar>
              <w:top w:w="80" w:type="dxa"/>
              <w:start w:w="120" w:type="dxa"/>
              <w:bottom w:w="80" w:type="dxa"/>
              <w:end w:w="120" w:type="dxa"/>
            </w:tcMar>
            <w:shd w:fill="E8EEF5"/>
          </w:tcPr>
          <w:p>
            <w:pPr>
              <w:jc w:val="center"/>
            </w:pPr>
            <w:r>
              <w:rPr>
                <w:rFonts w:ascii="Calibri" w:hAnsi="Calibri"/>
                <w:b/>
                <w:color w:val="162233"/>
                <w:sz w:val="18"/>
              </w:rPr>
              <w:t>Implemented operation</w:t>
            </w:r>
          </w:p>
        </w:tc>
        <w:tc>
          <w:tcPr>
            <w:tcW w:type="dxa" w:w="3960"/>
            <w:vAlign w:val="center"/>
            <w:tcMar>
              <w:top w:w="80" w:type="dxa"/>
              <w:start w:w="120" w:type="dxa"/>
              <w:bottom w:w="80" w:type="dxa"/>
              <w:end w:w="120" w:type="dxa"/>
            </w:tcMar>
            <w:shd w:fill="E8EEF5"/>
          </w:tcPr>
          <w:p>
            <w:pPr>
              <w:jc w:val="center"/>
            </w:pPr>
            <w:r>
              <w:rPr>
                <w:rFonts w:ascii="Calibri" w:hAnsi="Calibri"/>
                <w:b/>
                <w:color w:val="162233"/>
                <w:sz w:val="18"/>
              </w:rPr>
              <w:t>Reason</w:t>
            </w:r>
          </w:p>
        </w:tc>
      </w:tr>
      <w:tr>
        <w:tc>
          <w:tcPr>
            <w:tcW w:type="dxa" w:w="1500"/>
          </w:tcPr>
          <w:p>
            <w:pPr>
              <w:jc w:val="center"/>
            </w:pPr>
            <w:r>
              <w:rPr>
                <w:rFonts w:ascii="Calibri" w:hAnsi="Calibri"/>
                <w:color w:val="162233"/>
                <w:sz w:val="17"/>
              </w:rPr>
              <w:t>Read raw</w:t>
            </w:r>
          </w:p>
        </w:tc>
        <w:tc>
          <w:tcPr>
            <w:tcW w:type="dxa" w:w="3900"/>
          </w:tcPr>
          <w:p>
            <w:pPr>
              <w:jc w:val="left"/>
            </w:pPr>
            <w:r>
              <w:rPr>
                <w:rFonts w:ascii="Calibri" w:hAnsi="Calibri"/>
                <w:color w:val="162233"/>
                <w:sz w:val="17"/>
              </w:rPr>
              <w:t>Cast 16-bit register to int16_t</w:t>
            </w:r>
          </w:p>
        </w:tc>
        <w:tc>
          <w:tcPr>
            <w:tcW w:type="dxa" w:w="3960"/>
          </w:tcPr>
          <w:p>
            <w:pPr>
              <w:jc w:val="left"/>
            </w:pPr>
            <w:r>
              <w:rPr>
                <w:rFonts w:ascii="Calibri" w:hAnsi="Calibri"/>
                <w:color w:val="162233"/>
                <w:sz w:val="17"/>
              </w:rPr>
              <w:t>Preserve two's-complement sign</w:t>
            </w:r>
          </w:p>
        </w:tc>
      </w:tr>
      <w:tr>
        <w:tc>
          <w:tcPr>
            <w:tcW w:type="dxa" w:w="1500"/>
          </w:tcPr>
          <w:p>
            <w:pPr>
              <w:jc w:val="center"/>
            </w:pPr>
            <w:r>
              <w:rPr>
                <w:rFonts w:ascii="Calibri" w:hAnsi="Calibri"/>
                <w:color w:val="162233"/>
                <w:sz w:val="17"/>
              </w:rPr>
              <w:t>Clamp</w:t>
            </w:r>
          </w:p>
        </w:tc>
        <w:tc>
          <w:tcPr>
            <w:tcW w:type="dxa" w:w="3900"/>
          </w:tcPr>
          <w:p>
            <w:pPr>
              <w:jc w:val="left"/>
            </w:pPr>
            <w:r>
              <w:rPr>
                <w:rFonts w:ascii="Calibri" w:hAnsi="Calibri"/>
                <w:color w:val="162233"/>
                <w:sz w:val="17"/>
              </w:rPr>
              <w:t>If raw &lt; 0, set raw = 0</w:t>
            </w:r>
          </w:p>
        </w:tc>
        <w:tc>
          <w:tcPr>
            <w:tcW w:type="dxa" w:w="3960"/>
          </w:tcPr>
          <w:p>
            <w:pPr>
              <w:jc w:val="left"/>
            </w:pPr>
            <w:r>
              <w:rPr>
                <w:rFonts w:ascii="Calibri" w:hAnsi="Calibri"/>
                <w:color w:val="162233"/>
                <w:sz w:val="17"/>
              </w:rPr>
              <w:t>Hide small negative offset/noise for single-ended display</w:t>
            </w:r>
          </w:p>
        </w:tc>
      </w:tr>
      <w:tr>
        <w:tc>
          <w:tcPr>
            <w:tcW w:type="dxa" w:w="1500"/>
          </w:tcPr>
          <w:p>
            <w:pPr>
              <w:jc w:val="center"/>
            </w:pPr>
            <w:r>
              <w:rPr>
                <w:rFonts w:ascii="Calibri" w:hAnsi="Calibri"/>
                <w:color w:val="162233"/>
                <w:sz w:val="17"/>
              </w:rPr>
              <w:t>Scale</w:t>
            </w:r>
          </w:p>
        </w:tc>
        <w:tc>
          <w:tcPr>
            <w:tcW w:type="dxa" w:w="3900"/>
          </w:tcPr>
          <w:p>
            <w:pPr>
              <w:jc w:val="left"/>
            </w:pPr>
            <w:r>
              <w:rPr>
                <w:rFonts w:ascii="Calibri" w:hAnsi="Calibri"/>
                <w:color w:val="162233"/>
                <w:sz w:val="17"/>
              </w:rPr>
              <w:t>voltage_uV = raw * 125</w:t>
            </w:r>
          </w:p>
        </w:tc>
        <w:tc>
          <w:tcPr>
            <w:tcW w:type="dxa" w:w="3960"/>
          </w:tcPr>
          <w:p>
            <w:pPr>
              <w:jc w:val="left"/>
            </w:pPr>
            <w:r>
              <w:rPr>
                <w:rFonts w:ascii="Calibri" w:hAnsi="Calibri"/>
                <w:color w:val="162233"/>
                <w:sz w:val="17"/>
              </w:rPr>
              <w:t>PGA +/-4.096 V gives 125 uV/LSB</w:t>
            </w:r>
          </w:p>
        </w:tc>
      </w:tr>
      <w:tr>
        <w:tc>
          <w:tcPr>
            <w:tcW w:type="dxa" w:w="1500"/>
          </w:tcPr>
          <w:p>
            <w:pPr>
              <w:jc w:val="center"/>
            </w:pPr>
            <w:r>
              <w:rPr>
                <w:rFonts w:ascii="Calibri" w:hAnsi="Calibri"/>
                <w:color w:val="162233"/>
                <w:sz w:val="17"/>
              </w:rPr>
              <w:t>Round</w:t>
            </w:r>
          </w:p>
        </w:tc>
        <w:tc>
          <w:tcPr>
            <w:tcW w:type="dxa" w:w="3900"/>
          </w:tcPr>
          <w:p>
            <w:pPr>
              <w:jc w:val="left"/>
            </w:pPr>
            <w:r>
              <w:rPr>
                <w:rFonts w:ascii="Calibri" w:hAnsi="Calibri"/>
                <w:color w:val="162233"/>
                <w:sz w:val="17"/>
              </w:rPr>
              <w:t>(voltage_uV + 500) / 1000</w:t>
            </w:r>
          </w:p>
        </w:tc>
        <w:tc>
          <w:tcPr>
            <w:tcW w:type="dxa" w:w="3960"/>
          </w:tcPr>
          <w:p>
            <w:pPr>
              <w:jc w:val="left"/>
            </w:pPr>
            <w:r>
              <w:rPr>
                <w:rFonts w:ascii="Calibri" w:hAnsi="Calibri"/>
                <w:color w:val="162233"/>
                <w:sz w:val="17"/>
              </w:rPr>
              <w:t>Convert microvolts to nearest millivolt</w:t>
            </w:r>
          </w:p>
        </w:tc>
      </w:tr>
      <w:tr>
        <w:tc>
          <w:tcPr>
            <w:tcW w:type="dxa" w:w="1500"/>
          </w:tcPr>
          <w:p>
            <w:pPr>
              <w:jc w:val="center"/>
            </w:pPr>
            <w:r>
              <w:rPr>
                <w:rFonts w:ascii="Calibri" w:hAnsi="Calibri"/>
                <w:color w:val="162233"/>
                <w:sz w:val="17"/>
              </w:rPr>
              <w:t>Print</w:t>
            </w:r>
          </w:p>
        </w:tc>
        <w:tc>
          <w:tcPr>
            <w:tcW w:type="dxa" w:w="3900"/>
          </w:tcPr>
          <w:p>
            <w:pPr>
              <w:jc w:val="left"/>
            </w:pPr>
            <w:r>
              <w:rPr>
                <w:rFonts w:ascii="Calibri" w:hAnsi="Calibri"/>
                <w:color w:val="162233"/>
                <w:sz w:val="17"/>
              </w:rPr>
              <w:t>%u.%03uV</w:t>
            </w:r>
          </w:p>
        </w:tc>
        <w:tc>
          <w:tcPr>
            <w:tcW w:type="dxa" w:w="3960"/>
          </w:tcPr>
          <w:p>
            <w:pPr>
              <w:jc w:val="left"/>
            </w:pPr>
            <w:r>
              <w:rPr>
                <w:rFonts w:ascii="Calibri" w:hAnsi="Calibri"/>
                <w:color w:val="162233"/>
                <w:sz w:val="17"/>
              </w:rPr>
              <w:t>Show integer and three decimal digits</w:t>
            </w:r>
          </w:p>
        </w:tc>
      </w:tr>
    </w:tbl>
    <w:p>
      <w:pPr>
        <w:spacing w:after="120"/>
      </w:pPr>
    </w:p>
    <w:p>
      <w:pPr>
        <w:pStyle w:val="Heading2"/>
      </w:pPr>
      <w:r>
        <w:t>10.1 Worked Example</w:t>
      </w:r>
    </w:p>
    <w:p>
      <w:pPr>
        <w:pStyle w:val="CodeBlock"/>
      </w:pPr>
      <w:r>
        <w:rPr>
          <w:rFonts w:ascii="Consolas" w:hAnsi="Consolas"/>
          <w:color w:val="162233"/>
          <w:sz w:val="16"/>
        </w:rPr>
        <w:t>raw = 26080</w:t>
        <w:br/>
        <w:t>voltage_uV = 26080 x 125 = 3,260,000 uV</w:t>
        <w:br/>
        <w:t>voltage_mV = (3,260,000 + 500) / 1000 = 3260 mV</w:t>
        <w:br/>
        <w:t>printed value = 3.260 V</w:t>
      </w:r>
    </w:p>
    <w:tbl>
      <w:tblPr>
        <w:tblW w:type="dxa" w:w="9360"/>
        <w:jc w:val="left"/>
        <w:tblLayout w:type="fixed"/>
        <w:tblLook w:firstColumn="1" w:firstRow="1" w:lastColumn="0" w:lastRow="0" w:noHBand="0" w:noVBand="1" w:val="04A0"/>
        <w:tblInd w:type="dxa" w:w="120"/>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Pr>
      <w:tblGrid>
        <w:gridCol w:w="9360"/>
      </w:tblGrid>
      <w:tr>
        <w:trPr>
          <w:tblHeader w:val="true"/>
        </w:trPr>
        <w:tc>
          <w:tcPr>
            <w:tcW w:type="dxa" w:w="9360"/>
            <w:vAlign w:val="center"/>
            <w:tcMar>
              <w:top w:w="80" w:type="dxa"/>
              <w:start w:w="120" w:type="dxa"/>
              <w:bottom w:w="80" w:type="dxa"/>
              <w:end w:w="120" w:type="dxa"/>
            </w:tcMar>
            <w:shd w:fill="FFF7D6"/>
          </w:tcPr>
          <w:p>
            <w:r>
              <w:rPr>
                <w:rFonts w:ascii="Calibri" w:hAnsi="Calibri"/>
                <w:b/>
                <w:color w:val="1F4E79"/>
                <w:sz w:val="21"/>
              </w:rPr>
              <w:t xml:space="preserve">Important: </w:t>
            </w:r>
            <w:r>
              <w:rPr>
                <w:rFonts w:ascii="Calibri" w:hAnsi="Calibri"/>
                <w:color w:val="162233"/>
                <w:sz w:val="21"/>
              </w:rPr>
              <w:t>The 125 uV constant is correct only for the current +/-4.096 V PGA setting. A future generic PGA API must choose the matching LSB automatically.</w:t>
            </w:r>
          </w:p>
        </w:tc>
      </w:tr>
    </w:tbl>
    <w:p>
      <w:pPr>
        <w:spacing w:after="80"/>
      </w:pPr>
    </w:p>
    <w:p>
      <w:pPr>
        <w:pStyle w:val="Heading1"/>
      </w:pPr>
      <w:r>
        <w:t>11. Finalized Continuous-Mode Macros</w:t>
      </w:r>
    </w:p>
    <w:p>
      <w:pPr>
        <w:pStyle w:val="CodeBlock"/>
      </w:pPr>
      <w:r>
        <w:rPr>
          <w:rFonts w:ascii="Consolas" w:hAnsi="Consolas"/>
          <w:color w:val="162233"/>
          <w:sz w:val="16"/>
        </w:rPr>
        <w:t>#define ADS1115_CONFIG_AIN0_SINGLE_4V096_128SPS    0xC383U</w:t>
        <w:br/>
        <w:t>#define ADS1115_CONFIG_AIN0_CONT_4V096_128SPS      0xC283U</w:t>
        <w:br/>
        <w:t>#define ADS1115_LSB_4V096_UV                       125</w:t>
      </w:r>
    </w:p>
    <w:p>
      <w:pPr>
        <w:pStyle w:val="Heading2"/>
      </w:pPr>
      <w:r>
        <w:t>11.1 Config 0xC283 Field Decode</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100"/>
        <w:gridCol w:w="1900"/>
        <w:gridCol w:w="1400"/>
        <w:gridCol w:w="4960"/>
      </w:tblGrid>
      <w:tr>
        <w:trPr>
          <w:tblHeader w:val="true"/>
        </w:trPr>
        <w:tc>
          <w:tcPr>
            <w:tcW w:type="dxa" w:w="1100"/>
            <w:vAlign w:val="center"/>
            <w:tcMar>
              <w:top w:w="80" w:type="dxa"/>
              <w:start w:w="120" w:type="dxa"/>
              <w:bottom w:w="80" w:type="dxa"/>
              <w:end w:w="120" w:type="dxa"/>
            </w:tcMar>
            <w:shd w:fill="E8EEF5"/>
          </w:tcPr>
          <w:p>
            <w:pPr>
              <w:jc w:val="center"/>
            </w:pPr>
            <w:r>
              <w:rPr>
                <w:rFonts w:ascii="Calibri" w:hAnsi="Calibri"/>
                <w:b/>
                <w:color w:val="162233"/>
                <w:sz w:val="18"/>
              </w:rPr>
              <w:t>Bits</w:t>
            </w:r>
          </w:p>
        </w:tc>
        <w:tc>
          <w:tcPr>
            <w:tcW w:type="dxa" w:w="1900"/>
            <w:vAlign w:val="center"/>
            <w:tcMar>
              <w:top w:w="80" w:type="dxa"/>
              <w:start w:w="120" w:type="dxa"/>
              <w:bottom w:w="80" w:type="dxa"/>
              <w:end w:w="120" w:type="dxa"/>
            </w:tcMar>
            <w:shd w:fill="E8EEF5"/>
          </w:tcPr>
          <w:p>
            <w:pPr>
              <w:jc w:val="center"/>
            </w:pPr>
            <w:r>
              <w:rPr>
                <w:rFonts w:ascii="Calibri" w:hAnsi="Calibri"/>
                <w:b/>
                <w:color w:val="162233"/>
                <w:sz w:val="18"/>
              </w:rPr>
              <w:t>Field</w:t>
            </w:r>
          </w:p>
        </w:tc>
        <w:tc>
          <w:tcPr>
            <w:tcW w:type="dxa" w:w="1400"/>
            <w:vAlign w:val="center"/>
            <w:tcMar>
              <w:top w:w="80" w:type="dxa"/>
              <w:start w:w="120" w:type="dxa"/>
              <w:bottom w:w="80" w:type="dxa"/>
              <w:end w:w="120" w:type="dxa"/>
            </w:tcMar>
            <w:shd w:fill="E8EEF5"/>
          </w:tcPr>
          <w:p>
            <w:pPr>
              <w:jc w:val="center"/>
            </w:pPr>
            <w:r>
              <w:rPr>
                <w:rFonts w:ascii="Calibri" w:hAnsi="Calibri"/>
                <w:b/>
                <w:color w:val="162233"/>
                <w:sz w:val="18"/>
              </w:rPr>
              <w:t>Value</w:t>
            </w:r>
          </w:p>
        </w:tc>
        <w:tc>
          <w:tcPr>
            <w:tcW w:type="dxa" w:w="4960"/>
            <w:vAlign w:val="center"/>
            <w:tcMar>
              <w:top w:w="80" w:type="dxa"/>
              <w:start w:w="120" w:type="dxa"/>
              <w:bottom w:w="80" w:type="dxa"/>
              <w:end w:w="120" w:type="dxa"/>
            </w:tcMar>
            <w:shd w:fill="E8EEF5"/>
          </w:tcPr>
          <w:p>
            <w:pPr>
              <w:jc w:val="center"/>
            </w:pPr>
            <w:r>
              <w:rPr>
                <w:rFonts w:ascii="Calibri" w:hAnsi="Calibri"/>
                <w:b/>
                <w:color w:val="162233"/>
                <w:sz w:val="18"/>
              </w:rPr>
              <w:t>Meaning</w:t>
            </w:r>
          </w:p>
        </w:tc>
      </w:tr>
      <w:tr>
        <w:tc>
          <w:tcPr>
            <w:tcW w:type="dxa" w:w="1100"/>
          </w:tcPr>
          <w:p>
            <w:pPr>
              <w:jc w:val="center"/>
            </w:pPr>
            <w:r>
              <w:rPr>
                <w:rFonts w:ascii="Calibri" w:hAnsi="Calibri"/>
                <w:color w:val="162233"/>
                <w:sz w:val="17"/>
              </w:rPr>
              <w:t>15</w:t>
            </w:r>
          </w:p>
        </w:tc>
        <w:tc>
          <w:tcPr>
            <w:tcW w:type="dxa" w:w="1900"/>
          </w:tcPr>
          <w:p>
            <w:pPr>
              <w:jc w:val="left"/>
            </w:pPr>
            <w:r>
              <w:rPr>
                <w:rFonts w:ascii="Calibri" w:hAnsi="Calibri"/>
                <w:color w:val="162233"/>
                <w:sz w:val="17"/>
              </w:rPr>
              <w:t>OS</w:t>
            </w:r>
          </w:p>
        </w:tc>
        <w:tc>
          <w:tcPr>
            <w:tcW w:type="dxa" w:w="1400"/>
          </w:tcPr>
          <w:p>
            <w:pPr>
              <w:jc w:val="center"/>
            </w:pPr>
            <w:r>
              <w:rPr>
                <w:rFonts w:ascii="Calibri" w:hAnsi="Calibri"/>
                <w:color w:val="162233"/>
                <w:sz w:val="17"/>
              </w:rPr>
              <w:t>1</w:t>
            </w:r>
          </w:p>
        </w:tc>
        <w:tc>
          <w:tcPr>
            <w:tcW w:type="dxa" w:w="4960"/>
          </w:tcPr>
          <w:p>
            <w:pPr>
              <w:jc w:val="left"/>
            </w:pPr>
            <w:r>
              <w:rPr>
                <w:rFonts w:ascii="Calibri" w:hAnsi="Calibri"/>
                <w:color w:val="162233"/>
                <w:sz w:val="17"/>
              </w:rPr>
              <w:t>Written high; continuous operation is selected by MODE=0</w:t>
            </w:r>
          </w:p>
        </w:tc>
      </w:tr>
      <w:tr>
        <w:tc>
          <w:tcPr>
            <w:tcW w:type="dxa" w:w="1100"/>
          </w:tcPr>
          <w:p>
            <w:pPr>
              <w:jc w:val="center"/>
            </w:pPr>
            <w:r>
              <w:rPr>
                <w:rFonts w:ascii="Calibri" w:hAnsi="Calibri"/>
                <w:color w:val="162233"/>
                <w:sz w:val="17"/>
              </w:rPr>
              <w:t>14:12</w:t>
            </w:r>
          </w:p>
        </w:tc>
        <w:tc>
          <w:tcPr>
            <w:tcW w:type="dxa" w:w="1900"/>
          </w:tcPr>
          <w:p>
            <w:pPr>
              <w:jc w:val="left"/>
            </w:pPr>
            <w:r>
              <w:rPr>
                <w:rFonts w:ascii="Calibri" w:hAnsi="Calibri"/>
                <w:color w:val="162233"/>
                <w:sz w:val="17"/>
              </w:rPr>
              <w:t>MUX</w:t>
            </w:r>
          </w:p>
        </w:tc>
        <w:tc>
          <w:tcPr>
            <w:tcW w:type="dxa" w:w="1400"/>
          </w:tcPr>
          <w:p>
            <w:pPr>
              <w:jc w:val="center"/>
            </w:pPr>
            <w:r>
              <w:rPr>
                <w:rFonts w:ascii="Calibri" w:hAnsi="Calibri"/>
                <w:color w:val="162233"/>
                <w:sz w:val="17"/>
              </w:rPr>
              <w:t>100</w:t>
            </w:r>
          </w:p>
        </w:tc>
        <w:tc>
          <w:tcPr>
            <w:tcW w:type="dxa" w:w="4960"/>
          </w:tcPr>
          <w:p>
            <w:pPr>
              <w:jc w:val="center"/>
            </w:pPr>
            <w:r>
              <w:rPr>
                <w:rFonts w:ascii="Calibri" w:hAnsi="Calibri"/>
                <w:color w:val="162233"/>
                <w:sz w:val="17"/>
              </w:rPr>
              <w:t>AIN0 to GND</w:t>
            </w:r>
          </w:p>
        </w:tc>
      </w:tr>
      <w:tr>
        <w:tc>
          <w:tcPr>
            <w:tcW w:type="dxa" w:w="1100"/>
          </w:tcPr>
          <w:p>
            <w:pPr>
              <w:jc w:val="center"/>
            </w:pPr>
            <w:r>
              <w:rPr>
                <w:rFonts w:ascii="Calibri" w:hAnsi="Calibri"/>
                <w:color w:val="162233"/>
                <w:sz w:val="17"/>
              </w:rPr>
              <w:t>11:9</w:t>
            </w:r>
          </w:p>
        </w:tc>
        <w:tc>
          <w:tcPr>
            <w:tcW w:type="dxa" w:w="1900"/>
          </w:tcPr>
          <w:p>
            <w:pPr>
              <w:jc w:val="left"/>
            </w:pPr>
            <w:r>
              <w:rPr>
                <w:rFonts w:ascii="Calibri" w:hAnsi="Calibri"/>
                <w:color w:val="162233"/>
                <w:sz w:val="17"/>
              </w:rPr>
              <w:t>PGA</w:t>
            </w:r>
          </w:p>
        </w:tc>
        <w:tc>
          <w:tcPr>
            <w:tcW w:type="dxa" w:w="1400"/>
          </w:tcPr>
          <w:p>
            <w:pPr>
              <w:jc w:val="center"/>
            </w:pPr>
            <w:r>
              <w:rPr>
                <w:rFonts w:ascii="Calibri" w:hAnsi="Calibri"/>
                <w:color w:val="162233"/>
                <w:sz w:val="17"/>
              </w:rPr>
              <w:t>001</w:t>
            </w:r>
          </w:p>
        </w:tc>
        <w:tc>
          <w:tcPr>
            <w:tcW w:type="dxa" w:w="4960"/>
          </w:tcPr>
          <w:p>
            <w:pPr>
              <w:jc w:val="center"/>
            </w:pPr>
            <w:r>
              <w:rPr>
                <w:rFonts w:ascii="Calibri" w:hAnsi="Calibri"/>
                <w:color w:val="162233"/>
                <w:sz w:val="17"/>
              </w:rPr>
              <w:t>+/-4.096 V</w:t>
            </w:r>
          </w:p>
        </w:tc>
      </w:tr>
      <w:tr>
        <w:tc>
          <w:tcPr>
            <w:tcW w:type="dxa" w:w="1100"/>
          </w:tcPr>
          <w:p>
            <w:pPr>
              <w:jc w:val="center"/>
            </w:pPr>
            <w:r>
              <w:rPr>
                <w:rFonts w:ascii="Calibri" w:hAnsi="Calibri"/>
                <w:color w:val="162233"/>
                <w:sz w:val="17"/>
              </w:rPr>
              <w:t>8</w:t>
            </w:r>
          </w:p>
        </w:tc>
        <w:tc>
          <w:tcPr>
            <w:tcW w:type="dxa" w:w="1900"/>
          </w:tcPr>
          <w:p>
            <w:pPr>
              <w:jc w:val="left"/>
            </w:pPr>
            <w:r>
              <w:rPr>
                <w:rFonts w:ascii="Calibri" w:hAnsi="Calibri"/>
                <w:color w:val="162233"/>
                <w:sz w:val="17"/>
              </w:rPr>
              <w:t>MODE</w:t>
            </w:r>
          </w:p>
        </w:tc>
        <w:tc>
          <w:tcPr>
            <w:tcW w:type="dxa" w:w="1400"/>
          </w:tcPr>
          <w:p>
            <w:pPr>
              <w:jc w:val="center"/>
            </w:pPr>
            <w:r>
              <w:rPr>
                <w:rFonts w:ascii="Calibri" w:hAnsi="Calibri"/>
                <w:color w:val="162233"/>
                <w:sz w:val="17"/>
              </w:rPr>
              <w:t>0</w:t>
            </w:r>
          </w:p>
        </w:tc>
        <w:tc>
          <w:tcPr>
            <w:tcW w:type="dxa" w:w="4960"/>
          </w:tcPr>
          <w:p>
            <w:pPr>
              <w:jc w:val="left"/>
            </w:pPr>
            <w:r>
              <w:rPr>
                <w:rFonts w:ascii="Calibri" w:hAnsi="Calibri"/>
                <w:color w:val="162233"/>
                <w:sz w:val="17"/>
              </w:rPr>
              <w:t>Continuous conversion</w:t>
            </w:r>
          </w:p>
        </w:tc>
      </w:tr>
      <w:tr>
        <w:tc>
          <w:tcPr>
            <w:tcW w:type="dxa" w:w="1100"/>
          </w:tcPr>
          <w:p>
            <w:pPr>
              <w:jc w:val="center"/>
            </w:pPr>
            <w:r>
              <w:rPr>
                <w:rFonts w:ascii="Calibri" w:hAnsi="Calibri"/>
                <w:color w:val="162233"/>
                <w:sz w:val="17"/>
              </w:rPr>
              <w:t>7:5</w:t>
            </w:r>
          </w:p>
        </w:tc>
        <w:tc>
          <w:tcPr>
            <w:tcW w:type="dxa" w:w="1900"/>
          </w:tcPr>
          <w:p>
            <w:pPr>
              <w:jc w:val="left"/>
            </w:pPr>
            <w:r>
              <w:rPr>
                <w:rFonts w:ascii="Calibri" w:hAnsi="Calibri"/>
                <w:color w:val="162233"/>
                <w:sz w:val="17"/>
              </w:rPr>
              <w:t>DR</w:t>
            </w:r>
          </w:p>
        </w:tc>
        <w:tc>
          <w:tcPr>
            <w:tcW w:type="dxa" w:w="1400"/>
          </w:tcPr>
          <w:p>
            <w:pPr>
              <w:jc w:val="center"/>
            </w:pPr>
            <w:r>
              <w:rPr>
                <w:rFonts w:ascii="Calibri" w:hAnsi="Calibri"/>
                <w:color w:val="162233"/>
                <w:sz w:val="17"/>
              </w:rPr>
              <w:t>100</w:t>
            </w:r>
          </w:p>
        </w:tc>
        <w:tc>
          <w:tcPr>
            <w:tcW w:type="dxa" w:w="4960"/>
          </w:tcPr>
          <w:p>
            <w:pPr>
              <w:jc w:val="center"/>
            </w:pPr>
            <w:r>
              <w:rPr>
                <w:rFonts w:ascii="Calibri" w:hAnsi="Calibri"/>
                <w:color w:val="162233"/>
                <w:sz w:val="17"/>
              </w:rPr>
              <w:t>128 SPS</w:t>
            </w:r>
          </w:p>
        </w:tc>
      </w:tr>
      <w:tr>
        <w:tc>
          <w:tcPr>
            <w:tcW w:type="dxa" w:w="1100"/>
          </w:tcPr>
          <w:p>
            <w:pPr>
              <w:jc w:val="center"/>
            </w:pPr>
            <w:r>
              <w:rPr>
                <w:rFonts w:ascii="Calibri" w:hAnsi="Calibri"/>
                <w:color w:val="162233"/>
                <w:sz w:val="17"/>
              </w:rPr>
              <w:t>1:0</w:t>
            </w:r>
          </w:p>
        </w:tc>
        <w:tc>
          <w:tcPr>
            <w:tcW w:type="dxa" w:w="1900"/>
          </w:tcPr>
          <w:p>
            <w:pPr>
              <w:jc w:val="left"/>
            </w:pPr>
            <w:r>
              <w:rPr>
                <w:rFonts w:ascii="Calibri" w:hAnsi="Calibri"/>
                <w:color w:val="162233"/>
                <w:sz w:val="17"/>
              </w:rPr>
              <w:t>COMP_QUE</w:t>
            </w:r>
          </w:p>
        </w:tc>
        <w:tc>
          <w:tcPr>
            <w:tcW w:type="dxa" w:w="1400"/>
          </w:tcPr>
          <w:p>
            <w:pPr>
              <w:jc w:val="center"/>
            </w:pPr>
            <w:r>
              <w:rPr>
                <w:rFonts w:ascii="Calibri" w:hAnsi="Calibri"/>
                <w:color w:val="162233"/>
                <w:sz w:val="17"/>
              </w:rPr>
              <w:t>11</w:t>
            </w:r>
          </w:p>
        </w:tc>
        <w:tc>
          <w:tcPr>
            <w:tcW w:type="dxa" w:w="4960"/>
          </w:tcPr>
          <w:p>
            <w:pPr>
              <w:jc w:val="left"/>
            </w:pPr>
            <w:r>
              <w:rPr>
                <w:rFonts w:ascii="Calibri" w:hAnsi="Calibri"/>
                <w:color w:val="162233"/>
                <w:sz w:val="17"/>
              </w:rPr>
              <w:t>Comparator/ALERT disabled</w:t>
            </w:r>
          </w:p>
        </w:tc>
      </w:tr>
    </w:tbl>
    <w:p>
      <w:pPr>
        <w:spacing w:after="120"/>
      </w:pPr>
    </w:p>
    <w:p>
      <w:pPr>
        <w:pStyle w:val="Heading1"/>
      </w:pPr>
      <w:r>
        <w:t>12. Exact Continuous-Mode Source Functions</w:t>
      </w:r>
    </w:p>
    <w:p>
      <w:pPr>
        <w:pStyle w:val="Heading2"/>
      </w:pPr>
      <w:r>
        <w:t>12.1 Start Continuous Conversion</w:t>
      </w:r>
    </w:p>
    <w:p>
      <w:pPr>
        <w:pStyle w:val="CodeBlock"/>
      </w:pPr>
      <w:r>
        <w:rPr>
          <w:rFonts w:ascii="Consolas" w:hAnsi="Consolas"/>
          <w:color w:val="162233"/>
          <w:sz w:val="16"/>
        </w:rPr>
        <w:t>uint8_t ADS1115_StartContinuous_AIN0(void)</w:t>
        <w:br/>
        <w:t>{</w:t>
        <w:br/>
        <w:br/>
        <w:t xml:space="preserve">    return ADS1115_WriteRegister(ADS1115_ADDR_GND,</w:t>
        <w:br/>
        <w:t xml:space="preserve">                                 ADS1115_REG_CONFIG,</w:t>
        <w:br/>
        <w:t xml:space="preserve">                                 ADS1115_CONFIG_AIN0_CONT_4V096_128SPS);</w:t>
        <w:br/>
        <w:t>}</w:t>
      </w:r>
    </w:p>
    <w:p>
      <w:r>
        <w:rPr>
          <w:rFonts w:ascii="Calibri" w:hAnsi="Calibri"/>
        </w:rPr>
        <w:t>This writes Config once. The ADC then continues without another start command.</w:t>
      </w:r>
    </w:p>
    <w:p>
      <w:pPr>
        <w:pStyle w:val="Heading2"/>
      </w:pPr>
      <w:r>
        <w:t>12.2 Stop Continuous Conversion</w:t>
      </w:r>
    </w:p>
    <w:p>
      <w:pPr>
        <w:pStyle w:val="CodeBlock"/>
      </w:pPr>
      <w:r>
        <w:rPr>
          <w:rFonts w:ascii="Consolas" w:hAnsi="Consolas"/>
          <w:color w:val="162233"/>
          <w:sz w:val="16"/>
        </w:rPr>
        <w:t>uint8_t ADS1115_StopContinuous(void)</w:t>
        <w:br/>
        <w:t>{</w:t>
        <w:br/>
        <w:br/>
        <w:t xml:space="preserve">    return ADS1115_WriteRegister(ADS1115_ADDR_GND,</w:t>
        <w:br/>
        <w:t xml:space="preserve">                                 ADS1115_REG_CONFIG,</w:t>
        <w:br/>
        <w:t xml:space="preserve">                                 ADS1115_CONFIG_AIN0_SINGLE_4V096_128SPS);</w:t>
        <w:br/>
        <w:t>}</w:t>
      </w:r>
    </w:p>
    <w:p>
      <w:r>
        <w:rPr>
          <w:rFonts w:ascii="Calibri" w:hAnsi="Calibri"/>
        </w:rPr>
        <w:t>This writes the single-shot configuration again. MODE becomes 1, so the device returns to single-shot/power-down behavior after the mode change takes effect.</w:t>
      </w:r>
    </w:p>
    <w:p>
      <w:pPr>
        <w:pStyle w:val="Heading2"/>
      </w:pPr>
      <w:r>
        <w:t>12.3 Read the Latest Raw Value</w:t>
      </w:r>
    </w:p>
    <w:p>
      <w:pPr>
        <w:pStyle w:val="CodeBlock"/>
      </w:pPr>
      <w:r>
        <w:rPr>
          <w:rFonts w:ascii="Consolas" w:hAnsi="Consolas"/>
          <w:color w:val="162233"/>
          <w:sz w:val="16"/>
        </w:rPr>
        <w:t>uint8_t ADS1115_ReadContinuousRaw(int16_t *raw)</w:t>
        <w:br/>
        <w:t>{</w:t>
        <w:br/>
        <w:t xml:space="preserve">    uint16_t reg_value;</w:t>
        <w:br/>
        <w:br/>
        <w:t xml:space="preserve">    if(raw == NULL)</w:t>
        <w:br/>
        <w:t xml:space="preserve">    {</w:t>
        <w:br/>
        <w:t xml:space="preserve">        return E_NOT_OK;</w:t>
        <w:br/>
        <w:t xml:space="preserve">    }</w:t>
        <w:br/>
        <w:br/>
        <w:t xml:space="preserve">    if(ADS1115_ReadRegister(ADS1115_ADDR_GND,</w:t>
        <w:br/>
        <w:t xml:space="preserve">                            ADS1115_REG_CONVERSION,</w:t>
        <w:br/>
        <w:t xml:space="preserve">                            &amp;reg_value) != E_OK)</w:t>
        <w:br/>
        <w:t xml:space="preserve">    {</w:t>
        <w:br/>
        <w:t xml:space="preserve">        return E_NOT_OK;</w:t>
        <w:br/>
        <w:t xml:space="preserve">    }</w:t>
        <w:br/>
        <w:br/>
        <w:t xml:space="preserve">    *raw = (int16_t)reg_value;</w:t>
        <w:br/>
        <w:br/>
        <w:t xml:space="preserve">    return E_OK;</w:t>
        <w:br/>
        <w:t>}</w:t>
      </w:r>
    </w:p>
    <w:p>
      <w:pPr>
        <w:pStyle w:val="Heading2"/>
      </w:pPr>
      <w:r>
        <w:t>12.4 Convert Raw to Millivolts</w:t>
      </w:r>
    </w:p>
    <w:p>
      <w:pPr>
        <w:pStyle w:val="CodeBlock"/>
      </w:pPr>
      <w:r>
        <w:rPr>
          <w:rFonts w:ascii="Consolas" w:hAnsi="Consolas"/>
          <w:color w:val="162233"/>
          <w:sz w:val="16"/>
        </w:rPr>
        <w:t>uint8_t ADS1115_RawToMilliVolt_4V096(int16_t raw,</w:t>
        <w:br/>
        <w:t xml:space="preserve">                                     uint16_t *voltage_mV)</w:t>
        <w:br/>
        <w:t>{</w:t>
        <w:br/>
        <w:t xml:space="preserve">    int32_t voltage_uV;</w:t>
        <w:br/>
        <w:br/>
        <w:t xml:space="preserve">    if(voltage_mV == NULL)</w:t>
        <w:br/>
        <w:t xml:space="preserve">    {</w:t>
        <w:br/>
        <w:t xml:space="preserve">        return E_NOT_OK;</w:t>
        <w:br/>
        <w:t xml:space="preserve">    }</w:t>
        <w:br/>
        <w:br/>
        <w:t xml:space="preserve">    if(raw &lt; 0)</w:t>
        <w:br/>
        <w:t xml:space="preserve">    {</w:t>
        <w:br/>
        <w:t xml:space="preserve">        raw = 0;</w:t>
        <w:br/>
        <w:t xml:space="preserve">    }</w:t>
        <w:br/>
        <w:br/>
        <w:t xml:space="preserve">    voltage_uV = (int32_t)raw * ADS1115_LSB_4V096_UV;</w:t>
        <w:br/>
        <w:br/>
        <w:t xml:space="preserve">    *voltage_mV = (uint16_t)((voltage_uV + 500) / 1000);</w:t>
        <w:br/>
        <w:br/>
        <w:t xml:space="preserve">    return E_OK;</w:t>
        <w:br/>
        <w:t>}</w:t>
      </w:r>
    </w:p>
    <w:p>
      <w:pPr>
        <w:pStyle w:val="Heading2"/>
      </w:pPr>
      <w:r>
        <w:t>12.5 Combined Continuous Read</w:t>
      </w:r>
    </w:p>
    <w:p>
      <w:pPr>
        <w:pStyle w:val="CodeBlock"/>
      </w:pPr>
      <w:r>
        <w:rPr>
          <w:rFonts w:ascii="Consolas" w:hAnsi="Consolas"/>
          <w:color w:val="162233"/>
          <w:sz w:val="16"/>
        </w:rPr>
        <w:t>uint8_t ADS1115_ReadContinuous_AIN0(int16_t *raw,</w:t>
        <w:br/>
        <w:t xml:space="preserve">                                    uint16_t *voltage_mV)</w:t>
        <w:br/>
        <w:t>{</w:t>
        <w:br/>
        <w:t xml:space="preserve">    if((raw == NULL) || (voltage_mV == NULL))</w:t>
        <w:br/>
        <w:t xml:space="preserve">    {</w:t>
        <w:br/>
        <w:t xml:space="preserve">        return E_NOT_OK;</w:t>
        <w:br/>
        <w:t xml:space="preserve">    }</w:t>
        <w:br/>
        <w:br/>
        <w:t xml:space="preserve">    if(ADS1115_ReadContinuousRaw(raw) != E_OK)</w:t>
        <w:br/>
        <w:t xml:space="preserve">    {</w:t>
        <w:br/>
        <w:t xml:space="preserve">        return E_NOT_OK;</w:t>
        <w:br/>
        <w:t xml:space="preserve">    }</w:t>
        <w:br/>
        <w:br/>
        <w:t xml:space="preserve">    if(ADS1115_RawToMilliVolt_4V096(*raw, voltage_mV) != E_OK)</w:t>
        <w:br/>
        <w:t xml:space="preserve">    {</w:t>
        <w:br/>
        <w:t xml:space="preserve">        return E_NOT_OK;</w:t>
        <w:br/>
        <w:t xml:space="preserve">    }</w:t>
        <w:br/>
        <w:br/>
        <w:t xml:space="preserve">    return E_OK;</w:t>
        <w:br/>
        <w:t>}</w:t>
      </w:r>
    </w:p>
    <w:p>
      <w:pPr>
        <w:pStyle w:val="Heading2"/>
      </w:pPr>
      <w:r>
        <w:t>12.6 Continuous UART Test</w:t>
      </w:r>
    </w:p>
    <w:p>
      <w:pPr>
        <w:pStyle w:val="CodeBlock"/>
      </w:pPr>
      <w:r>
        <w:rPr>
          <w:rFonts w:ascii="Consolas" w:hAnsi="Consolas"/>
          <w:color w:val="162233"/>
          <w:sz w:val="16"/>
        </w:rPr>
        <w:t>void ADS1115_TestContinuous_AIN0(void)</w:t>
        <w:br/>
        <w:t>{</w:t>
        <w:br/>
        <w:t xml:space="preserve">    int16_t raw;</w:t>
        <w:br/>
        <w:t xml:space="preserve">    uint16_t voltage_mV;</w:t>
        <w:br/>
        <w:t xml:space="preserve">    char msg[100];</w:t>
        <w:br/>
        <w:br/>
        <w:t xml:space="preserve">    if(ADS1115_StartContinuous_AIN0() != E_OK)</w:t>
        <w:br/>
        <w:t xml:space="preserve">    {</w:t>
        <w:br/>
        <w:t xml:space="preserve">        USART2_SendString("ADS1115 continuous start failed\r\n");</w:t>
        <w:br/>
        <w:t xml:space="preserve">        return;</w:t>
        <w:br/>
        <w:t xml:space="preserve">    }</w:t>
        <w:br/>
        <w:br/>
        <w:t xml:space="preserve">    USART2_SendString("ADS1115 continuous mode started\r\n");</w:t>
        <w:br/>
        <w:br/>
        <w:t xml:space="preserve">    HAL_Delay(10);</w:t>
        <w:br/>
        <w:br/>
        <w:t xml:space="preserve">    while(1)</w:t>
        <w:br/>
        <w:t xml:space="preserve">    {</w:t>
        <w:br/>
        <w:t xml:space="preserve">        if(ADS1115_ReadContinuous_AIN0(&amp;raw, &amp;voltage_mV) == E_OK)</w:t>
        <w:br/>
        <w:t xml:space="preserve">        {</w:t>
        <w:br/>
        <w:t xml:space="preserve">            sprintf(msg,</w:t>
        <w:br/>
        <w:t xml:space="preserve">                    "CONT AIN0 Raw = %d, Voltage = %u.%03uV\r\n",</w:t>
        <w:br/>
        <w:t xml:space="preserve">                    raw,</w:t>
        <w:br/>
        <w:t xml:space="preserve">                    voltage_mV / 1000U,</w:t>
        <w:br/>
        <w:t xml:space="preserve">                    voltage_mV % 1000U);</w:t>
        <w:br/>
        <w:br/>
        <w:t xml:space="preserve">            USART2_SendString(msg);</w:t>
        <w:br/>
        <w:t xml:space="preserve">        }</w:t>
        <w:br/>
        <w:t xml:space="preserve">        else</w:t>
        <w:br/>
        <w:t xml:space="preserve">        {</w:t>
        <w:br/>
        <w:t xml:space="preserve">            USART2_SendString("ADS1115 continuous read failed\r\n");</w:t>
        <w:br/>
        <w:t xml:space="preserve">        }</w:t>
        <w:br/>
        <w:br/>
        <w:t xml:space="preserve">        HAL_Delay(100);</w:t>
        <w:br/>
        <w:t xml:space="preserve">    }</w:t>
        <w:br/>
        <w:t>}</w:t>
      </w:r>
    </w:p>
    <w:p>
      <w:pPr>
        <w:pStyle w:val="Heading1"/>
      </w:pPr>
      <w:r>
        <w:t>13. Implemented Test Flow</w:t>
      </w:r>
    </w:p>
    <w:p>
      <w:pPr>
        <w:spacing w:before="120" w:after="60"/>
        <w:jc w:val="center"/>
      </w:pPr>
      <w:r>
        <w:drawing>
          <wp:inline xmlns:a="http://schemas.openxmlformats.org/drawingml/2006/main" xmlns:pic="http://schemas.openxmlformats.org/drawingml/2006/picture">
            <wp:extent cx="5806440" cy="3296559"/>
            <wp:docPr id="5" name="Picture 5" descr="Start continuous mode, wait 10 milliseconds, repeatedly read, convert, print, and wait 100 milliseconds; main.c still calls one-shot test."/>
            <wp:cNvGraphicFramePr>
              <a:graphicFrameLocks noChangeAspect="1"/>
            </wp:cNvGraphicFramePr>
            <a:graphic>
              <a:graphicData uri="http://schemas.openxmlformats.org/drawingml/2006/picture">
                <pic:pic>
                  <pic:nvPicPr>
                    <pic:cNvPr id="0" name="source_flow.png"/>
                    <pic:cNvPicPr/>
                  </pic:nvPicPr>
                  <pic:blipFill>
                    <a:blip r:embed="rId15"/>
                    <a:stretch>
                      <a:fillRect/>
                    </a:stretch>
                  </pic:blipFill>
                  <pic:spPr>
                    <a:xfrm>
                      <a:off x="0" y="0"/>
                      <a:ext cx="5806440" cy="3296559"/>
                    </a:xfrm>
                    <a:prstGeom prst="rect"/>
                  </pic:spPr>
                </pic:pic>
              </a:graphicData>
            </a:graphic>
          </wp:inline>
        </w:drawing>
      </w:r>
    </w:p>
    <w:p>
      <w:pPr>
        <w:spacing w:before="40" w:after="160"/>
        <w:jc w:val="center"/>
      </w:pPr>
      <w:r>
        <w:rPr>
          <w:rFonts w:ascii="Calibri" w:hAnsi="Calibri"/>
          <w:i/>
          <w:color w:val="5C6A7A"/>
          <w:sz w:val="18"/>
        </w:rPr>
        <w:t>Figure 5. Continuous test loop implemented in ads1115.c.</w:t>
      </w:r>
    </w:p>
    <w:p>
      <w:pPr>
        <w:pStyle w:val="ListNumber"/>
      </w:pPr>
      <w:r>
        <w:rPr>
          <w:rFonts w:ascii="Calibri" w:hAnsi="Calibri"/>
          <w:color w:val="162233"/>
          <w:sz w:val="21"/>
        </w:rPr>
        <w:t>Write 0xC283 once to start continuous conversion.</w:t>
      </w:r>
    </w:p>
    <w:p>
      <w:pPr>
        <w:pStyle w:val="ListNumber"/>
      </w:pPr>
      <w:r>
        <w:rPr>
          <w:rFonts w:ascii="Calibri" w:hAnsi="Calibri"/>
          <w:color w:val="162233"/>
          <w:sz w:val="21"/>
        </w:rPr>
        <w:t>Wait 10 ms so the first 128 SPS result can complete.</w:t>
      </w:r>
    </w:p>
    <w:p>
      <w:pPr>
        <w:pStyle w:val="ListNumber"/>
      </w:pPr>
      <w:r>
        <w:rPr>
          <w:rFonts w:ascii="Calibri" w:hAnsi="Calibri"/>
          <w:color w:val="162233"/>
          <w:sz w:val="21"/>
        </w:rPr>
        <w:t>Read the latest Conversion register value.</w:t>
      </w:r>
    </w:p>
    <w:p>
      <w:pPr>
        <w:pStyle w:val="ListNumber"/>
      </w:pPr>
      <w:r>
        <w:rPr>
          <w:rFonts w:ascii="Calibri" w:hAnsi="Calibri"/>
          <w:color w:val="162233"/>
          <w:sz w:val="21"/>
        </w:rPr>
        <w:t>Clamp a negative single-ended display value to zero.</w:t>
      </w:r>
    </w:p>
    <w:p>
      <w:pPr>
        <w:pStyle w:val="ListNumber"/>
      </w:pPr>
      <w:r>
        <w:rPr>
          <w:rFonts w:ascii="Calibri" w:hAnsi="Calibri"/>
          <w:color w:val="162233"/>
          <w:sz w:val="21"/>
        </w:rPr>
        <w:t>Multiply by 125 microvolts and round to millivolts.</w:t>
      </w:r>
    </w:p>
    <w:p>
      <w:pPr>
        <w:pStyle w:val="ListNumber"/>
      </w:pPr>
      <w:r>
        <w:rPr>
          <w:rFonts w:ascii="Calibri" w:hAnsi="Calibri"/>
          <w:color w:val="162233"/>
          <w:sz w:val="21"/>
        </w:rPr>
        <w:t>Print raw code and voltage over USART2.</w:t>
      </w:r>
    </w:p>
    <w:p>
      <w:pPr>
        <w:pStyle w:val="ListNumber"/>
      </w:pPr>
      <w:r>
        <w:rPr>
          <w:rFonts w:ascii="Calibri" w:hAnsi="Calibri"/>
          <w:color w:val="162233"/>
          <w:sz w:val="21"/>
        </w:rPr>
        <w:t>Wait 100 ms, then repeat forever.</w:t>
      </w:r>
    </w:p>
    <w:p>
      <w:pPr>
        <w:pStyle w:val="Heading1"/>
      </w:pPr>
      <w:r>
        <w:t>14. Current main.c Integration</w:t>
      </w:r>
    </w:p>
    <w:p>
      <w:pPr>
        <w:pStyle w:val="CodeBlock"/>
      </w:pPr>
      <w:r>
        <w:rPr>
          <w:rFonts w:ascii="Consolas" w:hAnsi="Consolas"/>
          <w:color w:val="162233"/>
          <w:sz w:val="16"/>
        </w:rPr>
        <w:t>//One shot ADC conversion</w:t>
        <w:br/>
        <w:t xml:space="preserve">      ADS1115_Test_AIN0();</w:t>
        <w:br/>
        <w:t xml:space="preserve">      HAL_Delay(500);</w:t>
      </w:r>
    </w:p>
    <w:tbl>
      <w:tblPr>
        <w:tblW w:type="dxa" w:w="9360"/>
        <w:jc w:val="left"/>
        <w:tblLayout w:type="fixed"/>
        <w:tblLook w:firstColumn="1" w:firstRow="1" w:lastColumn="0" w:lastRow="0" w:noHBand="0" w:noVBand="1" w:val="04A0"/>
        <w:tblInd w:type="dxa" w:w="120"/>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Pr>
      <w:tblGrid>
        <w:gridCol w:w="9360"/>
      </w:tblGrid>
      <w:tr>
        <w:trPr>
          <w:tblHeader w:val="true"/>
        </w:trPr>
        <w:tc>
          <w:tcPr>
            <w:tcW w:type="dxa" w:w="9360"/>
            <w:vAlign w:val="center"/>
            <w:tcMar>
              <w:top w:w="80" w:type="dxa"/>
              <w:start w:w="120" w:type="dxa"/>
              <w:bottom w:w="80" w:type="dxa"/>
              <w:end w:w="120" w:type="dxa"/>
            </w:tcMar>
            <w:shd w:fill="FDECEC"/>
          </w:tcPr>
          <w:p>
            <w:r>
              <w:rPr>
                <w:rFonts w:ascii="Calibri" w:hAnsi="Calibri"/>
                <w:b/>
                <w:color w:val="1F4E79"/>
                <w:sz w:val="21"/>
              </w:rPr>
              <w:t xml:space="preserve">Implementation status: </w:t>
            </w:r>
            <w:r>
              <w:rPr>
                <w:rFonts w:ascii="Calibri" w:hAnsi="Calibri"/>
                <w:color w:val="162233"/>
                <w:sz w:val="21"/>
              </w:rPr>
              <w:t>The continuous APIs are compiled and declared, but this is the active code in main.c. Continuous mode is not started by the attached application. Also, ADS1115_TestContinuous_AIN0() contains its own infinite loop, so calling it would take control of the program permanently.</w:t>
            </w:r>
          </w:p>
        </w:tc>
      </w:tr>
    </w:tbl>
    <w:p>
      <w:pPr>
        <w:spacing w:after="80"/>
      </w:pPr>
    </w:p>
    <w:p>
      <w:pPr>
        <w:pStyle w:val="Heading2"/>
      </w:pPr>
      <w:r>
        <w:t>14.1 Shared I2C Backend</w:t>
      </w:r>
    </w:p>
    <w:p>
      <w:r>
        <w:rPr>
          <w:rFonts w:ascii="Calibri" w:hAnsi="Calibri"/>
        </w:rPr>
        <w:t>Continuous mode does not need a new I2C driver. Start uses the existing three-byte register write. Each sample read uses the existing pointer-write plus two-byte register read. The STM32F4 two-byte branch sets POS, clears ACK, clears ADDR, waits for BTF, generates STOP, reads DR twice, and restores POS/ACK.</w:t>
      </w:r>
    </w:p>
    <w:p>
      <w:pPr>
        <w:pStyle w:val="Heading1"/>
      </w:pPr>
      <w:r>
        <w:t>15. Testing and Expected Output</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800"/>
        <w:gridCol w:w="6560"/>
      </w:tblGrid>
      <w:tr>
        <w:trPr>
          <w:tblHeader w:val="true"/>
        </w:trPr>
        <w:tc>
          <w:tcPr>
            <w:tcW w:type="dxa" w:w="2800"/>
            <w:vAlign w:val="center"/>
            <w:tcMar>
              <w:top w:w="80" w:type="dxa"/>
              <w:start w:w="120" w:type="dxa"/>
              <w:bottom w:w="80" w:type="dxa"/>
              <w:end w:w="120" w:type="dxa"/>
            </w:tcMar>
            <w:shd w:fill="E8EEF5"/>
          </w:tcPr>
          <w:p>
            <w:pPr>
              <w:jc w:val="center"/>
            </w:pPr>
            <w:r>
              <w:rPr>
                <w:rFonts w:ascii="Calibri" w:hAnsi="Calibri"/>
                <w:b/>
                <w:color w:val="162233"/>
                <w:sz w:val="18"/>
              </w:rPr>
              <w:t>Test</w:t>
            </w:r>
          </w:p>
        </w:tc>
        <w:tc>
          <w:tcPr>
            <w:tcW w:type="dxa" w:w="6560"/>
            <w:vAlign w:val="center"/>
            <w:tcMar>
              <w:top w:w="80" w:type="dxa"/>
              <w:start w:w="120" w:type="dxa"/>
              <w:bottom w:w="80" w:type="dxa"/>
              <w:end w:w="120" w:type="dxa"/>
            </w:tcMar>
            <w:shd w:fill="E8EEF5"/>
          </w:tcPr>
          <w:p>
            <w:pPr>
              <w:jc w:val="center"/>
            </w:pPr>
            <w:r>
              <w:rPr>
                <w:rFonts w:ascii="Calibri" w:hAnsi="Calibri"/>
                <w:b/>
                <w:color w:val="162233"/>
                <w:sz w:val="18"/>
              </w:rPr>
              <w:t>Expected result</w:t>
            </w:r>
          </w:p>
        </w:tc>
      </w:tr>
      <w:tr>
        <w:tc>
          <w:tcPr>
            <w:tcW w:type="dxa" w:w="2800"/>
          </w:tcPr>
          <w:p>
            <w:pPr>
              <w:jc w:val="center"/>
            </w:pPr>
            <w:r>
              <w:rPr>
                <w:rFonts w:ascii="Calibri" w:hAnsi="Calibri"/>
                <w:color w:val="162233"/>
                <w:sz w:val="17"/>
              </w:rPr>
              <w:t>Start</w:t>
            </w:r>
          </w:p>
        </w:tc>
        <w:tc>
          <w:tcPr>
            <w:tcW w:type="dxa" w:w="6560"/>
          </w:tcPr>
          <w:p>
            <w:pPr>
              <w:jc w:val="left"/>
            </w:pPr>
            <w:r>
              <w:rPr>
                <w:rFonts w:ascii="Calibri" w:hAnsi="Calibri"/>
                <w:color w:val="162233"/>
                <w:sz w:val="17"/>
              </w:rPr>
              <w:t>ADS1115 continuous mode started</w:t>
            </w:r>
          </w:p>
        </w:tc>
      </w:tr>
      <w:tr>
        <w:tc>
          <w:tcPr>
            <w:tcW w:type="dxa" w:w="2800"/>
          </w:tcPr>
          <w:p>
            <w:pPr>
              <w:jc w:val="center"/>
            </w:pPr>
            <w:r>
              <w:rPr>
                <w:rFonts w:ascii="Calibri" w:hAnsi="Calibri"/>
                <w:color w:val="162233"/>
                <w:sz w:val="17"/>
              </w:rPr>
              <w:t>Stable input</w:t>
            </w:r>
          </w:p>
        </w:tc>
        <w:tc>
          <w:tcPr>
            <w:tcW w:type="dxa" w:w="6560"/>
          </w:tcPr>
          <w:p>
            <w:pPr>
              <w:jc w:val="left"/>
            </w:pPr>
            <w:r>
              <w:rPr>
                <w:rFonts w:ascii="Calibri" w:hAnsi="Calibri"/>
                <w:color w:val="162233"/>
                <w:sz w:val="17"/>
              </w:rPr>
              <w:t>Raw values stay near one code region; small noise variation is normal</w:t>
            </w:r>
          </w:p>
        </w:tc>
      </w:tr>
      <w:tr>
        <w:tc>
          <w:tcPr>
            <w:tcW w:type="dxa" w:w="2800"/>
          </w:tcPr>
          <w:p>
            <w:pPr>
              <w:jc w:val="left"/>
            </w:pPr>
            <w:r>
              <w:rPr>
                <w:rFonts w:ascii="Calibri" w:hAnsi="Calibri"/>
                <w:color w:val="162233"/>
                <w:sz w:val="17"/>
              </w:rPr>
              <w:t>Potentiometer movement</w:t>
            </w:r>
          </w:p>
        </w:tc>
        <w:tc>
          <w:tcPr>
            <w:tcW w:type="dxa" w:w="6560"/>
          </w:tcPr>
          <w:p>
            <w:pPr>
              <w:jc w:val="left"/>
            </w:pPr>
            <w:r>
              <w:rPr>
                <w:rFonts w:ascii="Calibri" w:hAnsi="Calibri"/>
                <w:color w:val="162233"/>
                <w:sz w:val="17"/>
              </w:rPr>
              <w:t>Latest raw/voltage follows the input on each 100 ms display read</w:t>
            </w:r>
          </w:p>
        </w:tc>
      </w:tr>
      <w:tr>
        <w:tc>
          <w:tcPr>
            <w:tcW w:type="dxa" w:w="2800"/>
          </w:tcPr>
          <w:p>
            <w:pPr>
              <w:jc w:val="left"/>
            </w:pPr>
            <w:r>
              <w:rPr>
                <w:rFonts w:ascii="Calibri" w:hAnsi="Calibri"/>
                <w:color w:val="162233"/>
                <w:sz w:val="17"/>
              </w:rPr>
              <w:t>Read faster than 7.8 ms</w:t>
            </w:r>
          </w:p>
        </w:tc>
        <w:tc>
          <w:tcPr>
            <w:tcW w:type="dxa" w:w="6560"/>
          </w:tcPr>
          <w:p>
            <w:pPr>
              <w:jc w:val="left"/>
            </w:pPr>
            <w:r>
              <w:rPr>
                <w:rFonts w:ascii="Calibri" w:hAnsi="Calibri"/>
                <w:color w:val="162233"/>
                <w:sz w:val="17"/>
              </w:rPr>
              <w:t>Some consecutive values repeat</w:t>
            </w:r>
          </w:p>
        </w:tc>
      </w:tr>
      <w:tr>
        <w:tc>
          <w:tcPr>
            <w:tcW w:type="dxa" w:w="2800"/>
          </w:tcPr>
          <w:p>
            <w:pPr>
              <w:jc w:val="center"/>
            </w:pPr>
            <w:r>
              <w:rPr>
                <w:rFonts w:ascii="Calibri" w:hAnsi="Calibri"/>
                <w:color w:val="162233"/>
                <w:sz w:val="17"/>
              </w:rPr>
              <w:t>Stop API</w:t>
            </w:r>
          </w:p>
        </w:tc>
        <w:tc>
          <w:tcPr>
            <w:tcW w:type="dxa" w:w="6560"/>
          </w:tcPr>
          <w:p>
            <w:pPr>
              <w:jc w:val="left"/>
            </w:pPr>
            <w:r>
              <w:rPr>
                <w:rFonts w:ascii="Calibri" w:hAnsi="Calibri"/>
                <w:color w:val="162233"/>
                <w:sz w:val="17"/>
              </w:rPr>
              <w:t>Writing 0xC383 returns device to single-shot/power-down behavior</w:t>
            </w:r>
          </w:p>
        </w:tc>
      </w:tr>
    </w:tbl>
    <w:p>
      <w:pPr>
        <w:spacing w:after="120"/>
      </w:pPr>
    </w:p>
    <w:p>
      <w:pPr>
        <w:pStyle w:val="CodeBlock"/>
      </w:pPr>
      <w:r>
        <w:rPr>
          <w:rFonts w:ascii="Consolas" w:hAnsi="Consolas"/>
          <w:color w:val="162233"/>
          <w:sz w:val="16"/>
        </w:rPr>
        <w:t>ADS1115 continuous mode started</w:t>
        <w:br/>
        <w:t>CONT AIN0 Raw = 26080, Voltage = 3.260V</w:t>
        <w:br/>
        <w:t>CONT AIN0 Raw = 26079, Voltage = 3.260V</w:t>
        <w:br/>
        <w:t>CONT AIN0 Raw = 14820, Voltage = 1.853V</w:t>
      </w:r>
    </w:p>
    <w:p>
      <w:pPr>
        <w:pStyle w:val="Heading2"/>
      </w:pPr>
      <w:r>
        <w:t>15.1 Logic Analyzer Checkpoints</w:t>
      </w:r>
    </w:p>
    <w:p>
      <w:pPr>
        <w:pStyle w:val="ListBullet"/>
      </w:pPr>
      <w:r>
        <w:rPr>
          <w:rFonts w:ascii="Calibri" w:hAnsi="Calibri"/>
          <w:color w:val="162233"/>
          <w:sz w:val="21"/>
        </w:rPr>
        <w:t>One Config write uses pointer 0x01 followed by 0xC2 and 0x83.</w:t>
      </w:r>
    </w:p>
    <w:p>
      <w:pPr>
        <w:pStyle w:val="ListBullet"/>
      </w:pPr>
      <w:r>
        <w:rPr>
          <w:rFonts w:ascii="Calibri" w:hAnsi="Calibri"/>
          <w:color w:val="162233"/>
          <w:sz w:val="21"/>
        </w:rPr>
        <w:t>Later sample reads use pointer 0x00 followed by a two-byte read.</w:t>
      </w:r>
    </w:p>
    <w:p>
      <w:pPr>
        <w:pStyle w:val="ListBullet"/>
      </w:pPr>
      <w:r>
        <w:rPr>
          <w:rFonts w:ascii="Calibri" w:hAnsi="Calibri"/>
          <w:color w:val="162233"/>
          <w:sz w:val="21"/>
        </w:rPr>
        <w:t>No repeated Config write is needed for each sample.</w:t>
      </w:r>
    </w:p>
    <w:p>
      <w:pPr>
        <w:pStyle w:val="ListBullet"/>
      </w:pPr>
      <w:r>
        <w:rPr>
          <w:rFonts w:ascii="Calibri" w:hAnsi="Calibri"/>
          <w:color w:val="162233"/>
          <w:sz w:val="21"/>
        </w:rPr>
        <w:t>At the source's 100 ms interval, I2C reads occur much slower than ADC conversions.</w:t>
      </w:r>
    </w:p>
    <w:p>
      <w:pPr>
        <w:pStyle w:val="Heading1"/>
      </w:pPr>
      <w:r>
        <w:t>16. Engineering Review</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500"/>
        <w:gridCol w:w="3600"/>
        <w:gridCol w:w="3260"/>
      </w:tblGrid>
      <w:tr>
        <w:trPr>
          <w:tblHeader w:val="true"/>
        </w:trPr>
        <w:tc>
          <w:tcPr>
            <w:tcW w:type="dxa" w:w="2500"/>
            <w:vAlign w:val="center"/>
            <w:tcMar>
              <w:top w:w="80" w:type="dxa"/>
              <w:start w:w="120" w:type="dxa"/>
              <w:bottom w:w="80" w:type="dxa"/>
              <w:end w:w="120" w:type="dxa"/>
            </w:tcMar>
            <w:shd w:fill="E8EEF5"/>
          </w:tcPr>
          <w:p>
            <w:pPr>
              <w:jc w:val="center"/>
            </w:pPr>
            <w:r>
              <w:rPr>
                <w:rFonts w:ascii="Calibri" w:hAnsi="Calibri"/>
                <w:b/>
                <w:color w:val="162233"/>
                <w:sz w:val="18"/>
              </w:rPr>
              <w:t>Finding</w:t>
            </w:r>
          </w:p>
        </w:tc>
        <w:tc>
          <w:tcPr>
            <w:tcW w:type="dxa" w:w="3600"/>
            <w:vAlign w:val="center"/>
            <w:tcMar>
              <w:top w:w="80" w:type="dxa"/>
              <w:start w:w="120" w:type="dxa"/>
              <w:bottom w:w="80" w:type="dxa"/>
              <w:end w:w="120" w:type="dxa"/>
            </w:tcMar>
            <w:shd w:fill="E8EEF5"/>
          </w:tcPr>
          <w:p>
            <w:pPr>
              <w:jc w:val="center"/>
            </w:pPr>
            <w:r>
              <w:rPr>
                <w:rFonts w:ascii="Calibri" w:hAnsi="Calibri"/>
                <w:b/>
                <w:color w:val="162233"/>
                <w:sz w:val="18"/>
              </w:rPr>
              <w:t>Source evidence</w:t>
            </w:r>
          </w:p>
        </w:tc>
        <w:tc>
          <w:tcPr>
            <w:tcW w:type="dxa" w:w="3260"/>
            <w:vAlign w:val="center"/>
            <w:tcMar>
              <w:top w:w="80" w:type="dxa"/>
              <w:start w:w="120" w:type="dxa"/>
              <w:bottom w:w="80" w:type="dxa"/>
              <w:end w:w="120" w:type="dxa"/>
            </w:tcMar>
            <w:shd w:fill="E8EEF5"/>
          </w:tcPr>
          <w:p>
            <w:pPr>
              <w:jc w:val="center"/>
            </w:pPr>
            <w:r>
              <w:rPr>
                <w:rFonts w:ascii="Calibri" w:hAnsi="Calibri"/>
                <w:b/>
                <w:color w:val="162233"/>
                <w:sz w:val="18"/>
              </w:rPr>
              <w:t>Meaning</w:t>
            </w:r>
          </w:p>
        </w:tc>
      </w:tr>
      <w:tr>
        <w:tc>
          <w:tcPr>
            <w:tcW w:type="dxa" w:w="2500"/>
          </w:tcPr>
          <w:p>
            <w:pPr>
              <w:jc w:val="left"/>
            </w:pPr>
            <w:r>
              <w:rPr>
                <w:rFonts w:ascii="Calibri" w:hAnsi="Calibri"/>
                <w:color w:val="162233"/>
                <w:sz w:val="17"/>
              </w:rPr>
              <w:t>Continuous mode not active in main</w:t>
            </w:r>
          </w:p>
        </w:tc>
        <w:tc>
          <w:tcPr>
            <w:tcW w:type="dxa" w:w="3600"/>
          </w:tcPr>
          <w:p>
            <w:pPr>
              <w:jc w:val="left"/>
            </w:pPr>
            <w:r>
              <w:rPr>
                <w:rFonts w:ascii="Calibri" w:hAnsi="Calibri"/>
                <w:color w:val="162233"/>
                <w:sz w:val="17"/>
              </w:rPr>
              <w:t>main calls ADS1115_Test_AIN0()</w:t>
            </w:r>
          </w:p>
        </w:tc>
        <w:tc>
          <w:tcPr>
            <w:tcW w:type="dxa" w:w="3260"/>
          </w:tcPr>
          <w:p>
            <w:pPr>
              <w:jc w:val="left"/>
            </w:pPr>
            <w:r>
              <w:rPr>
                <w:rFonts w:ascii="Calibri" w:hAnsi="Calibri"/>
                <w:color w:val="162233"/>
                <w:sz w:val="17"/>
              </w:rPr>
              <w:t>Driver exists but application still runs one-shot</w:t>
            </w:r>
          </w:p>
        </w:tc>
      </w:tr>
      <w:tr>
        <w:tc>
          <w:tcPr>
            <w:tcW w:type="dxa" w:w="2500"/>
          </w:tcPr>
          <w:p>
            <w:pPr>
              <w:jc w:val="left"/>
            </w:pPr>
            <w:r>
              <w:rPr>
                <w:rFonts w:ascii="Calibri" w:hAnsi="Calibri"/>
                <w:color w:val="162233"/>
                <w:sz w:val="17"/>
              </w:rPr>
              <w:t>Test function never returns</w:t>
            </w:r>
          </w:p>
        </w:tc>
        <w:tc>
          <w:tcPr>
            <w:tcW w:type="dxa" w:w="3600"/>
          </w:tcPr>
          <w:p>
            <w:pPr>
              <w:jc w:val="left"/>
            </w:pPr>
            <w:r>
              <w:rPr>
                <w:rFonts w:ascii="Calibri" w:hAnsi="Calibri"/>
                <w:color w:val="162233"/>
                <w:sz w:val="17"/>
              </w:rPr>
              <w:t>ADS1115_TestContinuous_AIN0() contains while(1)</w:t>
            </w:r>
          </w:p>
        </w:tc>
        <w:tc>
          <w:tcPr>
            <w:tcW w:type="dxa" w:w="3260"/>
          </w:tcPr>
          <w:p>
            <w:pPr>
              <w:jc w:val="left"/>
            </w:pPr>
            <w:r>
              <w:rPr>
                <w:rFonts w:ascii="Calibri" w:hAnsi="Calibri"/>
                <w:color w:val="162233"/>
                <w:sz w:val="17"/>
              </w:rPr>
              <w:t>StopContinuous cannot be used after entering this test loop</w:t>
            </w:r>
          </w:p>
        </w:tc>
      </w:tr>
      <w:tr>
        <w:tc>
          <w:tcPr>
            <w:tcW w:type="dxa" w:w="2500"/>
          </w:tcPr>
          <w:p>
            <w:pPr>
              <w:jc w:val="left"/>
            </w:pPr>
            <w:r>
              <w:rPr>
                <w:rFonts w:ascii="Calibri" w:hAnsi="Calibri"/>
                <w:color w:val="162233"/>
                <w:sz w:val="17"/>
              </w:rPr>
              <w:t>No sample freshness check</w:t>
            </w:r>
          </w:p>
        </w:tc>
        <w:tc>
          <w:tcPr>
            <w:tcW w:type="dxa" w:w="3600"/>
          </w:tcPr>
          <w:p>
            <w:pPr>
              <w:jc w:val="left"/>
            </w:pPr>
            <w:r>
              <w:rPr>
                <w:rFonts w:ascii="Calibri" w:hAnsi="Calibri"/>
                <w:color w:val="162233"/>
                <w:sz w:val="17"/>
              </w:rPr>
              <w:t>Reads are delay-based</w:t>
            </w:r>
          </w:p>
        </w:tc>
        <w:tc>
          <w:tcPr>
            <w:tcW w:type="dxa" w:w="3260"/>
          </w:tcPr>
          <w:p>
            <w:pPr>
              <w:jc w:val="left"/>
            </w:pPr>
            <w:r>
              <w:rPr>
                <w:rFonts w:ascii="Calibri" w:hAnsi="Calibri"/>
                <w:color w:val="162233"/>
                <w:sz w:val="17"/>
              </w:rPr>
              <w:t>A read can repeat or skip samples; ALERT/RDY would provide exact readiness</w:t>
            </w:r>
          </w:p>
        </w:tc>
      </w:tr>
      <w:tr>
        <w:tc>
          <w:tcPr>
            <w:tcW w:type="dxa" w:w="2500"/>
          </w:tcPr>
          <w:p>
            <w:pPr>
              <w:jc w:val="center"/>
            </w:pPr>
            <w:r>
              <w:rPr>
                <w:rFonts w:ascii="Calibri" w:hAnsi="Calibri"/>
                <w:color w:val="162233"/>
                <w:sz w:val="17"/>
              </w:rPr>
              <w:t>No FIFO</w:t>
            </w:r>
          </w:p>
        </w:tc>
        <w:tc>
          <w:tcPr>
            <w:tcW w:type="dxa" w:w="3600"/>
          </w:tcPr>
          <w:p>
            <w:pPr>
              <w:jc w:val="left"/>
            </w:pPr>
            <w:r>
              <w:rPr>
                <w:rFonts w:ascii="Calibri" w:hAnsi="Calibri"/>
                <w:color w:val="162233"/>
                <w:sz w:val="17"/>
              </w:rPr>
              <w:t>One Conversion register</w:t>
            </w:r>
          </w:p>
        </w:tc>
        <w:tc>
          <w:tcPr>
            <w:tcW w:type="dxa" w:w="3260"/>
          </w:tcPr>
          <w:p>
            <w:pPr>
              <w:jc w:val="left"/>
            </w:pPr>
            <w:r>
              <w:rPr>
                <w:rFonts w:ascii="Calibri" w:hAnsi="Calibri"/>
                <w:color w:val="162233"/>
                <w:sz w:val="17"/>
              </w:rPr>
              <w:t>Intermediate 128 SPS results are overwritten during 100 ms delay</w:t>
            </w:r>
          </w:p>
        </w:tc>
      </w:tr>
      <w:tr>
        <w:tc>
          <w:tcPr>
            <w:tcW w:type="dxa" w:w="2500"/>
          </w:tcPr>
          <w:p>
            <w:pPr>
              <w:jc w:val="left"/>
            </w:pPr>
            <w:r>
              <w:rPr>
                <w:rFonts w:ascii="Calibri" w:hAnsi="Calibri"/>
                <w:color w:val="162233"/>
                <w:sz w:val="17"/>
              </w:rPr>
              <w:t>Fixed channel/PGA/rate</w:t>
            </w:r>
          </w:p>
        </w:tc>
        <w:tc>
          <w:tcPr>
            <w:tcW w:type="dxa" w:w="3600"/>
          </w:tcPr>
          <w:p>
            <w:pPr>
              <w:jc w:val="left"/>
            </w:pPr>
            <w:r>
              <w:rPr>
                <w:rFonts w:ascii="Calibri" w:hAnsi="Calibri"/>
                <w:color w:val="162233"/>
                <w:sz w:val="17"/>
              </w:rPr>
              <w:t>0xC283 and 125 uV macro</w:t>
            </w:r>
          </w:p>
        </w:tc>
        <w:tc>
          <w:tcPr>
            <w:tcW w:type="dxa" w:w="3260"/>
          </w:tcPr>
          <w:p>
            <w:pPr>
              <w:jc w:val="left"/>
            </w:pPr>
            <w:r>
              <w:rPr>
                <w:rFonts w:ascii="Calibri" w:hAnsi="Calibri"/>
                <w:color w:val="162233"/>
                <w:sz w:val="17"/>
              </w:rPr>
              <w:t>Simple and correct for this stage, not generic</w:t>
            </w:r>
          </w:p>
        </w:tc>
      </w:tr>
      <w:tr>
        <w:tc>
          <w:tcPr>
            <w:tcW w:type="dxa" w:w="2500"/>
          </w:tcPr>
          <w:p>
            <w:pPr>
              <w:jc w:val="left"/>
            </w:pPr>
            <w:r>
              <w:rPr>
                <w:rFonts w:ascii="Calibri" w:hAnsi="Calibri"/>
                <w:color w:val="162233"/>
                <w:sz w:val="17"/>
              </w:rPr>
              <w:t>Unbounded I2C waits</w:t>
            </w:r>
          </w:p>
        </w:tc>
        <w:tc>
          <w:tcPr>
            <w:tcW w:type="dxa" w:w="3600"/>
          </w:tcPr>
          <w:p>
            <w:pPr>
              <w:jc w:val="left"/>
            </w:pPr>
            <w:r>
              <w:rPr>
                <w:rFonts w:ascii="Calibri" w:hAnsi="Calibri"/>
                <w:color w:val="162233"/>
                <w:sz w:val="17"/>
              </w:rPr>
              <w:t>I2C_TIMEOUT is defined but not used</w:t>
            </w:r>
          </w:p>
        </w:tc>
        <w:tc>
          <w:tcPr>
            <w:tcW w:type="dxa" w:w="3260"/>
          </w:tcPr>
          <w:p>
            <w:pPr>
              <w:jc w:val="left"/>
            </w:pPr>
            <w:r>
              <w:rPr>
                <w:rFonts w:ascii="Calibri" w:hAnsi="Calibri"/>
                <w:color w:val="162233"/>
                <w:sz w:val="17"/>
              </w:rPr>
              <w:t>A bus fault can block the program</w:t>
            </w:r>
          </w:p>
        </w:tc>
      </w:tr>
      <w:tr>
        <w:tc>
          <w:tcPr>
            <w:tcW w:type="dxa" w:w="2500"/>
          </w:tcPr>
          <w:p>
            <w:pPr>
              <w:jc w:val="left"/>
            </w:pPr>
            <w:r>
              <w:rPr>
                <w:rFonts w:ascii="Calibri" w:hAnsi="Calibri"/>
                <w:color w:val="162233"/>
                <w:sz w:val="17"/>
              </w:rPr>
              <w:t>Integer conversion is robust</w:t>
            </w:r>
          </w:p>
        </w:tc>
        <w:tc>
          <w:tcPr>
            <w:tcW w:type="dxa" w:w="3600"/>
          </w:tcPr>
          <w:p>
            <w:pPr>
              <w:jc w:val="left"/>
            </w:pPr>
            <w:r>
              <w:rPr>
                <w:rFonts w:ascii="Calibri" w:hAnsi="Calibri"/>
                <w:color w:val="162233"/>
                <w:sz w:val="17"/>
              </w:rPr>
              <w:t>int32_t intermediate, rounding to uint16_t mV</w:t>
            </w:r>
          </w:p>
        </w:tc>
        <w:tc>
          <w:tcPr>
            <w:tcW w:type="dxa" w:w="3260"/>
          </w:tcPr>
          <w:p>
            <w:pPr>
              <w:jc w:val="left"/>
            </w:pPr>
            <w:r>
              <w:rPr>
                <w:rFonts w:ascii="Calibri" w:hAnsi="Calibri"/>
                <w:color w:val="162233"/>
                <w:sz w:val="17"/>
              </w:rPr>
              <w:t>Avoids float in continuous display path</w:t>
            </w:r>
          </w:p>
        </w:tc>
      </w:tr>
      <w:tr>
        <w:tc>
          <w:tcPr>
            <w:tcW w:type="dxa" w:w="2500"/>
          </w:tcPr>
          <w:p>
            <w:pPr>
              <w:jc w:val="left"/>
            </w:pPr>
            <w:r>
              <w:rPr>
                <w:rFonts w:ascii="Calibri" w:hAnsi="Calibri"/>
                <w:color w:val="162233"/>
                <w:sz w:val="17"/>
              </w:rPr>
              <w:t>Public declarations corrected</w:t>
            </w:r>
          </w:p>
        </w:tc>
        <w:tc>
          <w:tcPr>
            <w:tcW w:type="dxa" w:w="3600"/>
          </w:tcPr>
          <w:p>
            <w:pPr>
              <w:jc w:val="left"/>
            </w:pPr>
            <w:r>
              <w:rPr>
                <w:rFonts w:ascii="Calibri" w:hAnsi="Calibri"/>
                <w:color w:val="162233"/>
                <w:sz w:val="17"/>
              </w:rPr>
              <w:t>main includes ads1115.h; continuous APIs are declared</w:t>
            </w:r>
          </w:p>
        </w:tc>
        <w:tc>
          <w:tcPr>
            <w:tcW w:type="dxa" w:w="3260"/>
          </w:tcPr>
          <w:p>
            <w:pPr>
              <w:jc w:val="left"/>
            </w:pPr>
            <w:r>
              <w:rPr>
                <w:rFonts w:ascii="Calibri" w:hAnsi="Calibri"/>
                <w:color w:val="162233"/>
                <w:sz w:val="17"/>
              </w:rPr>
              <w:t>Earlier interface gap is resolved</w:t>
            </w:r>
          </w:p>
        </w:tc>
      </w:tr>
    </w:tbl>
    <w:p>
      <w:pPr>
        <w:spacing w:after="120"/>
      </w:pPr>
    </w:p>
    <w:p>
      <w:pPr>
        <w:pStyle w:val="Heading2"/>
      </w:pPr>
      <w:r>
        <w:t>16.1 Debugging Guide</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300"/>
        <w:gridCol w:w="3900"/>
        <w:gridCol w:w="3160"/>
      </w:tblGrid>
      <w:tr>
        <w:trPr>
          <w:tblHeader w:val="true"/>
        </w:trPr>
        <w:tc>
          <w:tcPr>
            <w:tcW w:type="dxa" w:w="2300"/>
            <w:vAlign w:val="center"/>
            <w:tcMar>
              <w:top w:w="80" w:type="dxa"/>
              <w:start w:w="120" w:type="dxa"/>
              <w:bottom w:w="80" w:type="dxa"/>
              <w:end w:w="120" w:type="dxa"/>
            </w:tcMar>
            <w:shd w:fill="E8EEF5"/>
          </w:tcPr>
          <w:p>
            <w:pPr>
              <w:jc w:val="center"/>
            </w:pPr>
            <w:r>
              <w:rPr>
                <w:rFonts w:ascii="Calibri" w:hAnsi="Calibri"/>
                <w:b/>
                <w:color w:val="162233"/>
                <w:sz w:val="18"/>
              </w:rPr>
              <w:t>Symptom</w:t>
            </w:r>
          </w:p>
        </w:tc>
        <w:tc>
          <w:tcPr>
            <w:tcW w:type="dxa" w:w="3900"/>
            <w:vAlign w:val="center"/>
            <w:tcMar>
              <w:top w:w="80" w:type="dxa"/>
              <w:start w:w="120" w:type="dxa"/>
              <w:bottom w:w="80" w:type="dxa"/>
              <w:end w:w="120" w:type="dxa"/>
            </w:tcMar>
            <w:shd w:fill="E8EEF5"/>
          </w:tcPr>
          <w:p>
            <w:pPr>
              <w:jc w:val="center"/>
            </w:pPr>
            <w:r>
              <w:rPr>
                <w:rFonts w:ascii="Calibri" w:hAnsi="Calibri"/>
                <w:b/>
                <w:color w:val="162233"/>
                <w:sz w:val="18"/>
              </w:rPr>
              <w:t>Likely cause</w:t>
            </w:r>
          </w:p>
        </w:tc>
        <w:tc>
          <w:tcPr>
            <w:tcW w:type="dxa" w:w="3160"/>
            <w:vAlign w:val="center"/>
            <w:tcMar>
              <w:top w:w="80" w:type="dxa"/>
              <w:start w:w="120" w:type="dxa"/>
              <w:bottom w:w="80" w:type="dxa"/>
              <w:end w:w="120" w:type="dxa"/>
            </w:tcMar>
            <w:shd w:fill="E8EEF5"/>
          </w:tcPr>
          <w:p>
            <w:pPr>
              <w:jc w:val="center"/>
            </w:pPr>
            <w:r>
              <w:rPr>
                <w:rFonts w:ascii="Calibri" w:hAnsi="Calibri"/>
                <w:b/>
                <w:color w:val="162233"/>
                <w:sz w:val="18"/>
              </w:rPr>
              <w:t>Check</w:t>
            </w:r>
          </w:p>
        </w:tc>
      </w:tr>
      <w:tr>
        <w:tc>
          <w:tcPr>
            <w:tcW w:type="dxa" w:w="2300"/>
          </w:tcPr>
          <w:p>
            <w:pPr>
              <w:jc w:val="left"/>
            </w:pPr>
            <w:r>
              <w:rPr>
                <w:rFonts w:ascii="Calibri" w:hAnsi="Calibri"/>
                <w:color w:val="162233"/>
                <w:sz w:val="17"/>
              </w:rPr>
              <w:t>No continuous message</w:t>
            </w:r>
          </w:p>
        </w:tc>
        <w:tc>
          <w:tcPr>
            <w:tcW w:type="dxa" w:w="3900"/>
          </w:tcPr>
          <w:p>
            <w:pPr>
              <w:jc w:val="left"/>
            </w:pPr>
            <w:r>
              <w:rPr>
                <w:rFonts w:ascii="Calibri" w:hAnsi="Calibri"/>
                <w:color w:val="162233"/>
                <w:sz w:val="17"/>
              </w:rPr>
              <w:t>TestContinuous not called</w:t>
            </w:r>
          </w:p>
        </w:tc>
        <w:tc>
          <w:tcPr>
            <w:tcW w:type="dxa" w:w="3160"/>
          </w:tcPr>
          <w:p>
            <w:pPr>
              <w:jc w:val="left"/>
            </w:pPr>
            <w:r>
              <w:rPr>
                <w:rFonts w:ascii="Calibri" w:hAnsi="Calibri"/>
                <w:color w:val="162233"/>
                <w:sz w:val="17"/>
              </w:rPr>
              <w:t>Inspect active main.c path</w:t>
            </w:r>
          </w:p>
        </w:tc>
      </w:tr>
      <w:tr>
        <w:tc>
          <w:tcPr>
            <w:tcW w:type="dxa" w:w="2300"/>
          </w:tcPr>
          <w:p>
            <w:pPr>
              <w:jc w:val="left"/>
            </w:pPr>
            <w:r>
              <w:rPr>
                <w:rFonts w:ascii="Calibri" w:hAnsi="Calibri"/>
                <w:color w:val="162233"/>
                <w:sz w:val="17"/>
              </w:rPr>
              <w:t>Same raw value repeated</w:t>
            </w:r>
          </w:p>
        </w:tc>
        <w:tc>
          <w:tcPr>
            <w:tcW w:type="dxa" w:w="3900"/>
          </w:tcPr>
          <w:p>
            <w:pPr>
              <w:jc w:val="left"/>
            </w:pPr>
            <w:r>
              <w:rPr>
                <w:rFonts w:ascii="Calibri" w:hAnsi="Calibri"/>
                <w:color w:val="162233"/>
                <w:sz w:val="17"/>
              </w:rPr>
              <w:t>MCU reading faster than new conversion or stable input</w:t>
            </w:r>
          </w:p>
        </w:tc>
        <w:tc>
          <w:tcPr>
            <w:tcW w:type="dxa" w:w="3160"/>
          </w:tcPr>
          <w:p>
            <w:pPr>
              <w:jc w:val="left"/>
            </w:pPr>
            <w:r>
              <w:rPr>
                <w:rFonts w:ascii="Calibri" w:hAnsi="Calibri"/>
                <w:color w:val="162233"/>
                <w:sz w:val="17"/>
              </w:rPr>
              <w:t>Compare read interval with 7.8 ms</w:t>
            </w:r>
          </w:p>
        </w:tc>
      </w:tr>
      <w:tr>
        <w:tc>
          <w:tcPr>
            <w:tcW w:type="dxa" w:w="2300"/>
          </w:tcPr>
          <w:p>
            <w:pPr>
              <w:jc w:val="left"/>
            </w:pPr>
            <w:r>
              <w:rPr>
                <w:rFonts w:ascii="Calibri" w:hAnsi="Calibri"/>
                <w:color w:val="162233"/>
                <w:sz w:val="17"/>
              </w:rPr>
              <w:t>Large jumps missing</w:t>
            </w:r>
          </w:p>
        </w:tc>
        <w:tc>
          <w:tcPr>
            <w:tcW w:type="dxa" w:w="3900"/>
          </w:tcPr>
          <w:p>
            <w:pPr>
              <w:jc w:val="left"/>
            </w:pPr>
            <w:r>
              <w:rPr>
                <w:rFonts w:ascii="Calibri" w:hAnsi="Calibri"/>
                <w:color w:val="162233"/>
                <w:sz w:val="17"/>
              </w:rPr>
              <w:t>100 ms reads skip intermediate conversions</w:t>
            </w:r>
          </w:p>
        </w:tc>
        <w:tc>
          <w:tcPr>
            <w:tcW w:type="dxa" w:w="3160"/>
          </w:tcPr>
          <w:p>
            <w:pPr>
              <w:jc w:val="left"/>
            </w:pPr>
            <w:r>
              <w:rPr>
                <w:rFonts w:ascii="Calibri" w:hAnsi="Calibri"/>
                <w:color w:val="162233"/>
                <w:sz w:val="17"/>
              </w:rPr>
              <w:t>Use shorter interval or ALERT/RDY</w:t>
            </w:r>
          </w:p>
        </w:tc>
      </w:tr>
      <w:tr>
        <w:tc>
          <w:tcPr>
            <w:tcW w:type="dxa" w:w="2300"/>
          </w:tcPr>
          <w:p>
            <w:pPr>
              <w:jc w:val="left"/>
            </w:pPr>
            <w:r>
              <w:rPr>
                <w:rFonts w:ascii="Calibri" w:hAnsi="Calibri"/>
                <w:color w:val="162233"/>
                <w:sz w:val="17"/>
              </w:rPr>
              <w:t>Voltage scale wrong</w:t>
            </w:r>
          </w:p>
        </w:tc>
        <w:tc>
          <w:tcPr>
            <w:tcW w:type="dxa" w:w="3900"/>
          </w:tcPr>
          <w:p>
            <w:pPr>
              <w:jc w:val="left"/>
            </w:pPr>
            <w:r>
              <w:rPr>
                <w:rFonts w:ascii="Calibri" w:hAnsi="Calibri"/>
                <w:color w:val="162233"/>
                <w:sz w:val="17"/>
              </w:rPr>
              <w:t>PGA no longer +/-4.096 V</w:t>
            </w:r>
          </w:p>
        </w:tc>
        <w:tc>
          <w:tcPr>
            <w:tcW w:type="dxa" w:w="3160"/>
          </w:tcPr>
          <w:p>
            <w:pPr>
              <w:jc w:val="left"/>
            </w:pPr>
            <w:r>
              <w:rPr>
                <w:rFonts w:ascii="Calibri" w:hAnsi="Calibri"/>
                <w:color w:val="162233"/>
                <w:sz w:val="17"/>
              </w:rPr>
              <w:t>Match LSB macro to Config</w:t>
            </w:r>
          </w:p>
        </w:tc>
      </w:tr>
      <w:tr>
        <w:tc>
          <w:tcPr>
            <w:tcW w:type="dxa" w:w="2300"/>
          </w:tcPr>
          <w:p>
            <w:pPr>
              <w:jc w:val="left"/>
            </w:pPr>
            <w:r>
              <w:rPr>
                <w:rFonts w:ascii="Calibri" w:hAnsi="Calibri"/>
                <w:color w:val="162233"/>
                <w:sz w:val="17"/>
              </w:rPr>
              <w:t>Application frozen</w:t>
            </w:r>
          </w:p>
        </w:tc>
        <w:tc>
          <w:tcPr>
            <w:tcW w:type="dxa" w:w="3900"/>
          </w:tcPr>
          <w:p>
            <w:pPr>
              <w:jc w:val="left"/>
            </w:pPr>
            <w:r>
              <w:rPr>
                <w:rFonts w:ascii="Calibri" w:hAnsi="Calibri"/>
                <w:color w:val="162233"/>
                <w:sz w:val="17"/>
              </w:rPr>
              <w:t>Infinite test loop or I2C wait</w:t>
            </w:r>
          </w:p>
        </w:tc>
        <w:tc>
          <w:tcPr>
            <w:tcW w:type="dxa" w:w="3160"/>
          </w:tcPr>
          <w:p>
            <w:pPr>
              <w:jc w:val="left"/>
            </w:pPr>
            <w:r>
              <w:rPr>
                <w:rFonts w:ascii="Calibri" w:hAnsi="Calibri"/>
                <w:color w:val="162233"/>
                <w:sz w:val="17"/>
              </w:rPr>
              <w:t>Understand ownership of while(1); add timeouts</w:t>
            </w:r>
          </w:p>
        </w:tc>
      </w:tr>
      <w:tr>
        <w:tc>
          <w:tcPr>
            <w:tcW w:type="dxa" w:w="2300"/>
          </w:tcPr>
          <w:p>
            <w:pPr>
              <w:jc w:val="left"/>
            </w:pPr>
            <w:r>
              <w:rPr>
                <w:rFonts w:ascii="Calibri" w:hAnsi="Calibri"/>
                <w:color w:val="162233"/>
                <w:sz w:val="17"/>
              </w:rPr>
              <w:t>Small negative raw</w:t>
            </w:r>
          </w:p>
        </w:tc>
        <w:tc>
          <w:tcPr>
            <w:tcW w:type="dxa" w:w="3900"/>
          </w:tcPr>
          <w:p>
            <w:pPr>
              <w:jc w:val="left"/>
            </w:pPr>
            <w:r>
              <w:rPr>
                <w:rFonts w:ascii="Calibri" w:hAnsi="Calibri"/>
                <w:color w:val="162233"/>
                <w:sz w:val="17"/>
              </w:rPr>
              <w:t>Offset/noise near 0 V</w:t>
            </w:r>
          </w:p>
        </w:tc>
        <w:tc>
          <w:tcPr>
            <w:tcW w:type="dxa" w:w="3160"/>
          </w:tcPr>
          <w:p>
            <w:pPr>
              <w:jc w:val="left"/>
            </w:pPr>
            <w:r>
              <w:rPr>
                <w:rFonts w:ascii="Calibri" w:hAnsi="Calibri"/>
                <w:color w:val="162233"/>
                <w:sz w:val="17"/>
              </w:rPr>
              <w:t>Source clamps only the displayed single-ended voltage</w:t>
            </w:r>
          </w:p>
        </w:tc>
      </w:tr>
    </w:tbl>
    <w:p>
      <w:pPr>
        <w:spacing w:after="120"/>
      </w:pPr>
    </w:p>
    <w:p>
      <w:pPr>
        <w:pStyle w:val="Heading1"/>
      </w:pPr>
      <w:r>
        <w:t>17. Limitations and Future Improvements</w:t>
      </w:r>
    </w:p>
    <w:p>
      <w:pPr>
        <w:pStyle w:val="ListBullet"/>
      </w:pPr>
      <w:r>
        <w:rPr>
          <w:rFonts w:ascii="Calibri" w:hAnsi="Calibri"/>
          <w:color w:val="162233"/>
          <w:sz w:val="21"/>
        </w:rPr>
        <w:t>Continuous mode is AIN0-only with fixed +/-4.096 V and 128 SPS.</w:t>
      </w:r>
    </w:p>
    <w:p>
      <w:pPr>
        <w:pStyle w:val="ListBullet"/>
      </w:pPr>
      <w:r>
        <w:rPr>
          <w:rFonts w:ascii="Calibri" w:hAnsi="Calibri"/>
          <w:color w:val="162233"/>
          <w:sz w:val="21"/>
        </w:rPr>
        <w:t>The demonstration owns an infinite loop and is not integrated into main.c.</w:t>
      </w:r>
    </w:p>
    <w:p>
      <w:pPr>
        <w:pStyle w:val="ListBullet"/>
      </w:pPr>
      <w:r>
        <w:rPr>
          <w:rFonts w:ascii="Calibri" w:hAnsi="Calibri"/>
          <w:color w:val="162233"/>
          <w:sz w:val="21"/>
        </w:rPr>
        <w:t>There is no exact new-sample indication or sample counter.</w:t>
      </w:r>
    </w:p>
    <w:p>
      <w:pPr>
        <w:pStyle w:val="ListBullet"/>
      </w:pPr>
      <w:r>
        <w:rPr>
          <w:rFonts w:ascii="Calibri" w:hAnsi="Calibri"/>
          <w:color w:val="162233"/>
          <w:sz w:val="21"/>
        </w:rPr>
        <w:t>I2C waits have no timeout or bus recovery.</w:t>
      </w:r>
    </w:p>
    <w:p>
      <w:pPr>
        <w:pStyle w:val="ListBullet"/>
      </w:pPr>
      <w:r>
        <w:rPr>
          <w:rFonts w:ascii="Calibri" w:hAnsi="Calibri"/>
          <w:color w:val="162233"/>
          <w:sz w:val="21"/>
        </w:rPr>
        <w:t>Intermediate samples are not buffered.</w:t>
      </w:r>
    </w:p>
    <w:p>
      <w:pPr>
        <w:pStyle w:val="ListNumber"/>
      </w:pPr>
      <w:r>
        <w:rPr>
          <w:rFonts w:ascii="Calibri" w:hAnsi="Calibri"/>
          <w:color w:val="162233"/>
          <w:sz w:val="21"/>
        </w:rPr>
        <w:t>Integrate start once in initialization and perform non-blocking reads from the main scheduler.</w:t>
      </w:r>
    </w:p>
    <w:p>
      <w:pPr>
        <w:pStyle w:val="ListNumber"/>
      </w:pPr>
      <w:r>
        <w:rPr>
          <w:rFonts w:ascii="Calibri" w:hAnsi="Calibri"/>
          <w:color w:val="162233"/>
          <w:sz w:val="21"/>
        </w:rPr>
        <w:t>Use ALERT/RDY when each fresh sample must be processed.</w:t>
      </w:r>
    </w:p>
    <w:p>
      <w:pPr>
        <w:pStyle w:val="ListNumber"/>
      </w:pPr>
      <w:r>
        <w:rPr>
          <w:rFonts w:ascii="Calibri" w:hAnsi="Calibri"/>
          <w:color w:val="162233"/>
          <w:sz w:val="21"/>
        </w:rPr>
        <w:t>Add generic channel, PGA, and data-rate configuration with matching LSB conversion.</w:t>
      </w:r>
    </w:p>
    <w:p>
      <w:pPr>
        <w:pStyle w:val="ListNumber"/>
      </w:pPr>
      <w:r>
        <w:rPr>
          <w:rFonts w:ascii="Calibri" w:hAnsi="Calibri"/>
          <w:color w:val="162233"/>
          <w:sz w:val="21"/>
        </w:rPr>
        <w:t>Add a software ring buffer if every sample must be retained.</w:t>
      </w:r>
    </w:p>
    <w:p>
      <w:pPr>
        <w:pStyle w:val="ListNumber"/>
      </w:pPr>
      <w:r>
        <w:rPr>
          <w:rFonts w:ascii="Calibri" w:hAnsi="Calibri"/>
          <w:color w:val="162233"/>
          <w:sz w:val="21"/>
        </w:rPr>
        <w:t>Apply I2C_TIMEOUT to all bus waits and add recovery/error codes.</w:t>
      </w:r>
    </w:p>
    <w:p>
      <w:pPr>
        <w:pStyle w:val="ListNumber"/>
      </w:pPr>
      <w:r>
        <w:rPr>
          <w:rFonts w:ascii="Calibri" w:hAnsi="Calibri"/>
          <w:color w:val="162233"/>
          <w:sz w:val="21"/>
        </w:rPr>
        <w:t>Compare noise at 8, 128, and 860 SPS using minimum, maximum, mean, and peak-to-peak values.</w:t>
      </w:r>
    </w:p>
    <w:p>
      <w:pPr>
        <w:pStyle w:val="Heading1"/>
      </w:pPr>
      <w:r>
        <w:t>18. Conclusion</w:t>
      </w:r>
    </w:p>
    <w:p>
      <w:r>
        <w:rPr>
          <w:rFonts w:ascii="Calibri" w:hAnsi="Calibri"/>
        </w:rPr>
        <w:t>Continuous mode is simple once its ownership is clear: the ADS1115 owns the conversion schedule, and the MCU only chooses when to read the latest completed result. The source correctly writes 0xC283 once, waits for the first conversion, reads the signed Conversion register, converts using 125 microvolts per count, and displays at a slower 100 ms rate. The most important next design decision is whether the application needs only the latest value or must process every fresh sample.</w:t>
      </w:r>
    </w:p>
    <w:p>
      <w:pPr>
        <w:pStyle w:val="Heading1"/>
      </w:pPr>
      <w:r>
        <w:t>Appendix A. Quick Reference</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4000"/>
        <w:gridCol w:w="5360"/>
      </w:tblGrid>
      <w:tr>
        <w:trPr>
          <w:tblHeader w:val="true"/>
        </w:trPr>
        <w:tc>
          <w:tcPr>
            <w:tcW w:type="dxa" w:w="4000"/>
            <w:vAlign w:val="center"/>
            <w:tcMar>
              <w:top w:w="80" w:type="dxa"/>
              <w:start w:w="120" w:type="dxa"/>
              <w:bottom w:w="80" w:type="dxa"/>
              <w:end w:w="120" w:type="dxa"/>
            </w:tcMar>
            <w:shd w:fill="E8EEF5"/>
          </w:tcPr>
          <w:p>
            <w:pPr>
              <w:jc w:val="center"/>
            </w:pPr>
            <w:r>
              <w:rPr>
                <w:rFonts w:ascii="Calibri" w:hAnsi="Calibri"/>
                <w:b/>
                <w:color w:val="162233"/>
                <w:sz w:val="18"/>
              </w:rPr>
              <w:t>Item</w:t>
            </w:r>
          </w:p>
        </w:tc>
        <w:tc>
          <w:tcPr>
            <w:tcW w:type="dxa" w:w="5360"/>
            <w:vAlign w:val="center"/>
            <w:tcMar>
              <w:top w:w="80" w:type="dxa"/>
              <w:start w:w="120" w:type="dxa"/>
              <w:bottom w:w="80" w:type="dxa"/>
              <w:end w:w="120" w:type="dxa"/>
            </w:tcMar>
            <w:shd w:fill="E8EEF5"/>
          </w:tcPr>
          <w:p>
            <w:pPr>
              <w:jc w:val="center"/>
            </w:pPr>
            <w:r>
              <w:rPr>
                <w:rFonts w:ascii="Calibri" w:hAnsi="Calibri"/>
                <w:b/>
                <w:color w:val="162233"/>
                <w:sz w:val="18"/>
              </w:rPr>
              <w:t>Value</w:t>
            </w:r>
          </w:p>
        </w:tc>
      </w:tr>
      <w:tr>
        <w:tc>
          <w:tcPr>
            <w:tcW w:type="dxa" w:w="4000"/>
          </w:tcPr>
          <w:p>
            <w:pPr>
              <w:jc w:val="left"/>
            </w:pPr>
            <w:r>
              <w:rPr>
                <w:rFonts w:ascii="Calibri" w:hAnsi="Calibri"/>
                <w:color w:val="162233"/>
                <w:sz w:val="17"/>
              </w:rPr>
              <w:t>Continuous Config</w:t>
            </w:r>
          </w:p>
        </w:tc>
        <w:tc>
          <w:tcPr>
            <w:tcW w:type="dxa" w:w="5360"/>
          </w:tcPr>
          <w:p>
            <w:pPr>
              <w:jc w:val="left"/>
            </w:pPr>
            <w:r>
              <w:rPr>
                <w:rFonts w:ascii="Calibri" w:hAnsi="Calibri"/>
                <w:color w:val="162233"/>
                <w:sz w:val="17"/>
              </w:rPr>
              <w:t>0xC283U</w:t>
            </w:r>
          </w:p>
        </w:tc>
      </w:tr>
      <w:tr>
        <w:tc>
          <w:tcPr>
            <w:tcW w:type="dxa" w:w="4000"/>
          </w:tcPr>
          <w:p>
            <w:pPr>
              <w:jc w:val="left"/>
            </w:pPr>
            <w:r>
              <w:rPr>
                <w:rFonts w:ascii="Calibri" w:hAnsi="Calibri"/>
                <w:color w:val="162233"/>
                <w:sz w:val="17"/>
              </w:rPr>
              <w:t>Single-shot Config</w:t>
            </w:r>
          </w:p>
        </w:tc>
        <w:tc>
          <w:tcPr>
            <w:tcW w:type="dxa" w:w="5360"/>
          </w:tcPr>
          <w:p>
            <w:pPr>
              <w:jc w:val="left"/>
            </w:pPr>
            <w:r>
              <w:rPr>
                <w:rFonts w:ascii="Calibri" w:hAnsi="Calibri"/>
                <w:color w:val="162233"/>
                <w:sz w:val="17"/>
              </w:rPr>
              <w:t>0xC383U</w:t>
            </w:r>
          </w:p>
        </w:tc>
      </w:tr>
      <w:tr>
        <w:tc>
          <w:tcPr>
            <w:tcW w:type="dxa" w:w="4000"/>
          </w:tcPr>
          <w:p>
            <w:pPr>
              <w:jc w:val="center"/>
            </w:pPr>
            <w:r>
              <w:rPr>
                <w:rFonts w:ascii="Calibri" w:hAnsi="Calibri"/>
                <w:color w:val="162233"/>
                <w:sz w:val="17"/>
              </w:rPr>
              <w:t>MODE continuous</w:t>
            </w:r>
          </w:p>
        </w:tc>
        <w:tc>
          <w:tcPr>
            <w:tcW w:type="dxa" w:w="5360"/>
          </w:tcPr>
          <w:p>
            <w:pPr>
              <w:jc w:val="left"/>
            </w:pPr>
            <w:r>
              <w:rPr>
                <w:rFonts w:ascii="Calibri" w:hAnsi="Calibri"/>
                <w:color w:val="162233"/>
                <w:sz w:val="17"/>
              </w:rPr>
              <w:t>0</w:t>
            </w:r>
          </w:p>
        </w:tc>
      </w:tr>
      <w:tr>
        <w:tc>
          <w:tcPr>
            <w:tcW w:type="dxa" w:w="4000"/>
          </w:tcPr>
          <w:p>
            <w:pPr>
              <w:jc w:val="center"/>
            </w:pPr>
            <w:r>
              <w:rPr>
                <w:rFonts w:ascii="Calibri" w:hAnsi="Calibri"/>
                <w:color w:val="162233"/>
                <w:sz w:val="17"/>
              </w:rPr>
              <w:t>AIN0 MUX</w:t>
            </w:r>
          </w:p>
        </w:tc>
        <w:tc>
          <w:tcPr>
            <w:tcW w:type="dxa" w:w="5360"/>
          </w:tcPr>
          <w:p>
            <w:pPr>
              <w:jc w:val="left"/>
            </w:pPr>
            <w:r>
              <w:rPr>
                <w:rFonts w:ascii="Calibri" w:hAnsi="Calibri"/>
                <w:color w:val="162233"/>
                <w:sz w:val="17"/>
              </w:rPr>
              <w:t>100</w:t>
            </w:r>
          </w:p>
        </w:tc>
      </w:tr>
      <w:tr>
        <w:tc>
          <w:tcPr>
            <w:tcW w:type="dxa" w:w="4000"/>
          </w:tcPr>
          <w:p>
            <w:pPr>
              <w:jc w:val="center"/>
            </w:pPr>
            <w:r>
              <w:rPr>
                <w:rFonts w:ascii="Calibri" w:hAnsi="Calibri"/>
                <w:color w:val="162233"/>
                <w:sz w:val="17"/>
              </w:rPr>
              <w:t>PGA</w:t>
            </w:r>
          </w:p>
        </w:tc>
        <w:tc>
          <w:tcPr>
            <w:tcW w:type="dxa" w:w="5360"/>
          </w:tcPr>
          <w:p>
            <w:pPr>
              <w:jc w:val="left"/>
            </w:pPr>
            <w:r>
              <w:rPr>
                <w:rFonts w:ascii="Calibri" w:hAnsi="Calibri"/>
                <w:color w:val="162233"/>
                <w:sz w:val="17"/>
              </w:rPr>
              <w:t>+/-4.096 V</w:t>
            </w:r>
          </w:p>
        </w:tc>
      </w:tr>
      <w:tr>
        <w:tc>
          <w:tcPr>
            <w:tcW w:type="dxa" w:w="4000"/>
          </w:tcPr>
          <w:p>
            <w:pPr>
              <w:jc w:val="center"/>
            </w:pPr>
            <w:r>
              <w:rPr>
                <w:rFonts w:ascii="Calibri" w:hAnsi="Calibri"/>
                <w:color w:val="162233"/>
                <w:sz w:val="17"/>
              </w:rPr>
              <w:t>LSB</w:t>
            </w:r>
          </w:p>
        </w:tc>
        <w:tc>
          <w:tcPr>
            <w:tcW w:type="dxa" w:w="5360"/>
          </w:tcPr>
          <w:p>
            <w:pPr>
              <w:jc w:val="left"/>
            </w:pPr>
            <w:r>
              <w:rPr>
                <w:rFonts w:ascii="Calibri" w:hAnsi="Calibri"/>
                <w:color w:val="162233"/>
                <w:sz w:val="17"/>
              </w:rPr>
              <w:t>125 uV/code</w:t>
            </w:r>
          </w:p>
        </w:tc>
      </w:tr>
      <w:tr>
        <w:tc>
          <w:tcPr>
            <w:tcW w:type="dxa" w:w="4000"/>
          </w:tcPr>
          <w:p>
            <w:pPr>
              <w:jc w:val="center"/>
            </w:pPr>
            <w:r>
              <w:rPr>
                <w:rFonts w:ascii="Calibri" w:hAnsi="Calibri"/>
                <w:color w:val="162233"/>
                <w:sz w:val="17"/>
              </w:rPr>
              <w:t>Data rate</w:t>
            </w:r>
          </w:p>
        </w:tc>
        <w:tc>
          <w:tcPr>
            <w:tcW w:type="dxa" w:w="5360"/>
          </w:tcPr>
          <w:p>
            <w:pPr>
              <w:jc w:val="left"/>
            </w:pPr>
            <w:r>
              <w:rPr>
                <w:rFonts w:ascii="Calibri" w:hAnsi="Calibri"/>
                <w:color w:val="162233"/>
                <w:sz w:val="17"/>
              </w:rPr>
              <w:t>128 SPS</w:t>
            </w:r>
          </w:p>
        </w:tc>
      </w:tr>
      <w:tr>
        <w:tc>
          <w:tcPr>
            <w:tcW w:type="dxa" w:w="4000"/>
          </w:tcPr>
          <w:p>
            <w:pPr>
              <w:jc w:val="center"/>
            </w:pPr>
            <w:r>
              <w:rPr>
                <w:rFonts w:ascii="Calibri" w:hAnsi="Calibri"/>
                <w:color w:val="162233"/>
                <w:sz w:val="17"/>
              </w:rPr>
              <w:t>Nominal cycle</w:t>
            </w:r>
          </w:p>
        </w:tc>
        <w:tc>
          <w:tcPr>
            <w:tcW w:type="dxa" w:w="5360"/>
          </w:tcPr>
          <w:p>
            <w:pPr>
              <w:jc w:val="left"/>
            </w:pPr>
            <w:r>
              <w:rPr>
                <w:rFonts w:ascii="Calibri" w:hAnsi="Calibri"/>
                <w:color w:val="162233"/>
                <w:sz w:val="17"/>
              </w:rPr>
              <w:t>7.8125 ms</w:t>
            </w:r>
          </w:p>
        </w:tc>
      </w:tr>
      <w:tr>
        <w:tc>
          <w:tcPr>
            <w:tcW w:type="dxa" w:w="4000"/>
          </w:tcPr>
          <w:p>
            <w:pPr>
              <w:jc w:val="center"/>
            </w:pPr>
            <w:r>
              <w:rPr>
                <w:rFonts w:ascii="Calibri" w:hAnsi="Calibri"/>
                <w:color w:val="162233"/>
                <w:sz w:val="17"/>
              </w:rPr>
              <w:t>First wait</w:t>
            </w:r>
          </w:p>
        </w:tc>
        <w:tc>
          <w:tcPr>
            <w:tcW w:type="dxa" w:w="5360"/>
          </w:tcPr>
          <w:p>
            <w:pPr>
              <w:jc w:val="left"/>
            </w:pPr>
            <w:r>
              <w:rPr>
                <w:rFonts w:ascii="Calibri" w:hAnsi="Calibri"/>
                <w:color w:val="162233"/>
                <w:sz w:val="17"/>
              </w:rPr>
              <w:t>10 ms</w:t>
            </w:r>
          </w:p>
        </w:tc>
      </w:tr>
      <w:tr>
        <w:tc>
          <w:tcPr>
            <w:tcW w:type="dxa" w:w="4000"/>
          </w:tcPr>
          <w:p>
            <w:pPr>
              <w:jc w:val="left"/>
            </w:pPr>
            <w:r>
              <w:rPr>
                <w:rFonts w:ascii="Calibri" w:hAnsi="Calibri"/>
                <w:color w:val="162233"/>
                <w:sz w:val="17"/>
              </w:rPr>
              <w:t>Display read interval</w:t>
            </w:r>
          </w:p>
        </w:tc>
        <w:tc>
          <w:tcPr>
            <w:tcW w:type="dxa" w:w="5360"/>
          </w:tcPr>
          <w:p>
            <w:pPr>
              <w:jc w:val="left"/>
            </w:pPr>
            <w:r>
              <w:rPr>
                <w:rFonts w:ascii="Calibri" w:hAnsi="Calibri"/>
                <w:color w:val="162233"/>
                <w:sz w:val="17"/>
              </w:rPr>
              <w:t>100 ms</w:t>
            </w:r>
          </w:p>
        </w:tc>
      </w:tr>
    </w:tbl>
    <w:p>
      <w:pPr>
        <w:spacing w:after="120"/>
      </w:pPr>
    </w:p>
    <w:p>
      <w:pPr>
        <w:pStyle w:val="Heading1"/>
      </w:pPr>
      <w:r>
        <w:t>Appendix B. Source Hashes</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800"/>
        <w:gridCol w:w="7560"/>
      </w:tblGrid>
      <w:tr>
        <w:trPr>
          <w:tblHeader w:val="true"/>
        </w:trPr>
        <w:tc>
          <w:tcPr>
            <w:tcW w:type="dxa" w:w="1800"/>
            <w:vAlign w:val="center"/>
            <w:tcMar>
              <w:top w:w="80" w:type="dxa"/>
              <w:start w:w="120" w:type="dxa"/>
              <w:bottom w:w="80" w:type="dxa"/>
              <w:end w:w="120" w:type="dxa"/>
            </w:tcMar>
            <w:shd w:fill="E8EEF5"/>
          </w:tcPr>
          <w:p>
            <w:pPr>
              <w:jc w:val="center"/>
            </w:pPr>
            <w:r>
              <w:rPr>
                <w:rFonts w:ascii="Calibri" w:hAnsi="Calibri"/>
                <w:b/>
                <w:color w:val="162233"/>
                <w:sz w:val="18"/>
              </w:rPr>
              <w:t>File</w:t>
            </w:r>
          </w:p>
        </w:tc>
        <w:tc>
          <w:tcPr>
            <w:tcW w:type="dxa" w:w="7560"/>
            <w:vAlign w:val="center"/>
            <w:tcMar>
              <w:top w:w="80" w:type="dxa"/>
              <w:start w:w="120" w:type="dxa"/>
              <w:bottom w:w="80" w:type="dxa"/>
              <w:end w:w="120" w:type="dxa"/>
            </w:tcMar>
            <w:shd w:fill="E8EEF5"/>
          </w:tcPr>
          <w:p>
            <w:pPr>
              <w:jc w:val="center"/>
            </w:pPr>
            <w:r>
              <w:rPr>
                <w:rFonts w:ascii="Calibri" w:hAnsi="Calibri"/>
                <w:b/>
                <w:color w:val="162233"/>
                <w:sz w:val="18"/>
              </w:rPr>
              <w:t>SHA256</w:t>
            </w:r>
          </w:p>
        </w:tc>
      </w:tr>
      <w:tr>
        <w:tc>
          <w:tcPr>
            <w:tcW w:type="dxa" w:w="1800"/>
          </w:tcPr>
          <w:p>
            <w:pPr>
              <w:jc w:val="center"/>
            </w:pPr>
            <w:r>
              <w:rPr>
                <w:rFonts w:ascii="Calibri" w:hAnsi="Calibri"/>
                <w:color w:val="162233"/>
                <w:sz w:val="17"/>
              </w:rPr>
              <w:t>ads1115.c</w:t>
            </w:r>
          </w:p>
        </w:tc>
        <w:tc>
          <w:tcPr>
            <w:tcW w:type="dxa" w:w="7560"/>
          </w:tcPr>
          <w:p>
            <w:pPr>
              <w:jc w:val="left"/>
            </w:pPr>
            <w:r>
              <w:rPr>
                <w:rFonts w:ascii="Calibri" w:hAnsi="Calibri"/>
                <w:color w:val="162233"/>
                <w:sz w:val="17"/>
              </w:rPr>
              <w:t>4bc2af939b8accdbc6ccba5bf7c52cb6b64dc5e763f4295127ae1f3ea426d435</w:t>
            </w:r>
          </w:p>
        </w:tc>
      </w:tr>
      <w:tr>
        <w:tc>
          <w:tcPr>
            <w:tcW w:type="dxa" w:w="1800"/>
          </w:tcPr>
          <w:p>
            <w:pPr>
              <w:jc w:val="center"/>
            </w:pPr>
            <w:r>
              <w:rPr>
                <w:rFonts w:ascii="Calibri" w:hAnsi="Calibri"/>
                <w:color w:val="162233"/>
                <w:sz w:val="17"/>
              </w:rPr>
              <w:t>i2c.c</w:t>
            </w:r>
          </w:p>
        </w:tc>
        <w:tc>
          <w:tcPr>
            <w:tcW w:type="dxa" w:w="7560"/>
          </w:tcPr>
          <w:p>
            <w:pPr>
              <w:jc w:val="left"/>
            </w:pPr>
            <w:r>
              <w:rPr>
                <w:rFonts w:ascii="Calibri" w:hAnsi="Calibri"/>
                <w:color w:val="162233"/>
                <w:sz w:val="17"/>
              </w:rPr>
              <w:t>12116366d7dd2f2a673c3e4ef12be044023d90376f85c6a45fc883bd8314ec79</w:t>
            </w:r>
          </w:p>
        </w:tc>
      </w:tr>
      <w:tr>
        <w:tc>
          <w:tcPr>
            <w:tcW w:type="dxa" w:w="1800"/>
          </w:tcPr>
          <w:p>
            <w:pPr>
              <w:jc w:val="center"/>
            </w:pPr>
            <w:r>
              <w:rPr>
                <w:rFonts w:ascii="Calibri" w:hAnsi="Calibri"/>
                <w:color w:val="162233"/>
                <w:sz w:val="17"/>
              </w:rPr>
              <w:t>main.c</w:t>
            </w:r>
          </w:p>
        </w:tc>
        <w:tc>
          <w:tcPr>
            <w:tcW w:type="dxa" w:w="7560"/>
          </w:tcPr>
          <w:p>
            <w:pPr>
              <w:jc w:val="left"/>
            </w:pPr>
            <w:r>
              <w:rPr>
                <w:rFonts w:ascii="Calibri" w:hAnsi="Calibri"/>
                <w:color w:val="162233"/>
                <w:sz w:val="17"/>
              </w:rPr>
              <w:t>789ae9628f4fe072a8e7db247da872526554224c037fcb4f0c8aa88fb2c80d90</w:t>
            </w:r>
          </w:p>
        </w:tc>
      </w:tr>
      <w:tr>
        <w:tc>
          <w:tcPr>
            <w:tcW w:type="dxa" w:w="1800"/>
          </w:tcPr>
          <w:p>
            <w:pPr>
              <w:jc w:val="center"/>
            </w:pPr>
            <w:r>
              <w:rPr>
                <w:rFonts w:ascii="Calibri" w:hAnsi="Calibri"/>
                <w:color w:val="162233"/>
                <w:sz w:val="17"/>
              </w:rPr>
              <w:t>ads1115.h</w:t>
            </w:r>
          </w:p>
        </w:tc>
        <w:tc>
          <w:tcPr>
            <w:tcW w:type="dxa" w:w="7560"/>
          </w:tcPr>
          <w:p>
            <w:pPr>
              <w:jc w:val="left"/>
            </w:pPr>
            <w:r>
              <w:rPr>
                <w:rFonts w:ascii="Calibri" w:hAnsi="Calibri"/>
                <w:color w:val="162233"/>
                <w:sz w:val="17"/>
              </w:rPr>
              <w:t>4afe01d3b3b36e187b4d58cee47f4072c89cac2afbe0dd5dd04e0beb8620ec35</w:t>
            </w:r>
          </w:p>
        </w:tc>
      </w:tr>
      <w:tr>
        <w:tc>
          <w:tcPr>
            <w:tcW w:type="dxa" w:w="1800"/>
          </w:tcPr>
          <w:p>
            <w:pPr>
              <w:jc w:val="center"/>
            </w:pPr>
            <w:r>
              <w:rPr>
                <w:rFonts w:ascii="Calibri" w:hAnsi="Calibri"/>
                <w:color w:val="162233"/>
                <w:sz w:val="17"/>
              </w:rPr>
              <w:t>i2c.h</w:t>
            </w:r>
          </w:p>
        </w:tc>
        <w:tc>
          <w:tcPr>
            <w:tcW w:type="dxa" w:w="7560"/>
          </w:tcPr>
          <w:p>
            <w:pPr>
              <w:jc w:val="left"/>
            </w:pPr>
            <w:r>
              <w:rPr>
                <w:rFonts w:ascii="Calibri" w:hAnsi="Calibri"/>
                <w:color w:val="162233"/>
                <w:sz w:val="17"/>
              </w:rPr>
              <w:t>d779de638d9b500b62e14c5c11715621cf65f00db9761d72903c156e5d157f24</w:t>
            </w:r>
          </w:p>
        </w:tc>
      </w:tr>
      <w:tr>
        <w:tc>
          <w:tcPr>
            <w:tcW w:type="dxa" w:w="1800"/>
          </w:tcPr>
          <w:p>
            <w:pPr>
              <w:jc w:val="center"/>
            </w:pPr>
            <w:r>
              <w:rPr>
                <w:rFonts w:ascii="Calibri" w:hAnsi="Calibri"/>
                <w:color w:val="162233"/>
                <w:sz w:val="17"/>
              </w:rPr>
              <w:t>main.h</w:t>
            </w:r>
          </w:p>
        </w:tc>
        <w:tc>
          <w:tcPr>
            <w:tcW w:type="dxa" w:w="7560"/>
          </w:tcPr>
          <w:p>
            <w:pPr>
              <w:jc w:val="left"/>
            </w:pPr>
            <w:r>
              <w:rPr>
                <w:rFonts w:ascii="Calibri" w:hAnsi="Calibri"/>
                <w:color w:val="162233"/>
                <w:sz w:val="17"/>
              </w:rPr>
              <w:t>e07a43ebc634ce451e2f80884378d112e048e06235fb49fdc2d9a2b5057d28c5</w:t>
            </w:r>
          </w:p>
        </w:tc>
      </w:tr>
    </w:tbl>
    <w:p>
      <w:pPr>
        <w:spacing w:after="120"/>
      </w:pPr>
    </w:p>
    <w:p>
      <w:pPr>
        <w:pStyle w:val="Heading1"/>
      </w:pPr>
      <w:r>
        <w:t>Appendix C. Datasheet Reading Map</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500"/>
        <w:gridCol w:w="6860"/>
      </w:tblGrid>
      <w:tr>
        <w:trPr>
          <w:tblHeader w:val="true"/>
        </w:trPr>
        <w:tc>
          <w:tcPr>
            <w:tcW w:type="dxa" w:w="2500"/>
            <w:vAlign w:val="center"/>
            <w:tcMar>
              <w:top w:w="80" w:type="dxa"/>
              <w:start w:w="120" w:type="dxa"/>
              <w:bottom w:w="80" w:type="dxa"/>
              <w:end w:w="120" w:type="dxa"/>
            </w:tcMar>
            <w:shd w:fill="E8EEF5"/>
          </w:tcPr>
          <w:p>
            <w:pPr>
              <w:jc w:val="center"/>
            </w:pPr>
            <w:r>
              <w:rPr>
                <w:rFonts w:ascii="Calibri" w:hAnsi="Calibri"/>
                <w:b/>
                <w:color w:val="162233"/>
                <w:sz w:val="18"/>
              </w:rPr>
              <w:t>Section</w:t>
            </w:r>
          </w:p>
        </w:tc>
        <w:tc>
          <w:tcPr>
            <w:tcW w:type="dxa" w:w="6860"/>
            <w:vAlign w:val="center"/>
            <w:tcMar>
              <w:top w:w="80" w:type="dxa"/>
              <w:start w:w="120" w:type="dxa"/>
              <w:bottom w:w="80" w:type="dxa"/>
              <w:end w:w="120" w:type="dxa"/>
            </w:tcMar>
            <w:shd w:fill="E8EEF5"/>
          </w:tcPr>
          <w:p>
            <w:pPr>
              <w:jc w:val="center"/>
            </w:pPr>
            <w:r>
              <w:rPr>
                <w:rFonts w:ascii="Calibri" w:hAnsi="Calibri"/>
                <w:b/>
                <w:color w:val="162233"/>
                <w:sz w:val="18"/>
              </w:rPr>
              <w:t>Read for</w:t>
            </w:r>
          </w:p>
        </w:tc>
      </w:tr>
      <w:tr>
        <w:tc>
          <w:tcPr>
            <w:tcW w:type="dxa" w:w="2500"/>
          </w:tcPr>
          <w:p>
            <w:pPr>
              <w:jc w:val="center"/>
            </w:pPr>
            <w:r>
              <w:rPr>
                <w:rFonts w:ascii="Calibri" w:hAnsi="Calibri"/>
                <w:color w:val="162233"/>
                <w:sz w:val="17"/>
              </w:rPr>
              <w:t>6.1</w:t>
            </w:r>
          </w:p>
        </w:tc>
        <w:tc>
          <w:tcPr>
            <w:tcW w:type="dxa" w:w="6860"/>
          </w:tcPr>
          <w:p>
            <w:pPr>
              <w:jc w:val="left"/>
            </w:pPr>
            <w:r>
              <w:rPr>
                <w:rFonts w:ascii="Calibri" w:hAnsi="Calibri"/>
                <w:color w:val="162233"/>
                <w:sz w:val="17"/>
              </w:rPr>
              <w:t>Noise, oversampling, effective resolution</w:t>
            </w:r>
          </w:p>
        </w:tc>
      </w:tr>
      <w:tr>
        <w:tc>
          <w:tcPr>
            <w:tcW w:type="dxa" w:w="2500"/>
          </w:tcPr>
          <w:p>
            <w:pPr>
              <w:jc w:val="center"/>
            </w:pPr>
            <w:r>
              <w:rPr>
                <w:rFonts w:ascii="Calibri" w:hAnsi="Calibri"/>
                <w:color w:val="162233"/>
                <w:sz w:val="17"/>
              </w:rPr>
              <w:t>7.3.3-7.3.6</w:t>
            </w:r>
          </w:p>
        </w:tc>
        <w:tc>
          <w:tcPr>
            <w:tcW w:type="dxa" w:w="6860"/>
          </w:tcPr>
          <w:p>
            <w:pPr>
              <w:jc w:val="left"/>
            </w:pPr>
            <w:r>
              <w:rPr>
                <w:rFonts w:ascii="Calibri" w:hAnsi="Calibri"/>
                <w:color w:val="162233"/>
                <w:sz w:val="17"/>
              </w:rPr>
              <w:t>FSR, LSB, internal reference, oscillator, data rate</w:t>
            </w:r>
          </w:p>
        </w:tc>
      </w:tr>
      <w:tr>
        <w:tc>
          <w:tcPr>
            <w:tcW w:type="dxa" w:w="2500"/>
          </w:tcPr>
          <w:p>
            <w:pPr>
              <w:jc w:val="center"/>
            </w:pPr>
            <w:r>
              <w:rPr>
                <w:rFonts w:ascii="Calibri" w:hAnsi="Calibri"/>
                <w:color w:val="162233"/>
                <w:sz w:val="17"/>
              </w:rPr>
              <w:t>7.3.8</w:t>
            </w:r>
          </w:p>
        </w:tc>
        <w:tc>
          <w:tcPr>
            <w:tcW w:type="dxa" w:w="6860"/>
          </w:tcPr>
          <w:p>
            <w:pPr>
              <w:jc w:val="left"/>
            </w:pPr>
            <w:r>
              <w:rPr>
                <w:rFonts w:ascii="Calibri" w:hAnsi="Calibri"/>
                <w:color w:val="162233"/>
                <w:sz w:val="17"/>
              </w:rPr>
              <w:t>ALERT/RDY conversion-ready output</w:t>
            </w:r>
          </w:p>
        </w:tc>
      </w:tr>
      <w:tr>
        <w:tc>
          <w:tcPr>
            <w:tcW w:type="dxa" w:w="2500"/>
          </w:tcPr>
          <w:p>
            <w:pPr>
              <w:jc w:val="center"/>
            </w:pPr>
            <w:r>
              <w:rPr>
                <w:rFonts w:ascii="Calibri" w:hAnsi="Calibri"/>
                <w:color w:val="162233"/>
                <w:sz w:val="17"/>
              </w:rPr>
              <w:t>7.4.2</w:t>
            </w:r>
          </w:p>
        </w:tc>
        <w:tc>
          <w:tcPr>
            <w:tcW w:type="dxa" w:w="6860"/>
          </w:tcPr>
          <w:p>
            <w:pPr>
              <w:jc w:val="left"/>
            </w:pPr>
            <w:r>
              <w:rPr>
                <w:rFonts w:ascii="Calibri" w:hAnsi="Calibri"/>
                <w:color w:val="162233"/>
                <w:sz w:val="17"/>
              </w:rPr>
              <w:t>Single-shot and continuous functional modes</w:t>
            </w:r>
          </w:p>
        </w:tc>
      </w:tr>
      <w:tr>
        <w:tc>
          <w:tcPr>
            <w:tcW w:type="dxa" w:w="2500"/>
          </w:tcPr>
          <w:p>
            <w:pPr>
              <w:jc w:val="center"/>
            </w:pPr>
            <w:r>
              <w:rPr>
                <w:rFonts w:ascii="Calibri" w:hAnsi="Calibri"/>
                <w:color w:val="162233"/>
                <w:sz w:val="17"/>
              </w:rPr>
              <w:t>7.4.3</w:t>
            </w:r>
          </w:p>
        </w:tc>
        <w:tc>
          <w:tcPr>
            <w:tcW w:type="dxa" w:w="6860"/>
          </w:tcPr>
          <w:p>
            <w:pPr>
              <w:jc w:val="left"/>
            </w:pPr>
            <w:r>
              <w:rPr>
                <w:rFonts w:ascii="Calibri" w:hAnsi="Calibri"/>
                <w:color w:val="162233"/>
                <w:sz w:val="17"/>
              </w:rPr>
              <w:t>Duty cycling and power trade-off</w:t>
            </w:r>
          </w:p>
        </w:tc>
      </w:tr>
      <w:tr>
        <w:tc>
          <w:tcPr>
            <w:tcW w:type="dxa" w:w="2500"/>
          </w:tcPr>
          <w:p>
            <w:pPr>
              <w:jc w:val="center"/>
            </w:pPr>
            <w:r>
              <w:rPr>
                <w:rFonts w:ascii="Calibri" w:hAnsi="Calibri"/>
                <w:color w:val="162233"/>
                <w:sz w:val="17"/>
              </w:rPr>
              <w:t>7.5</w:t>
            </w:r>
          </w:p>
        </w:tc>
        <w:tc>
          <w:tcPr>
            <w:tcW w:type="dxa" w:w="6860"/>
          </w:tcPr>
          <w:p>
            <w:pPr>
              <w:jc w:val="left"/>
            </w:pPr>
            <w:r>
              <w:rPr>
                <w:rFonts w:ascii="Calibri" w:hAnsi="Calibri"/>
                <w:color w:val="162233"/>
                <w:sz w:val="17"/>
              </w:rPr>
              <w:t>I2C programming and register reads</w:t>
            </w:r>
          </w:p>
        </w:tc>
      </w:tr>
      <w:tr>
        <w:tc>
          <w:tcPr>
            <w:tcW w:type="dxa" w:w="2500"/>
          </w:tcPr>
          <w:p>
            <w:pPr>
              <w:jc w:val="center"/>
            </w:pPr>
            <w:r>
              <w:rPr>
                <w:rFonts w:ascii="Calibri" w:hAnsi="Calibri"/>
                <w:color w:val="162233"/>
                <w:sz w:val="17"/>
              </w:rPr>
              <w:t>8.1.3</w:t>
            </w:r>
          </w:p>
        </w:tc>
        <w:tc>
          <w:tcPr>
            <w:tcW w:type="dxa" w:w="6860"/>
          </w:tcPr>
          <w:p>
            <w:pPr>
              <w:jc w:val="left"/>
            </w:pPr>
            <w:r>
              <w:rPr>
                <w:rFonts w:ascii="Calibri" w:hAnsi="Calibri"/>
                <w:color w:val="162233"/>
                <w:sz w:val="17"/>
              </w:rPr>
              <w:t>Config register fields</w:t>
            </w:r>
          </w:p>
        </w:tc>
      </w:tr>
    </w:tbl>
    <w:p>
      <w:pPr>
        <w:spacing w:after="12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C6A7A"/>
        <w:sz w:val="18"/>
      </w:rPr>
      <w:t>Embedded Learning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C6A7A"/>
        <w:sz w:val="18"/>
      </w:rPr>
      <w:t>ADS1115 Continuous Mode | Source-Verified I2C Driver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622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60" w:line="240" w:lineRule="auto"/>
      <w:ind w:left="173" w:right="115"/>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ADS1115 I2C Continuous Mode Source-Verified Learning Document</dc:title>
  <dc:subject>ADS1115 continuous conversion with STM32F4 I2C polling</dc:subject>
  <dc:creator>Embedded Learning Document</dc:creator>
  <cp:keywords>ADS1115, continuous mode, I2C, delta-sigma, 128 SPS, source-verified</cp:keywords>
  <dc:description>generated by python-docx</dc:description>
  <cp:lastModifiedBy/>
  <cp:revision>1</cp:revision>
  <dcterms:created xsi:type="dcterms:W3CDTF">2013-12-23T23:15:00Z</dcterms:created>
  <dcterms:modified xsi:type="dcterms:W3CDTF">2013-12-23T23:15:00Z</dcterms:modified>
  <cp:category/>
</cp:coreProperties>
</file>