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2EA01" w14:textId="77777777" w:rsidR="00990029" w:rsidRPr="002C19B5" w:rsidRDefault="00B604D0" w:rsidP="002C19B5">
      <w:pPr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 w:rsidRPr="002C19B5">
        <w:rPr>
          <w:rFonts w:ascii="Times New Roman" w:hAnsi="Times New Roman" w:cs="Times New Roman"/>
          <w:b/>
          <w:sz w:val="24"/>
          <w:szCs w:val="24"/>
          <w:lang w:val="es-EC"/>
        </w:rPr>
        <w:t>PARTE 3 — MAPEO DE JOURNALS</w:t>
      </w:r>
    </w:p>
    <w:p w14:paraId="050818FC" w14:textId="77777777" w:rsidR="00990029" w:rsidRPr="002C19B5" w:rsidRDefault="00B604D0" w:rsidP="002C19B5">
      <w:pPr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 w:rsidRPr="002C19B5">
        <w:rPr>
          <w:rFonts w:ascii="Times New Roman" w:hAnsi="Times New Roman" w:cs="Times New Roman"/>
          <w:i/>
          <w:sz w:val="24"/>
          <w:szCs w:val="24"/>
          <w:lang w:val="es-EC"/>
        </w:rPr>
        <w:t>Tema: El patrimonio biocultural como estrategia para el fortalecimiento del turismo cultural y el desarrollo económico local en Morona Santiago, Ecuador</w:t>
      </w:r>
    </w:p>
    <w:p w14:paraId="22B32F40" w14:textId="77777777" w:rsidR="00990029" w:rsidRPr="002C19B5" w:rsidRDefault="00B604D0" w:rsidP="002C19B5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Para identificar posibles revistas científicas donde publicar el </w:t>
      </w:r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artículo, se consideraron como criterios principales la afinidad temática, la indexación en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Scopus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, el cuartil según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SCImago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Journal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Rank (SJR), la modalidad de acceso abierto y los costos de publicación.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1662"/>
        <w:gridCol w:w="1672"/>
        <w:gridCol w:w="1949"/>
        <w:gridCol w:w="1624"/>
        <w:gridCol w:w="1659"/>
      </w:tblGrid>
      <w:tr w:rsidR="00990029" w:rsidRPr="002C19B5" w14:paraId="5854E9AB" w14:textId="77777777" w:rsidTr="002C19B5">
        <w:trPr>
          <w:jc w:val="center"/>
        </w:trPr>
        <w:tc>
          <w:tcPr>
            <w:tcW w:w="1704" w:type="dxa"/>
            <w:shd w:val="clear" w:color="auto" w:fill="auto"/>
            <w:vAlign w:val="center"/>
          </w:tcPr>
          <w:p w14:paraId="4F286A77" w14:textId="77777777" w:rsidR="00990029" w:rsidRPr="002C19B5" w:rsidRDefault="00B604D0" w:rsidP="002C19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b/>
                <w:sz w:val="24"/>
                <w:szCs w:val="24"/>
              </w:rPr>
              <w:t>Journal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C892441" w14:textId="77777777" w:rsidR="00990029" w:rsidRPr="002C19B5" w:rsidRDefault="00B604D0" w:rsidP="002C19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b/>
                <w:sz w:val="24"/>
                <w:szCs w:val="24"/>
              </w:rPr>
              <w:t>Editorial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1440C754" w14:textId="77777777" w:rsidR="00990029" w:rsidRPr="002C19B5" w:rsidRDefault="00B604D0" w:rsidP="002C19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b/>
                <w:sz w:val="24"/>
                <w:szCs w:val="24"/>
              </w:rPr>
              <w:t>Cuartil SCImago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142BA2B5" w14:textId="77777777" w:rsidR="00990029" w:rsidRPr="002C19B5" w:rsidRDefault="00B604D0" w:rsidP="002C19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b/>
                <w:sz w:val="24"/>
                <w:szCs w:val="24"/>
              </w:rPr>
              <w:t>Por qué encaja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690DAE47" w14:textId="77777777" w:rsidR="00990029" w:rsidRPr="002C19B5" w:rsidRDefault="00B604D0" w:rsidP="002C19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b/>
                <w:sz w:val="24"/>
                <w:szCs w:val="24"/>
              </w:rPr>
              <w:t>Op</w:t>
            </w:r>
            <w:r w:rsidRPr="002C19B5">
              <w:rPr>
                <w:rFonts w:ascii="Times New Roman" w:hAnsi="Times New Roman" w:cs="Times New Roman"/>
                <w:b/>
                <w:sz w:val="24"/>
                <w:szCs w:val="24"/>
              </w:rPr>
              <w:t>en Access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CE3C04B" w14:textId="77777777" w:rsidR="00990029" w:rsidRPr="002C19B5" w:rsidRDefault="00B604D0" w:rsidP="002C19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b/>
                <w:sz w:val="24"/>
                <w:szCs w:val="24"/>
              </w:rPr>
              <w:t>APC</w:t>
            </w:r>
          </w:p>
        </w:tc>
      </w:tr>
      <w:tr w:rsidR="00990029" w:rsidRPr="002C19B5" w14:paraId="0F752125" w14:textId="77777777">
        <w:trPr>
          <w:jc w:val="center"/>
        </w:trPr>
        <w:tc>
          <w:tcPr>
            <w:tcW w:w="1704" w:type="dxa"/>
          </w:tcPr>
          <w:p w14:paraId="4C951897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Journal of Heritage Tourism</w:t>
            </w:r>
          </w:p>
        </w:tc>
        <w:tc>
          <w:tcPr>
            <w:tcW w:w="1704" w:type="dxa"/>
          </w:tcPr>
          <w:p w14:paraId="0EDD4009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Taylor &amp; Francis</w:t>
            </w:r>
          </w:p>
        </w:tc>
        <w:tc>
          <w:tcPr>
            <w:tcW w:w="1704" w:type="dxa"/>
          </w:tcPr>
          <w:p w14:paraId="58EE5151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Q1 (mejor cuartil SJR 2025); Q2 en Tourism, Leisure and Hospitality Management</w:t>
            </w:r>
          </w:p>
        </w:tc>
        <w:tc>
          <w:tcPr>
            <w:tcW w:w="1704" w:type="dxa"/>
          </w:tcPr>
          <w:p w14:paraId="49B2652B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Presenta una alta correspondencia temática con patrimonio, turismo, culturas vivas, paisajes culturales, interpretaci</w:t>
            </w: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ón del patrimonio y procesos de valorización turística. El estudio sobre patrimonio biocultural shuar y turismo cultural encaja directamente con su enfoque.</w:t>
            </w:r>
          </w:p>
        </w:tc>
        <w:tc>
          <w:tcPr>
            <w:tcW w:w="1704" w:type="dxa"/>
          </w:tcPr>
          <w:p w14:paraId="5BE00D2B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opcional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revista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híbrida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4" w:type="dxa"/>
          </w:tcPr>
          <w:p w14:paraId="3D660FB3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US$0 en modalidad tradicional por suscripción. El acceso abierto opc</w:t>
            </w: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ional puede implicar APC.</w:t>
            </w:r>
          </w:p>
        </w:tc>
      </w:tr>
      <w:tr w:rsidR="00990029" w:rsidRPr="002C19B5" w14:paraId="3C6BC84F" w14:textId="77777777">
        <w:trPr>
          <w:jc w:val="center"/>
        </w:trPr>
        <w:tc>
          <w:tcPr>
            <w:tcW w:w="1704" w:type="dxa"/>
          </w:tcPr>
          <w:p w14:paraId="1B853720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PASOS. Revista de Turismo y Patrimonio Cultural</w:t>
            </w:r>
          </w:p>
        </w:tc>
        <w:tc>
          <w:tcPr>
            <w:tcW w:w="1704" w:type="dxa"/>
          </w:tcPr>
          <w:p w14:paraId="60A08051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Universidad de La Laguna, España</w:t>
            </w:r>
          </w:p>
        </w:tc>
        <w:tc>
          <w:tcPr>
            <w:tcW w:w="1704" w:type="dxa"/>
          </w:tcPr>
          <w:p w14:paraId="08679E63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Q2 (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mejor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cuartil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 SJR 2025)</w:t>
            </w:r>
          </w:p>
        </w:tc>
        <w:tc>
          <w:tcPr>
            <w:tcW w:w="1704" w:type="dxa"/>
          </w:tcPr>
          <w:p w14:paraId="0A33F237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 xml:space="preserve">Se especializa en turismo, cultura, territorio, naturaleza y patrimonio. Es especialmente pertinente para </w:t>
            </w: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investigaciones iberoamericanas sobre comunidades, patrimonio integral y turismo.</w:t>
            </w:r>
          </w:p>
        </w:tc>
        <w:tc>
          <w:tcPr>
            <w:tcW w:w="1704" w:type="dxa"/>
          </w:tcPr>
          <w:p w14:paraId="05DFEEF1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abierto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completo</w:t>
            </w:r>
            <w:proofErr w:type="spellEnd"/>
          </w:p>
        </w:tc>
        <w:tc>
          <w:tcPr>
            <w:tcW w:w="1704" w:type="dxa"/>
          </w:tcPr>
          <w:p w14:paraId="7ADE478C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US$0</w:t>
            </w:r>
          </w:p>
        </w:tc>
      </w:tr>
      <w:tr w:rsidR="00990029" w:rsidRPr="002C19B5" w14:paraId="6FD16090" w14:textId="77777777">
        <w:trPr>
          <w:jc w:val="center"/>
        </w:trPr>
        <w:tc>
          <w:tcPr>
            <w:tcW w:w="1704" w:type="dxa"/>
          </w:tcPr>
          <w:p w14:paraId="0DF061AF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Tourism and Hospitality</w:t>
            </w:r>
          </w:p>
        </w:tc>
        <w:tc>
          <w:tcPr>
            <w:tcW w:w="1704" w:type="dxa"/>
          </w:tcPr>
          <w:p w14:paraId="59E02807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MDPI</w:t>
            </w:r>
          </w:p>
        </w:tc>
        <w:tc>
          <w:tcPr>
            <w:tcW w:w="1704" w:type="dxa"/>
          </w:tcPr>
          <w:p w14:paraId="076C69E4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Q2 (mejor cuartil SJR 2025); Q3 en Tourism, Leisure and Hospitality Management</w:t>
            </w:r>
          </w:p>
        </w:tc>
        <w:tc>
          <w:tcPr>
            <w:tcW w:w="1704" w:type="dxa"/>
          </w:tcPr>
          <w:p w14:paraId="6526FF08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s-EC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Publica estudios interdisciplina</w:t>
            </w:r>
            <w:r w:rsidRPr="002C19B5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rios sobre turismo, sostenibilidad, planificación, impactos sociales y económicos, participación comunitaria y desarrollo territorial.</w:t>
            </w:r>
          </w:p>
        </w:tc>
        <w:tc>
          <w:tcPr>
            <w:tcW w:w="1704" w:type="dxa"/>
          </w:tcPr>
          <w:p w14:paraId="2412C062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abierto</w:t>
            </w:r>
            <w:proofErr w:type="spellEnd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completo</w:t>
            </w:r>
            <w:proofErr w:type="spellEnd"/>
          </w:p>
        </w:tc>
        <w:tc>
          <w:tcPr>
            <w:tcW w:w="1704" w:type="dxa"/>
          </w:tcPr>
          <w:p w14:paraId="7E6B2758" w14:textId="77777777" w:rsidR="00990029" w:rsidRPr="002C19B5" w:rsidRDefault="00B604D0" w:rsidP="002C19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B5">
              <w:rPr>
                <w:rFonts w:ascii="Times New Roman" w:hAnsi="Times New Roman" w:cs="Times New Roman"/>
                <w:sz w:val="24"/>
                <w:szCs w:val="24"/>
              </w:rPr>
              <w:t>CHF 1.400</w:t>
            </w:r>
          </w:p>
        </w:tc>
      </w:tr>
    </w:tbl>
    <w:p w14:paraId="4E726F6B" w14:textId="77777777" w:rsidR="00990029" w:rsidRPr="002C19B5" w:rsidRDefault="00990029" w:rsidP="002C19B5">
      <w:pPr>
        <w:rPr>
          <w:rFonts w:ascii="Times New Roman" w:hAnsi="Times New Roman" w:cs="Times New Roman"/>
          <w:sz w:val="24"/>
          <w:szCs w:val="24"/>
        </w:rPr>
      </w:pPr>
    </w:p>
    <w:p w14:paraId="1729467F" w14:textId="77777777" w:rsidR="00990029" w:rsidRPr="002C19B5" w:rsidRDefault="00B604D0" w:rsidP="002C19B5">
      <w:pPr>
        <w:rPr>
          <w:rFonts w:ascii="Times New Roman" w:hAnsi="Times New Roman" w:cs="Times New Roman"/>
          <w:sz w:val="24"/>
          <w:szCs w:val="24"/>
        </w:rPr>
      </w:pPr>
      <w:r w:rsidRPr="002C19B5">
        <w:rPr>
          <w:rFonts w:ascii="Times New Roman" w:hAnsi="Times New Roman" w:cs="Times New Roman"/>
          <w:b/>
          <w:sz w:val="24"/>
          <w:szCs w:val="24"/>
        </w:rPr>
        <w:t>Justificación de la primera opción</w:t>
      </w:r>
    </w:p>
    <w:p w14:paraId="25823BD2" w14:textId="77777777" w:rsidR="00990029" w:rsidRPr="002C19B5" w:rsidRDefault="00B604D0" w:rsidP="002C19B5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La primera opción sería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Journal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of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Heritage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To</w:t>
      </w:r>
      <w:r w:rsidRPr="002C19B5">
        <w:rPr>
          <w:rFonts w:ascii="Times New Roman" w:hAnsi="Times New Roman" w:cs="Times New Roman"/>
          <w:sz w:val="24"/>
          <w:szCs w:val="24"/>
          <w:lang w:val="es-EC"/>
        </w:rPr>
        <w:t>urism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debido a la elevada correspondencia entre el objeto de estudio y el enfoque editorial de la revista. El artículo propuesto no analiza únicamente el turismo como actividad económica, sino la manera en que el patrimonio biocultural de Morona Santiago —</w:t>
      </w:r>
      <w:r w:rsidRPr="002C19B5">
        <w:rPr>
          <w:rFonts w:ascii="Times New Roman" w:hAnsi="Times New Roman" w:cs="Times New Roman"/>
          <w:sz w:val="24"/>
          <w:szCs w:val="24"/>
          <w:lang w:val="es-EC"/>
        </w:rPr>
        <w:t>conocimientos ancestrales, prácticas culturales, biodiversidad, territorio, espiritualidad y manifestaciones culturales de las comunidades locales— puede convertirse en un recurso para fortalecer el turismo cultural y contribuir al desarrollo económico loc</w:t>
      </w:r>
      <w:r w:rsidRPr="002C19B5">
        <w:rPr>
          <w:rFonts w:ascii="Times New Roman" w:hAnsi="Times New Roman" w:cs="Times New Roman"/>
          <w:sz w:val="24"/>
          <w:szCs w:val="24"/>
          <w:lang w:val="es-EC"/>
        </w:rPr>
        <w:t>al. La revista aborda precisamente las relaciones entre patrimonio y turismo e incluye dentro de su ámbito de interés las culturas vivas, los paisajes rurales y agrícolas, las áreas naturales, la interpretación y la mercantilización del patrimonio.</w:t>
      </w:r>
    </w:p>
    <w:p w14:paraId="103DBE49" w14:textId="77777777" w:rsidR="00990029" w:rsidRPr="002C19B5" w:rsidRDefault="00B604D0" w:rsidP="002C19B5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C19B5">
        <w:rPr>
          <w:rFonts w:ascii="Times New Roman" w:hAnsi="Times New Roman" w:cs="Times New Roman"/>
          <w:sz w:val="24"/>
          <w:szCs w:val="24"/>
          <w:lang w:val="es-EC"/>
        </w:rPr>
        <w:t>Además,</w:t>
      </w:r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el estudio de Morona Santiago puede aportar evidencia empírica procedente de un territorio amazónico e indígena relativamente poco representado en la literatura internacional sobre turismo patrimonial. Para incrementar su adecuación a esta revista, el art</w:t>
      </w:r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ículo debería enfatizar cómo las comunidades participan en la valorización turística, qué riesgos existen de apropiación o mercantilización cultural y de qué manera los beneficios económicos pueden permanecer en el territorio. Una ventaja adicional es que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Journal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of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Heritage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2C19B5">
        <w:rPr>
          <w:rFonts w:ascii="Times New Roman" w:hAnsi="Times New Roman" w:cs="Times New Roman"/>
          <w:sz w:val="24"/>
          <w:szCs w:val="24"/>
          <w:lang w:val="es-EC"/>
        </w:rPr>
        <w:t>Tourism</w:t>
      </w:r>
      <w:proofErr w:type="spellEnd"/>
      <w:r w:rsidRPr="002C19B5">
        <w:rPr>
          <w:rFonts w:ascii="Times New Roman" w:hAnsi="Times New Roman" w:cs="Times New Roman"/>
          <w:sz w:val="24"/>
          <w:szCs w:val="24"/>
          <w:lang w:val="es-EC"/>
        </w:rPr>
        <w:t xml:space="preserve"> permite publicar mediante la modalidad tradicional sin pagar APC, aunque el artículo no sería de acceso abierto inmediato.</w:t>
      </w:r>
    </w:p>
    <w:p w14:paraId="2BB9A593" w14:textId="15457E03" w:rsidR="00990029" w:rsidRPr="002C19B5" w:rsidRDefault="00990029" w:rsidP="002C19B5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sectPr w:rsidR="00990029" w:rsidRPr="002C19B5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9B5"/>
    <w:rsid w:val="00326F90"/>
    <w:rsid w:val="00990029"/>
    <w:rsid w:val="00AA1D8D"/>
    <w:rsid w:val="00B47730"/>
    <w:rsid w:val="00B604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2E18B"/>
  <w14:defaultImageDpi w14:val="300"/>
  <w15:docId w15:val="{311E2B6B-807C-49F9-B4B7-5BB3181E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JIMMY RODRIGO GUALÁN OVIEDO</cp:lastModifiedBy>
  <cp:revision>2</cp:revision>
  <dcterms:created xsi:type="dcterms:W3CDTF">2026-09-25T00:46:00Z</dcterms:created>
  <dcterms:modified xsi:type="dcterms:W3CDTF">2026-09-25T00:46:00Z</dcterms:modified>
  <cp:category/>
</cp:coreProperties>
</file>