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516C" w14:textId="77777777" w:rsidR="006D1D98" w:rsidRPr="006D1D98" w:rsidRDefault="006D1D98" w:rsidP="006D1D98">
      <w:pPr>
        <w:jc w:val="both"/>
        <w:rPr>
          <w:b/>
          <w:bCs/>
          <w:sz w:val="32"/>
          <w:szCs w:val="32"/>
          <w:lang w:eastAsia="es-EC"/>
        </w:rPr>
      </w:pPr>
      <w:r w:rsidRPr="006D1D98">
        <w:rPr>
          <w:b/>
          <w:bCs/>
          <w:sz w:val="32"/>
          <w:szCs w:val="32"/>
          <w:lang w:eastAsia="es-EC"/>
        </w:rPr>
        <w:t>El patrimonio biocultural como estrategia para el fortalecimiento del turismo cultural y el desarrollo económico local en Morona Santiago, Ecuador</w:t>
      </w:r>
    </w:p>
    <w:p w14:paraId="6B957A91" w14:textId="77777777" w:rsidR="006D1D98" w:rsidRPr="006D1D98" w:rsidRDefault="006D1D98" w:rsidP="006D1D98">
      <w:pPr>
        <w:jc w:val="both"/>
        <w:rPr>
          <w:b/>
          <w:bCs/>
          <w:lang w:eastAsia="es-EC"/>
        </w:rPr>
      </w:pPr>
      <w:r w:rsidRPr="006D1D98">
        <w:rPr>
          <w:b/>
          <w:bCs/>
          <w:lang w:eastAsia="es-EC"/>
        </w:rPr>
        <w:t>Contexto general del tema</w:t>
      </w:r>
    </w:p>
    <w:p w14:paraId="608C00D0" w14:textId="77777777" w:rsidR="006D1D98" w:rsidRPr="006D1D98" w:rsidRDefault="006D1D98" w:rsidP="006D1D98">
      <w:pPr>
        <w:jc w:val="both"/>
        <w:rPr>
          <w:lang w:eastAsia="es-EC"/>
        </w:rPr>
      </w:pPr>
      <w:r w:rsidRPr="006D1D98">
        <w:rPr>
          <w:lang w:eastAsia="es-EC"/>
        </w:rPr>
        <w:t>El patrimonio biocultural integra biodiversidad, territorio, conocimientos locales, prácticas productivas, lenguas, cosmovisiones y formas de organización social. No se limita a conservar naturaleza y cultura por separado, sino que reconoce su interdependencia. La literatura reciente considera este enfoque especialmente pertinente en territorios indígenas y rurales, donde los conocimientos ecológicos tradicionales contribuyen a la conservación y a la continuidad cultural (</w:t>
      </w:r>
      <w:proofErr w:type="spellStart"/>
      <w:r w:rsidRPr="006D1D98">
        <w:rPr>
          <w:lang w:eastAsia="es-EC"/>
        </w:rPr>
        <w:t>Nemogá</w:t>
      </w:r>
      <w:proofErr w:type="spellEnd"/>
      <w:r w:rsidRPr="006D1D98">
        <w:rPr>
          <w:lang w:eastAsia="es-EC"/>
        </w:rPr>
        <w:t xml:space="preserve"> et al., 2022; </w:t>
      </w:r>
      <w:proofErr w:type="spellStart"/>
      <w:r w:rsidRPr="006D1D98">
        <w:rPr>
          <w:lang w:eastAsia="es-EC"/>
        </w:rPr>
        <w:t>Burke</w:t>
      </w:r>
      <w:proofErr w:type="spellEnd"/>
      <w:r w:rsidRPr="006D1D98">
        <w:rPr>
          <w:lang w:eastAsia="es-EC"/>
        </w:rPr>
        <w:t xml:space="preserve"> et al., 2023; </w:t>
      </w:r>
      <w:proofErr w:type="spellStart"/>
      <w:r w:rsidRPr="006D1D98">
        <w:rPr>
          <w:lang w:eastAsia="es-EC"/>
        </w:rPr>
        <w:t>Lukawiecki</w:t>
      </w:r>
      <w:proofErr w:type="spellEnd"/>
      <w:r w:rsidRPr="006D1D98">
        <w:rPr>
          <w:lang w:eastAsia="es-EC"/>
        </w:rPr>
        <w:t xml:space="preserve"> et al., 2022). En Morona Santiago esta perspectiva resulta relevante por la presencia de comunidades amazónicas, especialmente shuar, y por sus paisajes, conocimientos medicinales, gastronomía, ritualidad y prácticas productivas con potencial para integrarse, bajo salvaguardas adecuadas, al turismo cultural.</w:t>
      </w:r>
    </w:p>
    <w:p w14:paraId="76081A61" w14:textId="77777777" w:rsidR="006D1D98" w:rsidRPr="006D1D98" w:rsidRDefault="006D1D98" w:rsidP="006D1D98">
      <w:pPr>
        <w:jc w:val="both"/>
        <w:rPr>
          <w:lang w:eastAsia="es-EC"/>
        </w:rPr>
      </w:pPr>
      <w:r w:rsidRPr="006D1D98">
        <w:rPr>
          <w:lang w:eastAsia="es-EC"/>
        </w:rPr>
        <w:t>Estado del arte</w:t>
      </w:r>
    </w:p>
    <w:p w14:paraId="2FE8EDE1" w14:textId="77777777" w:rsidR="006D1D98" w:rsidRPr="006D1D98" w:rsidRDefault="006D1D98" w:rsidP="006D1D98">
      <w:pPr>
        <w:jc w:val="both"/>
        <w:rPr>
          <w:lang w:eastAsia="es-EC"/>
        </w:rPr>
      </w:pPr>
      <w:r w:rsidRPr="006D1D98">
        <w:rPr>
          <w:lang w:eastAsia="es-EC"/>
        </w:rPr>
        <w:t xml:space="preserve">La investigación actual muestra que el turismo puede valorizar el patrimonio biocultural cuando las comunidades conservan capacidad de decisión sobre qué compartir, cómo interpretarlo y cómo distribuir los beneficios. </w:t>
      </w:r>
      <w:proofErr w:type="spellStart"/>
      <w:r w:rsidRPr="006D1D98">
        <w:rPr>
          <w:lang w:eastAsia="es-EC"/>
        </w:rPr>
        <w:t>Sardiñas</w:t>
      </w:r>
      <w:proofErr w:type="spellEnd"/>
      <w:r w:rsidRPr="006D1D98">
        <w:rPr>
          <w:lang w:eastAsia="es-EC"/>
        </w:rPr>
        <w:t xml:space="preserve"> Rodríguez et al. (2024), en una revisión sistemática, advierten que el concepto de patrimonio biocultural todavía se utiliza poco de manera explícita en los estudios turísticos, aunque sus principios aparecen en trabajos sobre conservación, paisajes culturales y desarrollo sustentable. Luque-Agraz (2022) plantea igualmente el turismo biocultural como alternativa para el bienestar de los pueblos indígenas, condicionado al respeto de su autodeterminación.</w:t>
      </w:r>
    </w:p>
    <w:p w14:paraId="15FAA749" w14:textId="77777777" w:rsidR="006D1D98" w:rsidRPr="006D1D98" w:rsidRDefault="006D1D98" w:rsidP="006D1D98">
      <w:pPr>
        <w:jc w:val="both"/>
        <w:rPr>
          <w:lang w:eastAsia="es-EC"/>
        </w:rPr>
      </w:pPr>
      <w:r w:rsidRPr="006D1D98">
        <w:rPr>
          <w:lang w:eastAsia="es-EC"/>
        </w:rPr>
        <w:t xml:space="preserve">Los estudios latinoamericanos subrayan también la importancia de la gobernanza participativa. Ramírez Meléndez y Reyes de la Cruz (2023) muestran que las regiones turísticas bioculturales se construyen mediante redes de actores, políticas públicas y apropiación local del patrimonio. </w:t>
      </w:r>
      <w:proofErr w:type="spellStart"/>
      <w:r w:rsidRPr="006D1D98">
        <w:rPr>
          <w:lang w:eastAsia="es-EC"/>
        </w:rPr>
        <w:t>Kaulen-Luks</w:t>
      </w:r>
      <w:proofErr w:type="spellEnd"/>
      <w:r w:rsidRPr="006D1D98">
        <w:rPr>
          <w:lang w:eastAsia="es-EC"/>
        </w:rPr>
        <w:t xml:space="preserve"> et al. (2022), en comunidades Mapuche-</w:t>
      </w:r>
      <w:proofErr w:type="spellStart"/>
      <w:r w:rsidRPr="006D1D98">
        <w:rPr>
          <w:lang w:eastAsia="es-EC"/>
        </w:rPr>
        <w:t>Pewenche</w:t>
      </w:r>
      <w:proofErr w:type="spellEnd"/>
      <w:r w:rsidRPr="006D1D98">
        <w:rPr>
          <w:lang w:eastAsia="es-EC"/>
        </w:rPr>
        <w:t xml:space="preserve">, encuentran que el turismo comunitario puede reforzar la memoria biocultural, aunque también genera tensiones cuando el patrimonio se convierte en producto turístico. </w:t>
      </w:r>
      <w:proofErr w:type="spellStart"/>
      <w:r w:rsidRPr="006D1D98">
        <w:rPr>
          <w:lang w:eastAsia="es-EC"/>
        </w:rPr>
        <w:t>Branstrator</w:t>
      </w:r>
      <w:proofErr w:type="spellEnd"/>
      <w:r w:rsidRPr="006D1D98">
        <w:rPr>
          <w:lang w:eastAsia="es-EC"/>
        </w:rPr>
        <w:t xml:space="preserve"> et al. (2023) agregan que la conservación biocultural requiere participación y mecanismos de seguimiento vinculados con la gestión turística.</w:t>
      </w:r>
    </w:p>
    <w:p w14:paraId="4BF04721" w14:textId="77777777" w:rsidR="006D1D98" w:rsidRPr="006D1D98" w:rsidRDefault="006D1D98" w:rsidP="006D1D98">
      <w:pPr>
        <w:jc w:val="both"/>
        <w:rPr>
          <w:lang w:eastAsia="es-EC"/>
        </w:rPr>
      </w:pPr>
      <w:r w:rsidRPr="006D1D98">
        <w:rPr>
          <w:lang w:eastAsia="es-EC"/>
        </w:rPr>
        <w:t xml:space="preserve">En Ecuador, la evidencia reciente indica que el turismo comunitario amazónico puede generar ingresos, fortalecer la cohesión social y revalorizar la identidad, aunque persisten problemas de estacionalidad, débil promoción y riesgos de comercialización cultural (Barros Gavino et al., 2024). Sarmiento León (2025) señala que las estrategias comunitarias pueden contribuir simultáneamente a la conservación de la biodiversidad y a la economía local. En Morona Santiago, Fernández Rodríguez et al. (2026) muestran que en </w:t>
      </w:r>
      <w:proofErr w:type="spellStart"/>
      <w:r w:rsidRPr="006D1D98">
        <w:rPr>
          <w:lang w:eastAsia="es-EC"/>
        </w:rPr>
        <w:t>Tsunky</w:t>
      </w:r>
      <w:proofErr w:type="spellEnd"/>
      <w:r w:rsidRPr="006D1D98">
        <w:rPr>
          <w:lang w:eastAsia="es-EC"/>
        </w:rPr>
        <w:t xml:space="preserve"> </w:t>
      </w:r>
      <w:proofErr w:type="spellStart"/>
      <w:r w:rsidRPr="006D1D98">
        <w:rPr>
          <w:lang w:eastAsia="es-EC"/>
        </w:rPr>
        <w:t>Chiriap</w:t>
      </w:r>
      <w:proofErr w:type="spellEnd"/>
      <w:r w:rsidRPr="006D1D98">
        <w:rPr>
          <w:lang w:eastAsia="es-EC"/>
        </w:rPr>
        <w:t>, Gualaquiza, la espiritualidad, la medicina ancestral y los espacios sagrados shuar forman parte central de la experiencia turística, pero existen baja afluencia, escasa diversificación y debilidades de gestión. Ordóñez Bravo et al. (2025) añaden que la gestión de saberes ancestrales exige participación comunitaria, transmisión intergeneracional y protección frente a la apropiación cultural.</w:t>
      </w:r>
    </w:p>
    <w:p w14:paraId="5BE58BE3" w14:textId="77777777" w:rsidR="006D1D98" w:rsidRPr="006D1D98" w:rsidRDefault="006D1D98" w:rsidP="006D1D98">
      <w:pPr>
        <w:jc w:val="both"/>
        <w:rPr>
          <w:b/>
          <w:bCs/>
          <w:lang w:eastAsia="es-EC"/>
        </w:rPr>
      </w:pPr>
      <w:r w:rsidRPr="006D1D98">
        <w:rPr>
          <w:b/>
          <w:bCs/>
          <w:lang w:eastAsia="es-EC"/>
        </w:rPr>
        <w:t>Brecha de investigación identificada</w:t>
      </w:r>
    </w:p>
    <w:p w14:paraId="10346793" w14:textId="77777777" w:rsidR="006D1D98" w:rsidRPr="006D1D98" w:rsidRDefault="006D1D98" w:rsidP="006D1D98">
      <w:pPr>
        <w:jc w:val="both"/>
        <w:rPr>
          <w:lang w:eastAsia="es-EC"/>
        </w:rPr>
      </w:pPr>
      <w:r w:rsidRPr="006D1D98">
        <w:rPr>
          <w:lang w:eastAsia="es-EC"/>
        </w:rPr>
        <w:lastRenderedPageBreak/>
        <w:t>Pese a estos avances, son escasos los estudios que analizan de forma integrada el patrimonio biocultural como estrategia de turismo cultural y, simultáneamente, su contribución al desarrollo económico local en Morona Santiago. Predominan casos comunitarios aislados o investigaciones centradas en dimensiones culturales, ambientales o turísticas por separado. Falta una visión territorial que identifique recursos bioculturales con potencial turístico, incorpore las percepciones de actores comunitarios, públicos y empresariales, y examine conjuntamente condiciones de gobernanza, protección cultural y generación de valor económico local. Esta brecha resulta coherente con la literatura internacional, que reconoce que la relación entre patrimonio biocultural y turismo continúa siendo un campo todavía insuficientemente estudiado.</w:t>
      </w:r>
    </w:p>
    <w:p w14:paraId="4576194A" w14:textId="77777777" w:rsidR="006D1D98" w:rsidRPr="006D1D98" w:rsidRDefault="006D1D98" w:rsidP="006D1D98">
      <w:pPr>
        <w:jc w:val="both"/>
        <w:rPr>
          <w:b/>
          <w:bCs/>
          <w:lang w:eastAsia="es-EC"/>
        </w:rPr>
      </w:pPr>
      <w:r w:rsidRPr="006D1D98">
        <w:rPr>
          <w:b/>
          <w:bCs/>
          <w:lang w:eastAsia="es-EC"/>
        </w:rPr>
        <w:t>Cómo esta investigación llena la brecha</w:t>
      </w:r>
    </w:p>
    <w:p w14:paraId="5EB51023" w14:textId="77777777" w:rsidR="006D1D98" w:rsidRPr="006D1D98" w:rsidRDefault="006D1D98" w:rsidP="006D1D98">
      <w:pPr>
        <w:jc w:val="both"/>
        <w:rPr>
          <w:lang w:eastAsia="es-EC"/>
        </w:rPr>
      </w:pPr>
      <w:r w:rsidRPr="006D1D98">
        <w:rPr>
          <w:lang w:eastAsia="es-EC"/>
        </w:rPr>
        <w:t>La presente investigación busca cubrir esa brecha mediante la identificación de manifestaciones, conocimientos, prácticas y recursos bioculturales de Morona Santiago con potencial turístico; el análisis de las percepciones de los actores locales; y la formulación de lineamientos estratégicos para su valorización. Su aporte consiste en relacionar conservación cultural y ambiental con turismo cultural y desarrollo económico local, sin asumir que todo patrimonio debe transformarse automáticamente en producto turístico. De esta manera, el estudio puede aportar criterios para diseñar experiencias culturalmente respetuosas, fortalecer emprendimientos y circuitos turísticos locales, mejorar la articulación entre comunidades e instituciones y favorecer que una mayor proporción del valor económico generado permanezca en el territorio y beneficie a sus habitantes.</w:t>
      </w:r>
    </w:p>
    <w:p w14:paraId="6338E9E7" w14:textId="77777777" w:rsidR="006D1D98" w:rsidRPr="006D1D98" w:rsidRDefault="006D1D98" w:rsidP="006D1D98">
      <w:pPr>
        <w:jc w:val="both"/>
        <w:rPr>
          <w:b/>
          <w:bCs/>
          <w:lang w:eastAsia="es-EC"/>
        </w:rPr>
      </w:pPr>
      <w:r w:rsidRPr="006D1D98">
        <w:rPr>
          <w:b/>
          <w:bCs/>
          <w:lang w:eastAsia="es-EC"/>
        </w:rPr>
        <w:t xml:space="preserve">Proceso de apoyo con </w:t>
      </w:r>
      <w:proofErr w:type="spellStart"/>
      <w:r w:rsidRPr="006D1D98">
        <w:rPr>
          <w:b/>
          <w:bCs/>
          <w:lang w:eastAsia="es-EC"/>
        </w:rPr>
        <w:t>NotebookLM</w:t>
      </w:r>
      <w:proofErr w:type="spellEnd"/>
    </w:p>
    <w:p w14:paraId="19721EEF" w14:textId="77777777" w:rsidR="006D1D98" w:rsidRPr="006D1D98" w:rsidRDefault="006D1D98" w:rsidP="006D1D98">
      <w:pPr>
        <w:jc w:val="both"/>
        <w:rPr>
          <w:lang w:eastAsia="es-EC"/>
        </w:rPr>
      </w:pPr>
      <w:r w:rsidRPr="006D1D98">
        <w:rPr>
          <w:lang w:eastAsia="es-EC"/>
        </w:rPr>
        <w:t xml:space="preserve">Para esta revisión cargué los siguientes </w:t>
      </w:r>
      <w:proofErr w:type="spellStart"/>
      <w:r w:rsidRPr="006D1D98">
        <w:rPr>
          <w:lang w:eastAsia="es-EC"/>
        </w:rPr>
        <w:t>papers</w:t>
      </w:r>
      <w:proofErr w:type="spellEnd"/>
      <w:r w:rsidRPr="006D1D98">
        <w:rPr>
          <w:lang w:eastAsia="es-EC"/>
        </w:rPr>
        <w:t xml:space="preserve"> en </w:t>
      </w:r>
      <w:proofErr w:type="spellStart"/>
      <w:r w:rsidRPr="006D1D98">
        <w:rPr>
          <w:lang w:eastAsia="es-EC"/>
        </w:rPr>
        <w:t>NotebookLM</w:t>
      </w:r>
      <w:proofErr w:type="spellEnd"/>
      <w:r w:rsidRPr="006D1D98">
        <w:rPr>
          <w:lang w:eastAsia="es-EC"/>
        </w:rPr>
        <w:t xml:space="preserve">: </w:t>
      </w:r>
      <w:proofErr w:type="spellStart"/>
      <w:r w:rsidRPr="006D1D98">
        <w:rPr>
          <w:lang w:eastAsia="es-EC"/>
        </w:rPr>
        <w:t>Sardiñas</w:t>
      </w:r>
      <w:proofErr w:type="spellEnd"/>
      <w:r w:rsidRPr="006D1D98">
        <w:rPr>
          <w:lang w:eastAsia="es-EC"/>
        </w:rPr>
        <w:t xml:space="preserve"> Rodríguez et al. (2024); </w:t>
      </w:r>
      <w:proofErr w:type="spellStart"/>
      <w:r w:rsidRPr="006D1D98">
        <w:rPr>
          <w:lang w:eastAsia="es-EC"/>
        </w:rPr>
        <w:t>Kaulen-Luks</w:t>
      </w:r>
      <w:proofErr w:type="spellEnd"/>
      <w:r w:rsidRPr="006D1D98">
        <w:rPr>
          <w:lang w:eastAsia="es-EC"/>
        </w:rPr>
        <w:t xml:space="preserve"> et al. (2022); </w:t>
      </w:r>
      <w:proofErr w:type="spellStart"/>
      <w:r w:rsidRPr="006D1D98">
        <w:rPr>
          <w:lang w:eastAsia="es-EC"/>
        </w:rPr>
        <w:t>Burke</w:t>
      </w:r>
      <w:proofErr w:type="spellEnd"/>
      <w:r w:rsidRPr="006D1D98">
        <w:rPr>
          <w:lang w:eastAsia="es-EC"/>
        </w:rPr>
        <w:t xml:space="preserve"> et al. (2023); </w:t>
      </w:r>
      <w:proofErr w:type="spellStart"/>
      <w:r w:rsidRPr="006D1D98">
        <w:rPr>
          <w:lang w:eastAsia="es-EC"/>
        </w:rPr>
        <w:t>Nemogá</w:t>
      </w:r>
      <w:proofErr w:type="spellEnd"/>
      <w:r w:rsidRPr="006D1D98">
        <w:rPr>
          <w:lang w:eastAsia="es-EC"/>
        </w:rPr>
        <w:t xml:space="preserve"> et al. (2022); </w:t>
      </w:r>
      <w:proofErr w:type="spellStart"/>
      <w:r w:rsidRPr="006D1D98">
        <w:rPr>
          <w:lang w:eastAsia="es-EC"/>
        </w:rPr>
        <w:t>Lukawiecki</w:t>
      </w:r>
      <w:proofErr w:type="spellEnd"/>
      <w:r w:rsidRPr="006D1D98">
        <w:rPr>
          <w:lang w:eastAsia="es-EC"/>
        </w:rPr>
        <w:t xml:space="preserve"> et al. (2022); Luque-Agraz (2022); Ramírez Meléndez y Reyes de la Cruz (2023); Barros Gavino et al. (2024); Ordóñez Bravo et al. (2025); Sarmiento León (2025); y Fernández Rodríguez et al. (2026).</w:t>
      </w:r>
    </w:p>
    <w:p w14:paraId="4A196C66" w14:textId="77777777" w:rsidR="006D1D98" w:rsidRPr="006D1D98" w:rsidRDefault="006D1D98" w:rsidP="006D1D98">
      <w:pPr>
        <w:jc w:val="both"/>
        <w:rPr>
          <w:lang w:eastAsia="es-EC"/>
        </w:rPr>
      </w:pPr>
      <w:r w:rsidRPr="006D1D98">
        <w:rPr>
          <w:lang w:eastAsia="es-EC"/>
        </w:rPr>
        <w:t xml:space="preserve">Las principales preguntas que le hice a </w:t>
      </w:r>
      <w:proofErr w:type="spellStart"/>
      <w:r w:rsidRPr="006D1D98">
        <w:rPr>
          <w:lang w:eastAsia="es-EC"/>
        </w:rPr>
        <w:t>NotebookLM</w:t>
      </w:r>
      <w:proofErr w:type="spellEnd"/>
      <w:r w:rsidRPr="006D1D98">
        <w:rPr>
          <w:lang w:eastAsia="es-EC"/>
        </w:rPr>
        <w:t xml:space="preserve"> fueron: ¿Qué relación establece la literatura entre patrimonio biocultural, turismo y desarrollo local?; ¿qué beneficios y riesgos presenta el turismo comunitario en territorios indígenas amazónicos?; y ¿qué brechas de investigación existen específicamente para Morona Santiago?</w:t>
      </w:r>
    </w:p>
    <w:p w14:paraId="4C605A06" w14:textId="227B0F0B" w:rsidR="006D1D98" w:rsidRDefault="006D1D98" w:rsidP="006D1D98">
      <w:pPr>
        <w:jc w:val="both"/>
        <w:rPr>
          <w:lang w:eastAsia="es-EC"/>
        </w:rPr>
      </w:pPr>
      <w:r w:rsidRPr="006D1D98">
        <w:rPr>
          <w:lang w:eastAsia="es-EC"/>
        </w:rPr>
        <w:t xml:space="preserve">Los </w:t>
      </w:r>
      <w:proofErr w:type="spellStart"/>
      <w:r w:rsidRPr="006D1D98">
        <w:rPr>
          <w:lang w:eastAsia="es-EC"/>
        </w:rPr>
        <w:t>prompts</w:t>
      </w:r>
      <w:proofErr w:type="spellEnd"/>
      <w:r w:rsidRPr="006D1D98">
        <w:rPr>
          <w:lang w:eastAsia="es-EC"/>
        </w:rPr>
        <w:t xml:space="preserve"> principales que utilicé fueron: “Sintetiza los hallazgos comunes y divergentes de los artículos”; “identifica vacíos de investigación aplicables a Morona Santiago, Ecuador”; y “redacta una revisión crítica de literatura conectando antecedentes, estado del arte, brecha de investigación y aporte del estudio”.</w:t>
      </w:r>
    </w:p>
    <w:p w14:paraId="65FCCC18" w14:textId="461A91D0" w:rsidR="00B705B8" w:rsidRPr="006D1D98" w:rsidRDefault="00B705B8" w:rsidP="006D1D98">
      <w:pPr>
        <w:jc w:val="both"/>
        <w:rPr>
          <w:lang w:eastAsia="es-EC"/>
        </w:rPr>
      </w:pPr>
      <w:r>
        <w:t xml:space="preserve">Esta revisión de literatura fue elaborada con asistencia de herramientas de inteligencia artificial generativa, siguiendo principios de transparencia académica y uso responsable de estas tecnologías. Se utilizaron </w:t>
      </w:r>
      <w:proofErr w:type="spellStart"/>
      <w:r w:rsidRPr="00B705B8">
        <w:rPr>
          <w:rStyle w:val="Textoennegrita"/>
          <w:b w:val="0"/>
          <w:bCs w:val="0"/>
        </w:rPr>
        <w:t>ChatGPT</w:t>
      </w:r>
      <w:proofErr w:type="spellEnd"/>
      <w:r w:rsidRPr="00B705B8">
        <w:rPr>
          <w:rStyle w:val="Textoennegrita"/>
          <w:b w:val="0"/>
          <w:bCs w:val="0"/>
        </w:rPr>
        <w:t xml:space="preserve"> (</w:t>
      </w:r>
      <w:proofErr w:type="spellStart"/>
      <w:r w:rsidRPr="00B705B8">
        <w:rPr>
          <w:rStyle w:val="Textoennegrita"/>
          <w:b w:val="0"/>
          <w:bCs w:val="0"/>
        </w:rPr>
        <w:t>OpenAI</w:t>
      </w:r>
      <w:proofErr w:type="spellEnd"/>
      <w:r w:rsidRPr="00B705B8">
        <w:rPr>
          <w:rStyle w:val="Textoennegrita"/>
          <w:b w:val="0"/>
          <w:bCs w:val="0"/>
        </w:rPr>
        <w:t>)</w:t>
      </w:r>
      <w:r>
        <w:t xml:space="preserve"> como apoyo para la búsqueda y organización de literatura, estructuración de la revisión, síntesis de información y mejora de la redacción académica, y </w:t>
      </w:r>
      <w:proofErr w:type="spellStart"/>
      <w:r w:rsidRPr="00B705B8">
        <w:rPr>
          <w:rStyle w:val="Textoennegrita"/>
          <w:b w:val="0"/>
          <w:bCs w:val="0"/>
        </w:rPr>
        <w:t>NotebookLM</w:t>
      </w:r>
      <w:proofErr w:type="spellEnd"/>
      <w:r w:rsidRPr="00B705B8">
        <w:rPr>
          <w:rStyle w:val="Textoennegrita"/>
          <w:b w:val="0"/>
          <w:bCs w:val="0"/>
        </w:rPr>
        <w:t xml:space="preserve"> (Google)</w:t>
      </w:r>
      <w:r>
        <w:t xml:space="preserve"> para analizar, contrastar y sintetizar los artículos científicos incorporados como fuentes documentales. Las herramientas de inteligencia artificial fueron empleadas únicamente como recursos de apoyo y no sustituyeron el análisis crítico del investigador. Las referencias bibliográficas, afirmaciones y contenidos incluidos en el documento fueron revisados y verificados por el autor, quien asume la responsabilidad exclusiva por la interpretación, exactitud y contenido final de la investigación</w:t>
      </w:r>
    </w:p>
    <w:p w14:paraId="276A7145" w14:textId="77777777" w:rsidR="006D1D98" w:rsidRPr="006D1D98" w:rsidRDefault="006D1D98" w:rsidP="006D1D98">
      <w:pPr>
        <w:jc w:val="both"/>
        <w:rPr>
          <w:lang w:eastAsia="es-EC"/>
        </w:rPr>
      </w:pPr>
      <w:r w:rsidRPr="006D1D98">
        <w:rPr>
          <w:lang w:eastAsia="es-EC"/>
        </w:rPr>
        <w:lastRenderedPageBreak/>
        <w:t>Referencias</w:t>
      </w:r>
    </w:p>
    <w:p w14:paraId="39883CC8" w14:textId="77777777" w:rsidR="006D1D98" w:rsidRPr="006D1D98" w:rsidRDefault="006D1D98" w:rsidP="006D1D98">
      <w:pPr>
        <w:jc w:val="both"/>
        <w:rPr>
          <w:lang w:eastAsia="es-EC"/>
        </w:rPr>
      </w:pPr>
      <w:r w:rsidRPr="006D1D98">
        <w:rPr>
          <w:lang w:eastAsia="es-EC"/>
        </w:rPr>
        <w:t xml:space="preserve">Barros Gavino, C. D., Garaicoa Fuentes, F. L., &amp; León García, K. C. (2024). Desarrollo del turismo comunitario en la Amazonía ecuatoriana; análisis de los beneficios sociales para las comunidades indígenas de Ecuador. </w:t>
      </w:r>
      <w:r w:rsidRPr="006D1D98">
        <w:rPr>
          <w:i/>
          <w:iCs/>
          <w:lang w:eastAsia="es-EC"/>
        </w:rPr>
        <w:t>LATAM Revista Latinoamericana de Ciencias Sociales y Humanidades, 5</w:t>
      </w:r>
      <w:r w:rsidRPr="006D1D98">
        <w:rPr>
          <w:lang w:eastAsia="es-EC"/>
        </w:rPr>
        <w:t>(6), 519–530. doi:10.56712/</w:t>
      </w:r>
      <w:proofErr w:type="gramStart"/>
      <w:r w:rsidRPr="006D1D98">
        <w:rPr>
          <w:lang w:eastAsia="es-EC"/>
        </w:rPr>
        <w:t>latam.v</w:t>
      </w:r>
      <w:proofErr w:type="gramEnd"/>
      <w:r w:rsidRPr="006D1D98">
        <w:rPr>
          <w:lang w:eastAsia="es-EC"/>
        </w:rPr>
        <w:t>5i6.3023.</w:t>
      </w:r>
    </w:p>
    <w:p w14:paraId="3A90A0E5" w14:textId="77777777" w:rsidR="006D1D98" w:rsidRPr="006D1D98" w:rsidRDefault="006D1D98" w:rsidP="006D1D98">
      <w:pPr>
        <w:jc w:val="both"/>
        <w:rPr>
          <w:lang w:eastAsia="es-EC"/>
        </w:rPr>
      </w:pPr>
      <w:proofErr w:type="spellStart"/>
      <w:r w:rsidRPr="006D1D98">
        <w:rPr>
          <w:lang w:val="en-AU" w:eastAsia="es-EC"/>
        </w:rPr>
        <w:t>Branstrator</w:t>
      </w:r>
      <w:proofErr w:type="spellEnd"/>
      <w:r w:rsidRPr="006D1D98">
        <w:rPr>
          <w:lang w:val="en-AU" w:eastAsia="es-EC"/>
        </w:rPr>
        <w:t xml:space="preserve">, J. R., Cavaliere, C. T., Day, J., &amp; Bricker, K. S. (2023). Civic reporting indicators and biocultural conservation: Opportunities and challenges for sustainable tourism. </w:t>
      </w:r>
      <w:proofErr w:type="spellStart"/>
      <w:r w:rsidRPr="006D1D98">
        <w:rPr>
          <w:i/>
          <w:iCs/>
          <w:lang w:eastAsia="es-EC"/>
        </w:rPr>
        <w:t>Sustainability</w:t>
      </w:r>
      <w:proofErr w:type="spellEnd"/>
      <w:r w:rsidRPr="006D1D98">
        <w:rPr>
          <w:i/>
          <w:iCs/>
          <w:lang w:eastAsia="es-EC"/>
        </w:rPr>
        <w:t>, 15</w:t>
      </w:r>
      <w:r w:rsidRPr="006D1D98">
        <w:rPr>
          <w:lang w:eastAsia="es-EC"/>
        </w:rPr>
        <w:t>(3), 1823. doi:10.3390/su15031823.</w:t>
      </w:r>
    </w:p>
    <w:p w14:paraId="59793BAB" w14:textId="77777777" w:rsidR="006D1D98" w:rsidRPr="006D1D98" w:rsidRDefault="006D1D98" w:rsidP="006D1D98">
      <w:pPr>
        <w:jc w:val="both"/>
        <w:rPr>
          <w:lang w:eastAsia="es-EC"/>
        </w:rPr>
      </w:pPr>
      <w:proofErr w:type="spellStart"/>
      <w:r w:rsidRPr="006D1D98">
        <w:rPr>
          <w:lang w:eastAsia="es-EC"/>
        </w:rPr>
        <w:t>Burke</w:t>
      </w:r>
      <w:proofErr w:type="spellEnd"/>
      <w:r w:rsidRPr="006D1D98">
        <w:rPr>
          <w:lang w:eastAsia="es-EC"/>
        </w:rPr>
        <w:t>, L., Díaz-</w:t>
      </w:r>
      <w:proofErr w:type="spellStart"/>
      <w:r w:rsidRPr="006D1D98">
        <w:rPr>
          <w:lang w:eastAsia="es-EC"/>
        </w:rPr>
        <w:t>Reviriego</w:t>
      </w:r>
      <w:proofErr w:type="spellEnd"/>
      <w:r w:rsidRPr="006D1D98">
        <w:rPr>
          <w:lang w:eastAsia="es-EC"/>
        </w:rPr>
        <w:t xml:space="preserve">, I., Lam, D. P. M., &amp; </w:t>
      </w:r>
      <w:proofErr w:type="spellStart"/>
      <w:r w:rsidRPr="006D1D98">
        <w:rPr>
          <w:lang w:eastAsia="es-EC"/>
        </w:rPr>
        <w:t>Hanspach</w:t>
      </w:r>
      <w:proofErr w:type="spellEnd"/>
      <w:r w:rsidRPr="006D1D98">
        <w:rPr>
          <w:lang w:eastAsia="es-EC"/>
        </w:rPr>
        <w:t xml:space="preserve">, J. (2023). </w:t>
      </w:r>
      <w:r w:rsidRPr="006D1D98">
        <w:rPr>
          <w:lang w:val="en-AU" w:eastAsia="es-EC"/>
        </w:rPr>
        <w:t xml:space="preserve">Indigenous and local knowledge in biocultural approaches to sustainability: A review of the literature in Spanish. </w:t>
      </w:r>
      <w:proofErr w:type="spellStart"/>
      <w:r w:rsidRPr="006D1D98">
        <w:rPr>
          <w:i/>
          <w:iCs/>
          <w:lang w:eastAsia="es-EC"/>
        </w:rPr>
        <w:t>Ecosystems</w:t>
      </w:r>
      <w:proofErr w:type="spellEnd"/>
      <w:r w:rsidRPr="006D1D98">
        <w:rPr>
          <w:i/>
          <w:iCs/>
          <w:lang w:eastAsia="es-EC"/>
        </w:rPr>
        <w:t xml:space="preserve"> and People, 19</w:t>
      </w:r>
      <w:r w:rsidRPr="006D1D98">
        <w:rPr>
          <w:lang w:eastAsia="es-EC"/>
        </w:rPr>
        <w:t>(1), 2157490. doi:10.1080/26395916.2022.2157490.</w:t>
      </w:r>
    </w:p>
    <w:p w14:paraId="1AF2FE18" w14:textId="77777777" w:rsidR="006D1D98" w:rsidRPr="006D1D98" w:rsidRDefault="006D1D98" w:rsidP="006D1D98">
      <w:pPr>
        <w:jc w:val="both"/>
        <w:rPr>
          <w:lang w:eastAsia="es-EC"/>
        </w:rPr>
      </w:pPr>
      <w:r w:rsidRPr="006D1D98">
        <w:rPr>
          <w:lang w:eastAsia="es-EC"/>
        </w:rPr>
        <w:t xml:space="preserve">Fernández Rodríguez, S. I., </w:t>
      </w:r>
      <w:proofErr w:type="spellStart"/>
      <w:r w:rsidRPr="006D1D98">
        <w:rPr>
          <w:lang w:eastAsia="es-EC"/>
        </w:rPr>
        <w:t>Jimpikit</w:t>
      </w:r>
      <w:proofErr w:type="spellEnd"/>
      <w:r w:rsidRPr="006D1D98">
        <w:rPr>
          <w:lang w:eastAsia="es-EC"/>
        </w:rPr>
        <w:t xml:space="preserve"> </w:t>
      </w:r>
      <w:proofErr w:type="spellStart"/>
      <w:r w:rsidRPr="006D1D98">
        <w:rPr>
          <w:lang w:eastAsia="es-EC"/>
        </w:rPr>
        <w:t>Yankuam</w:t>
      </w:r>
      <w:proofErr w:type="spellEnd"/>
      <w:r w:rsidRPr="006D1D98">
        <w:rPr>
          <w:lang w:eastAsia="es-EC"/>
        </w:rPr>
        <w:t xml:space="preserve">, E. A., &amp; Jaramillo Rojas, R. E. (2026). Turismo comunitario, espiritualidad y saberes ancestrales del pueblo shuar en la comunidad </w:t>
      </w:r>
      <w:proofErr w:type="spellStart"/>
      <w:r w:rsidRPr="006D1D98">
        <w:rPr>
          <w:lang w:eastAsia="es-EC"/>
        </w:rPr>
        <w:t>Tsunky</w:t>
      </w:r>
      <w:proofErr w:type="spellEnd"/>
      <w:r w:rsidRPr="006D1D98">
        <w:rPr>
          <w:lang w:eastAsia="es-EC"/>
        </w:rPr>
        <w:t xml:space="preserve"> </w:t>
      </w:r>
      <w:proofErr w:type="spellStart"/>
      <w:r w:rsidRPr="006D1D98">
        <w:rPr>
          <w:lang w:eastAsia="es-EC"/>
        </w:rPr>
        <w:t>Chiriap</w:t>
      </w:r>
      <w:proofErr w:type="spellEnd"/>
      <w:r w:rsidRPr="006D1D98">
        <w:rPr>
          <w:lang w:eastAsia="es-EC"/>
        </w:rPr>
        <w:t xml:space="preserve">, cantón Gualaquiza, Morona Santiago. </w:t>
      </w:r>
      <w:r w:rsidRPr="006D1D98">
        <w:rPr>
          <w:i/>
          <w:iCs/>
          <w:lang w:eastAsia="es-EC"/>
        </w:rPr>
        <w:t>Revista PRISMA Amazónico, 3</w:t>
      </w:r>
      <w:r w:rsidRPr="006D1D98">
        <w:rPr>
          <w:lang w:eastAsia="es-EC"/>
        </w:rPr>
        <w:t>(1), 13–26. doi:10.66586/</w:t>
      </w:r>
      <w:proofErr w:type="gramStart"/>
      <w:r w:rsidRPr="006D1D98">
        <w:rPr>
          <w:lang w:eastAsia="es-EC"/>
        </w:rPr>
        <w:t>prisma.v3n1.a</w:t>
      </w:r>
      <w:proofErr w:type="gramEnd"/>
      <w:r w:rsidRPr="006D1D98">
        <w:rPr>
          <w:lang w:eastAsia="es-EC"/>
        </w:rPr>
        <w:t>26.</w:t>
      </w:r>
    </w:p>
    <w:p w14:paraId="770A9291" w14:textId="77777777" w:rsidR="006D1D98" w:rsidRPr="006D1D98" w:rsidRDefault="006D1D98" w:rsidP="006D1D98">
      <w:pPr>
        <w:jc w:val="both"/>
        <w:rPr>
          <w:lang w:eastAsia="es-EC"/>
        </w:rPr>
      </w:pPr>
      <w:proofErr w:type="spellStart"/>
      <w:r w:rsidRPr="006D1D98">
        <w:rPr>
          <w:lang w:eastAsia="es-EC"/>
        </w:rPr>
        <w:t>Kaulen-Luks</w:t>
      </w:r>
      <w:proofErr w:type="spellEnd"/>
      <w:r w:rsidRPr="006D1D98">
        <w:rPr>
          <w:lang w:eastAsia="es-EC"/>
        </w:rPr>
        <w:t xml:space="preserve">, S., Marchant, C., Olivares, F., &amp; Ibarra, J. T. (2022). </w:t>
      </w:r>
      <w:r w:rsidRPr="006D1D98">
        <w:rPr>
          <w:lang w:val="en-AU" w:eastAsia="es-EC"/>
        </w:rPr>
        <w:t xml:space="preserve">Biocultural heritage construction and community-based tourism in an important indigenous agricultural heritage system of the southern Andes. </w:t>
      </w:r>
      <w:r w:rsidRPr="006D1D98">
        <w:rPr>
          <w:i/>
          <w:iCs/>
          <w:lang w:eastAsia="es-EC"/>
        </w:rPr>
        <w:t xml:space="preserve">International </w:t>
      </w:r>
      <w:proofErr w:type="spellStart"/>
      <w:r w:rsidRPr="006D1D98">
        <w:rPr>
          <w:i/>
          <w:iCs/>
          <w:lang w:eastAsia="es-EC"/>
        </w:rPr>
        <w:t>Journal</w:t>
      </w:r>
      <w:proofErr w:type="spellEnd"/>
      <w:r w:rsidRPr="006D1D98">
        <w:rPr>
          <w:i/>
          <w:iCs/>
          <w:lang w:eastAsia="es-EC"/>
        </w:rPr>
        <w:t xml:space="preserve"> </w:t>
      </w:r>
      <w:proofErr w:type="spellStart"/>
      <w:r w:rsidRPr="006D1D98">
        <w:rPr>
          <w:i/>
          <w:iCs/>
          <w:lang w:eastAsia="es-EC"/>
        </w:rPr>
        <w:t>of</w:t>
      </w:r>
      <w:proofErr w:type="spellEnd"/>
      <w:r w:rsidRPr="006D1D98">
        <w:rPr>
          <w:i/>
          <w:iCs/>
          <w:lang w:eastAsia="es-EC"/>
        </w:rPr>
        <w:t xml:space="preserve"> </w:t>
      </w:r>
      <w:proofErr w:type="spellStart"/>
      <w:r w:rsidRPr="006D1D98">
        <w:rPr>
          <w:i/>
          <w:iCs/>
          <w:lang w:eastAsia="es-EC"/>
        </w:rPr>
        <w:t>Heritage</w:t>
      </w:r>
      <w:proofErr w:type="spellEnd"/>
      <w:r w:rsidRPr="006D1D98">
        <w:rPr>
          <w:i/>
          <w:iCs/>
          <w:lang w:eastAsia="es-EC"/>
        </w:rPr>
        <w:t xml:space="preserve"> </w:t>
      </w:r>
      <w:proofErr w:type="spellStart"/>
      <w:r w:rsidRPr="006D1D98">
        <w:rPr>
          <w:i/>
          <w:iCs/>
          <w:lang w:eastAsia="es-EC"/>
        </w:rPr>
        <w:t>Studies</w:t>
      </w:r>
      <w:proofErr w:type="spellEnd"/>
      <w:r w:rsidRPr="006D1D98">
        <w:rPr>
          <w:i/>
          <w:iCs/>
          <w:lang w:eastAsia="es-EC"/>
        </w:rPr>
        <w:t>, 28</w:t>
      </w:r>
      <w:r w:rsidRPr="006D1D98">
        <w:rPr>
          <w:lang w:eastAsia="es-EC"/>
        </w:rPr>
        <w:t>(10), 1075–1090. doi:10.1080/13527258.2022.2131882.</w:t>
      </w:r>
    </w:p>
    <w:p w14:paraId="6BA5B930" w14:textId="77777777" w:rsidR="006D1D98" w:rsidRPr="006D1D98" w:rsidRDefault="006D1D98" w:rsidP="006D1D98">
      <w:pPr>
        <w:jc w:val="both"/>
        <w:rPr>
          <w:lang w:eastAsia="es-EC"/>
        </w:rPr>
      </w:pPr>
      <w:r w:rsidRPr="006D1D98">
        <w:rPr>
          <w:lang w:eastAsia="es-EC"/>
        </w:rPr>
        <w:t xml:space="preserve">Luque-Agraz, D. (2022). Turismo biocultural y la agenda global en la Era del Antropoceno. </w:t>
      </w:r>
      <w:r w:rsidRPr="006D1D98">
        <w:rPr>
          <w:i/>
          <w:iCs/>
          <w:lang w:eastAsia="es-EC"/>
        </w:rPr>
        <w:t>Estudios Sociales. Revista de Alimentación Contemporánea y Desarrollo Regional, 32</w:t>
      </w:r>
      <w:r w:rsidRPr="006D1D98">
        <w:rPr>
          <w:lang w:eastAsia="es-EC"/>
        </w:rPr>
        <w:t>(59). doi:10.24836/</w:t>
      </w:r>
      <w:proofErr w:type="gramStart"/>
      <w:r w:rsidRPr="006D1D98">
        <w:rPr>
          <w:lang w:eastAsia="es-EC"/>
        </w:rPr>
        <w:t>es.v</w:t>
      </w:r>
      <w:proofErr w:type="gramEnd"/>
      <w:r w:rsidRPr="006D1D98">
        <w:rPr>
          <w:lang w:eastAsia="es-EC"/>
        </w:rPr>
        <w:t>32i59.1210.</w:t>
      </w:r>
    </w:p>
    <w:p w14:paraId="4FBE51A9" w14:textId="77777777" w:rsidR="006D1D98" w:rsidRPr="00B705B8" w:rsidRDefault="006D1D98" w:rsidP="006D1D98">
      <w:pPr>
        <w:jc w:val="both"/>
        <w:rPr>
          <w:lang w:val="en-AU" w:eastAsia="es-EC"/>
        </w:rPr>
      </w:pPr>
      <w:proofErr w:type="spellStart"/>
      <w:r w:rsidRPr="006D1D98">
        <w:rPr>
          <w:lang w:val="en-AU" w:eastAsia="es-EC"/>
        </w:rPr>
        <w:t>Lukawiecki</w:t>
      </w:r>
      <w:proofErr w:type="spellEnd"/>
      <w:r w:rsidRPr="006D1D98">
        <w:rPr>
          <w:lang w:val="en-AU" w:eastAsia="es-EC"/>
        </w:rPr>
        <w:t xml:space="preserve">, J., Wall, J., Young, R., </w:t>
      </w:r>
      <w:proofErr w:type="spellStart"/>
      <w:r w:rsidRPr="006D1D98">
        <w:rPr>
          <w:lang w:val="en-AU" w:eastAsia="es-EC"/>
        </w:rPr>
        <w:t>Gonet</w:t>
      </w:r>
      <w:proofErr w:type="spellEnd"/>
      <w:r w:rsidRPr="006D1D98">
        <w:rPr>
          <w:lang w:val="en-AU" w:eastAsia="es-EC"/>
        </w:rPr>
        <w:t xml:space="preserve">, J., </w:t>
      </w:r>
      <w:proofErr w:type="spellStart"/>
      <w:r w:rsidRPr="006D1D98">
        <w:rPr>
          <w:lang w:val="en-AU" w:eastAsia="es-EC"/>
        </w:rPr>
        <w:t>Azhdari</w:t>
      </w:r>
      <w:proofErr w:type="spellEnd"/>
      <w:r w:rsidRPr="006D1D98">
        <w:rPr>
          <w:lang w:val="en-AU" w:eastAsia="es-EC"/>
        </w:rPr>
        <w:t xml:space="preserve">, G., &amp; Moola, F. (2022). Operationalizing the biocultural perspective in conservation practice: A systematic review of the literature. </w:t>
      </w:r>
      <w:r w:rsidRPr="00B705B8">
        <w:rPr>
          <w:i/>
          <w:iCs/>
          <w:lang w:val="en-AU" w:eastAsia="es-EC"/>
        </w:rPr>
        <w:t>Environmental Science &amp; Policy, 136</w:t>
      </w:r>
      <w:r w:rsidRPr="00B705B8">
        <w:rPr>
          <w:lang w:val="en-AU" w:eastAsia="es-EC"/>
        </w:rPr>
        <w:t xml:space="preserve">, 369–376. </w:t>
      </w:r>
      <w:proofErr w:type="gramStart"/>
      <w:r w:rsidRPr="00B705B8">
        <w:rPr>
          <w:lang w:val="en-AU" w:eastAsia="es-EC"/>
        </w:rPr>
        <w:t>doi:10.1016/j.envsci</w:t>
      </w:r>
      <w:proofErr w:type="gramEnd"/>
      <w:r w:rsidRPr="00B705B8">
        <w:rPr>
          <w:lang w:val="en-AU" w:eastAsia="es-EC"/>
        </w:rPr>
        <w:t>.2022.06.016.</w:t>
      </w:r>
    </w:p>
    <w:p w14:paraId="534F9789" w14:textId="77777777" w:rsidR="006D1D98" w:rsidRPr="00B705B8" w:rsidRDefault="006D1D98" w:rsidP="006D1D98">
      <w:pPr>
        <w:jc w:val="both"/>
        <w:rPr>
          <w:lang w:val="en-AU" w:eastAsia="es-EC"/>
        </w:rPr>
      </w:pPr>
      <w:proofErr w:type="spellStart"/>
      <w:r w:rsidRPr="006D1D98">
        <w:rPr>
          <w:lang w:val="en-AU" w:eastAsia="es-EC"/>
        </w:rPr>
        <w:t>Nemogá</w:t>
      </w:r>
      <w:proofErr w:type="spellEnd"/>
      <w:r w:rsidRPr="006D1D98">
        <w:rPr>
          <w:lang w:val="en-AU" w:eastAsia="es-EC"/>
        </w:rPr>
        <w:t xml:space="preserve">, G. R., </w:t>
      </w:r>
      <w:proofErr w:type="spellStart"/>
      <w:r w:rsidRPr="006D1D98">
        <w:rPr>
          <w:lang w:val="en-AU" w:eastAsia="es-EC"/>
        </w:rPr>
        <w:t>Appasamy</w:t>
      </w:r>
      <w:proofErr w:type="spellEnd"/>
      <w:r w:rsidRPr="006D1D98">
        <w:rPr>
          <w:lang w:val="en-AU" w:eastAsia="es-EC"/>
        </w:rPr>
        <w:t xml:space="preserve">, A., &amp; </w:t>
      </w:r>
      <w:proofErr w:type="spellStart"/>
      <w:r w:rsidRPr="006D1D98">
        <w:rPr>
          <w:lang w:val="en-AU" w:eastAsia="es-EC"/>
        </w:rPr>
        <w:t>Romanow</w:t>
      </w:r>
      <w:proofErr w:type="spellEnd"/>
      <w:r w:rsidRPr="006D1D98">
        <w:rPr>
          <w:lang w:val="en-AU" w:eastAsia="es-EC"/>
        </w:rPr>
        <w:t xml:space="preserve">, C. A. (2022). Protecting Indigenous and local knowledge through a biocultural diversity framework. </w:t>
      </w:r>
      <w:r w:rsidRPr="00B705B8">
        <w:rPr>
          <w:i/>
          <w:iCs/>
          <w:lang w:val="en-AU" w:eastAsia="es-EC"/>
        </w:rPr>
        <w:t>The Journal of Environment &amp; Development, 31</w:t>
      </w:r>
      <w:r w:rsidRPr="00B705B8">
        <w:rPr>
          <w:lang w:val="en-AU" w:eastAsia="es-EC"/>
        </w:rPr>
        <w:t>(3), 223–252. doi:10.1177/10704965221104781.</w:t>
      </w:r>
    </w:p>
    <w:p w14:paraId="2F754620" w14:textId="77777777" w:rsidR="006D1D98" w:rsidRPr="006D1D98" w:rsidRDefault="006D1D98" w:rsidP="006D1D98">
      <w:pPr>
        <w:jc w:val="both"/>
        <w:rPr>
          <w:lang w:eastAsia="es-EC"/>
        </w:rPr>
      </w:pPr>
      <w:proofErr w:type="spellStart"/>
      <w:r w:rsidRPr="00B705B8">
        <w:rPr>
          <w:lang w:val="en-AU" w:eastAsia="es-EC"/>
        </w:rPr>
        <w:t>Ordóñez</w:t>
      </w:r>
      <w:proofErr w:type="spellEnd"/>
      <w:r w:rsidRPr="00B705B8">
        <w:rPr>
          <w:lang w:val="en-AU" w:eastAsia="es-EC"/>
        </w:rPr>
        <w:t xml:space="preserve"> Bravo, E. F., Jaramillo Rojas, R. E., Méndez Espinoza, S. M., &amp; Merino Ponce, J. E. (2025). </w:t>
      </w:r>
      <w:r w:rsidRPr="006D1D98">
        <w:rPr>
          <w:lang w:eastAsia="es-EC"/>
        </w:rPr>
        <w:t xml:space="preserve">Saberes ancestrales y gestión del conocimiento en el turismo comunitario amazónico. </w:t>
      </w:r>
      <w:r w:rsidRPr="006D1D98">
        <w:rPr>
          <w:i/>
          <w:iCs/>
          <w:lang w:eastAsia="es-EC"/>
        </w:rPr>
        <w:t xml:space="preserve">Revista Científica Multidisciplinaria </w:t>
      </w:r>
      <w:proofErr w:type="spellStart"/>
      <w:r w:rsidRPr="006D1D98">
        <w:rPr>
          <w:i/>
          <w:iCs/>
          <w:lang w:eastAsia="es-EC"/>
        </w:rPr>
        <w:t>InvestiGo</w:t>
      </w:r>
      <w:proofErr w:type="spellEnd"/>
      <w:r w:rsidRPr="006D1D98">
        <w:rPr>
          <w:i/>
          <w:iCs/>
          <w:lang w:eastAsia="es-EC"/>
        </w:rPr>
        <w:t>, 6</w:t>
      </w:r>
      <w:r w:rsidRPr="006D1D98">
        <w:rPr>
          <w:lang w:eastAsia="es-EC"/>
        </w:rPr>
        <w:t>(17), 199–210. doi:10.56519/w2axh842.</w:t>
      </w:r>
    </w:p>
    <w:p w14:paraId="41100DEB" w14:textId="77777777" w:rsidR="006D1D98" w:rsidRPr="006D1D98" w:rsidRDefault="006D1D98" w:rsidP="006D1D98">
      <w:pPr>
        <w:jc w:val="both"/>
        <w:rPr>
          <w:lang w:eastAsia="es-EC"/>
        </w:rPr>
      </w:pPr>
      <w:r w:rsidRPr="006D1D98">
        <w:rPr>
          <w:lang w:eastAsia="es-EC"/>
        </w:rPr>
        <w:t xml:space="preserve">Ramírez Meléndez, M., &amp; Reyes de la Cruz, V. G. (2023). La configuración de la Región Turística Biocultural. Entre las políticas públicas y el patrimonio biocultural. </w:t>
      </w:r>
      <w:r w:rsidRPr="006D1D98">
        <w:rPr>
          <w:i/>
          <w:iCs/>
          <w:lang w:eastAsia="es-EC"/>
        </w:rPr>
        <w:t>Estudios Sociales. Revista de Alimentación Contemporánea y Desarrollo Regional, 33</w:t>
      </w:r>
      <w:r w:rsidRPr="006D1D98">
        <w:rPr>
          <w:lang w:eastAsia="es-EC"/>
        </w:rPr>
        <w:t>(61). doi:10.24836/</w:t>
      </w:r>
      <w:proofErr w:type="gramStart"/>
      <w:r w:rsidRPr="006D1D98">
        <w:rPr>
          <w:lang w:eastAsia="es-EC"/>
        </w:rPr>
        <w:t>es.v</w:t>
      </w:r>
      <w:proofErr w:type="gramEnd"/>
      <w:r w:rsidRPr="006D1D98">
        <w:rPr>
          <w:lang w:eastAsia="es-EC"/>
        </w:rPr>
        <w:t>33i61.1307.</w:t>
      </w:r>
    </w:p>
    <w:p w14:paraId="1FF2D77A" w14:textId="77777777" w:rsidR="006D1D98" w:rsidRPr="006D1D98" w:rsidRDefault="006D1D98" w:rsidP="006D1D98">
      <w:pPr>
        <w:jc w:val="both"/>
        <w:rPr>
          <w:lang w:eastAsia="es-EC"/>
        </w:rPr>
      </w:pPr>
      <w:proofErr w:type="spellStart"/>
      <w:r w:rsidRPr="006D1D98">
        <w:rPr>
          <w:lang w:eastAsia="es-EC"/>
        </w:rPr>
        <w:t>Sardiñas</w:t>
      </w:r>
      <w:proofErr w:type="spellEnd"/>
      <w:r w:rsidRPr="006D1D98">
        <w:rPr>
          <w:lang w:eastAsia="es-EC"/>
        </w:rPr>
        <w:t xml:space="preserve"> Rodríguez, D. C., Serrano Barquín, R. C., Palmas Castrejón, Y. D., &amp; Delgado Cruz, A. (2024). El concepto de patrimonio biocultural y su aplicación en el turismo: Una revisión sistemática de la literatura. </w:t>
      </w:r>
      <w:proofErr w:type="spellStart"/>
      <w:r w:rsidRPr="006D1D98">
        <w:rPr>
          <w:i/>
          <w:iCs/>
          <w:lang w:eastAsia="es-EC"/>
        </w:rPr>
        <w:t>Caderno</w:t>
      </w:r>
      <w:proofErr w:type="spellEnd"/>
      <w:r w:rsidRPr="006D1D98">
        <w:rPr>
          <w:i/>
          <w:iCs/>
          <w:lang w:eastAsia="es-EC"/>
        </w:rPr>
        <w:t xml:space="preserve"> Virtual de Turismo, 24</w:t>
      </w:r>
      <w:r w:rsidRPr="006D1D98">
        <w:rPr>
          <w:lang w:eastAsia="es-EC"/>
        </w:rPr>
        <w:t>(1), 93–110. doi:10.18472/cvt.24n1.2024.2120.</w:t>
      </w:r>
    </w:p>
    <w:p w14:paraId="42411466" w14:textId="77777777" w:rsidR="006D1D98" w:rsidRPr="006D1D98" w:rsidRDefault="006D1D98" w:rsidP="006D1D98">
      <w:pPr>
        <w:jc w:val="both"/>
        <w:rPr>
          <w:lang w:eastAsia="es-EC"/>
        </w:rPr>
      </w:pPr>
      <w:r w:rsidRPr="006D1D98">
        <w:rPr>
          <w:lang w:eastAsia="es-EC"/>
        </w:rPr>
        <w:t xml:space="preserve">Sarmiento León, C. A. (2025). Turismo y conservación: Estrategias comunitarias para la protección de la biodiversidad amazónica. </w:t>
      </w:r>
      <w:r w:rsidRPr="006D1D98">
        <w:rPr>
          <w:i/>
          <w:iCs/>
          <w:lang w:eastAsia="es-EC"/>
        </w:rPr>
        <w:t>Ciencia Latina Revista Científica Multidisciplinar, 9</w:t>
      </w:r>
      <w:r w:rsidRPr="006D1D98">
        <w:rPr>
          <w:lang w:eastAsia="es-EC"/>
        </w:rPr>
        <w:t>(5), 6296–6311. doi:10.37811/cl_</w:t>
      </w:r>
      <w:proofErr w:type="gramStart"/>
      <w:r w:rsidRPr="006D1D98">
        <w:rPr>
          <w:lang w:eastAsia="es-EC"/>
        </w:rPr>
        <w:t>rcm.v</w:t>
      </w:r>
      <w:proofErr w:type="gramEnd"/>
      <w:r w:rsidRPr="006D1D98">
        <w:rPr>
          <w:lang w:eastAsia="es-EC"/>
        </w:rPr>
        <w:t>9i5.19990.</w:t>
      </w:r>
    </w:p>
    <w:p w14:paraId="46D9C6AC" w14:textId="77777777" w:rsidR="00B93A8B" w:rsidRPr="006D1D98" w:rsidRDefault="00B93A8B" w:rsidP="006D1D98">
      <w:pPr>
        <w:jc w:val="both"/>
      </w:pPr>
    </w:p>
    <w:sectPr w:rsidR="00B93A8B" w:rsidRPr="006D1D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400"/>
    <w:rsid w:val="006D1D98"/>
    <w:rsid w:val="00A514DD"/>
    <w:rsid w:val="00A75400"/>
    <w:rsid w:val="00B705B8"/>
    <w:rsid w:val="00B93A8B"/>
    <w:rsid w:val="00BA6999"/>
    <w:rsid w:val="00F00EA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D9288"/>
  <w15:chartTrackingRefBased/>
  <w15:docId w15:val="{AFA91692-B201-48D7-9571-33EB7066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6D1D98"/>
    <w:pPr>
      <w:spacing w:after="0" w:line="240" w:lineRule="auto"/>
    </w:pPr>
  </w:style>
  <w:style w:type="character" w:styleId="Textoennegrita">
    <w:name w:val="Strong"/>
    <w:basedOn w:val="Fuentedeprrafopredeter"/>
    <w:uiPriority w:val="22"/>
    <w:qFormat/>
    <w:rsid w:val="00B70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93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1579</Words>
  <Characters>8685</Characters>
  <Application>Microsoft Office Word</Application>
  <DocSecurity>0</DocSecurity>
  <Lines>72</Lines>
  <Paragraphs>20</Paragraphs>
  <ScaleCrop>false</ScaleCrop>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JIMMY RODRIGO GUALÁN OVIEDO</dc:creator>
  <cp:keywords/>
  <dc:description/>
  <cp:lastModifiedBy>JIMMY RODRIGO GUALÁN OVIEDO</cp:lastModifiedBy>
  <cp:revision>3</cp:revision>
  <cp:lastPrinted>2026-09-24T23:59:00Z</cp:lastPrinted>
  <dcterms:created xsi:type="dcterms:W3CDTF">2026-09-24T23:48:00Z</dcterms:created>
  <dcterms:modified xsi:type="dcterms:W3CDTF">2026-09-24T23:59:00Z</dcterms:modified>
</cp:coreProperties>
</file>