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40" w:line="240" w:lineRule="auto"/>
      </w:pPr>
      <w:r>
        <w:rPr>
          <w:rFonts w:ascii="Aptos" w:hAnsi="Aptos" w:eastAsia="Aptos"/>
          <w:b/>
          <w:i w:val="0"/>
          <w:color w:val="000000"/>
          <w:sz w:val="46"/>
        </w:rPr>
        <w:t>Four Pixel TPE Authentication Evaluation v2</w:t>
      </w:r>
    </w:p>
    <w:p>
      <w:pPr>
        <w:keepLines/>
        <w:spacing w:before="0" w:after="160" w:line="240" w:lineRule="auto"/>
      </w:pPr>
      <w:r>
        <w:rPr>
          <w:rFonts w:ascii="Aptos" w:hAnsi="Aptos" w:eastAsia="Aptos"/>
          <w:b w:val="0"/>
          <w:i w:val="0"/>
          <w:color w:val="4B5563"/>
          <w:sz w:val="18"/>
        </w:rPr>
        <w:t>Professor facing research report  |  Six image experiment  |  25 October 2026</w:t>
      </w:r>
    </w:p>
    <w:tbl>
      <w:tblPr>
        <w:tblW w:type="auto" w:w="0"/>
        <w:jc w:val="center"/>
        <w:tblLayout w:type="fixed"/>
        <w:tblLook w:firstColumn="1" w:firstRow="1" w:lastColumn="0" w:lastRow="0" w:noHBand="0" w:noVBand="1" w:val="04A0"/>
        <w:tblBorders>
          <w:top w:val="single" w:sz="8" w:space="0" w:color="9FB7D0"/>
          <w:left w:val="single" w:sz="8" w:space="0" w:color="9FB7D0"/>
          <w:bottom w:val="single" w:sz="8" w:space="0" w:color="9FB7D0"/>
          <w:right w:val="single" w:sz="8" w:space="0" w:color="9FB7D0"/>
          <w:insideH w:val="single" w:sz="8" w:space="0" w:color="9FB7D0"/>
          <w:insideV w:val="single" w:sz="8" w:space="0" w:color="9FB7D0"/>
        </w:tblBorders>
      </w:tblPr>
      <w:tblGrid>
        <w:gridCol w:w="10123"/>
      </w:tblGrid>
      <w:tr>
        <w:tc>
          <w:tcPr>
            <w:tcW w:type="dxa" w:w="10080"/>
            <w:shd w:fill="EAF2F9"/>
            <w:tcMar>
              <w:top w:w="120" w:type="dxa"/>
              <w:start w:w="140" w:type="dxa"/>
              <w:bottom w:w="120" w:type="dxa"/>
              <w:end w:w="140" w:type="dxa"/>
            </w:tcMar>
          </w:tcPr>
          <w:p>
            <w:pPr>
              <w:keepLines/>
              <w:spacing w:before="0" w:after="0" w:line="259" w:lineRule="auto"/>
            </w:pPr>
            <w:r>
              <w:rPr>
                <w:rFonts w:ascii="Aptos" w:hAnsi="Aptos" w:eastAsia="Aptos"/>
                <w:b/>
                <w:i w:val="0"/>
                <w:color w:val="17365D"/>
                <w:sz w:val="20"/>
              </w:rPr>
              <w:t xml:space="preserve">Finding. </w:t>
            </w:r>
            <w:r>
              <w:rPr>
                <w:rFonts w:ascii="Aptos" w:hAnsi="Aptos" w:eastAsia="Aptos"/>
                <w:b w:val="0"/>
                <w:i w:val="0"/>
                <w:color w:val="000000"/>
                <w:sz w:val="18"/>
              </w:rPr>
              <w:t>All six saved PNG/sidecar bundles recovered the exact source image and the RDH-carried payload in a fresh interpreter. Each per-channel 32×32 block-mean thumbnail was exactly preserved. Mean full-resolution PSNR between the source and final authenticated ciphertext was 13.21 dB (range 11.28–16.76 dB). This is an adaptation with functional authentication evidence, not a faithful reproduction or a cryptographic security claim.</w:t>
            </w:r>
          </w:p>
        </w:tc>
      </w:tr>
    </w:tbl>
    <w:p>
      <w:pPr>
        <w:keepLines/>
        <w:spacing w:before="140" w:after="60" w:line="240" w:lineRule="auto"/>
      </w:pPr>
      <w:r>
        <w:rPr>
          <w:rFonts w:ascii="Aptos" w:hAnsi="Aptos" w:eastAsia="Aptos"/>
          <w:b/>
          <w:i w:val="0"/>
          <w:color w:val="000000"/>
          <w:sz w:val="26"/>
        </w:rPr>
        <w:t>Six image results</w:t>
      </w:r>
    </w:p>
    <w:tbl>
      <w:tblPr>
        <w:tblW w:type="auto" w:w="0"/>
        <w:jc w:val="center"/>
        <w:tblLayout w:type="fixed"/>
        <w:tblLook w:firstColumn="1" w:firstRow="1" w:lastColumn="0" w:lastRow="0" w:noHBand="0" w:noVBand="1" w:val="04A0"/>
        <w:tblBorders>
          <w:top w:val="single" w:sz="5" w:space="0" w:color="C8D3E0"/>
          <w:left w:val="single" w:sz="5" w:space="0" w:color="C8D3E0"/>
          <w:bottom w:val="single" w:sz="5" w:space="0" w:color="C8D3E0"/>
          <w:right w:val="single" w:sz="5" w:space="0" w:color="C8D3E0"/>
          <w:insideH w:val="single" w:sz="5" w:space="0" w:color="C8D3E0"/>
          <w:insideV w:val="single" w:sz="5" w:space="0" w:color="C8D3E0"/>
        </w:tblBorders>
      </w:tblPr>
      <w:tblGrid>
        <w:gridCol w:w="1687"/>
        <w:gridCol w:w="1687"/>
        <w:gridCol w:w="1687"/>
        <w:gridCol w:w="1687"/>
        <w:gridCol w:w="1687"/>
        <w:gridCol w:w="1687"/>
      </w:tblGrid>
      <w:tr>
        <w:trPr>
          <w:tblHeader w:val="true"/>
          <w:cantSplit/>
        </w:trPr>
        <w:tc>
          <w:tcPr>
            <w:tcW w:type="dxa" w:w="1440"/>
            <w:shd w:fill="DCEAF7"/>
            <w:vAlign w:val="center"/>
            <w:tcMar>
              <w:top w:w="70" w:type="dxa"/>
              <w:start w:w="80" w:type="dxa"/>
              <w:bottom w:w="70" w:type="dxa"/>
              <w:end w:w="80" w:type="dxa"/>
            </w:tcMar>
          </w:tcPr>
          <w:p>
            <w:pPr>
              <w:keepLines/>
              <w:spacing w:before="0" w:after="0" w:line="240" w:lineRule="auto"/>
            </w:pPr>
            <w:r>
              <w:rPr>
                <w:rFonts w:ascii="Aptos" w:hAnsi="Aptos" w:eastAsia="Aptos"/>
                <w:b/>
                <w:i w:val="0"/>
                <w:color w:val="000000"/>
                <w:sz w:val="15"/>
              </w:rPr>
              <w:t>Image</w:t>
            </w:r>
          </w:p>
        </w:tc>
        <w:tc>
          <w:tcPr>
            <w:tcW w:type="dxa" w:w="1296"/>
            <w:shd w:fill="DCEAF7"/>
            <w:vAlign w:val="center"/>
            <w:tcMar>
              <w:top w:w="70" w:type="dxa"/>
              <w:start w:w="80" w:type="dxa"/>
              <w:bottom w:w="70" w:type="dxa"/>
              <w:end w:w="80" w:type="dxa"/>
            </w:tcMar>
          </w:tcPr>
          <w:p>
            <w:pPr>
              <w:keepLines/>
              <w:spacing w:before="0" w:after="0" w:line="240" w:lineRule="auto"/>
              <w:jc w:val="center"/>
            </w:pPr>
            <w:r>
              <w:rPr>
                <w:rFonts w:ascii="Aptos" w:hAnsi="Aptos" w:eastAsia="Aptos"/>
                <w:b/>
                <w:i w:val="0"/>
                <w:color w:val="000000"/>
                <w:sz w:val="15"/>
              </w:rPr>
              <w:t>Full image PSNR</w:t>
              <w:br/>
              <w:t>(dB)</w:t>
            </w:r>
          </w:p>
        </w:tc>
        <w:tc>
          <w:tcPr>
            <w:tcW w:type="dxa" w:w="1468"/>
            <w:shd w:fill="DCEAF7"/>
            <w:vAlign w:val="center"/>
            <w:tcMar>
              <w:top w:w="70" w:type="dxa"/>
              <w:start w:w="80" w:type="dxa"/>
              <w:bottom w:w="70" w:type="dxa"/>
              <w:end w:w="80" w:type="dxa"/>
            </w:tcMar>
          </w:tcPr>
          <w:p>
            <w:pPr>
              <w:keepLines/>
              <w:spacing w:before="0" w:after="0" w:line="240" w:lineRule="auto"/>
              <w:jc w:val="center"/>
            </w:pPr>
            <w:r>
              <w:rPr>
                <w:rFonts w:ascii="Aptos" w:hAnsi="Aptos" w:eastAsia="Aptos"/>
                <w:b/>
                <w:i w:val="0"/>
                <w:color w:val="000000"/>
                <w:sz w:val="15"/>
              </w:rPr>
              <w:t>Full image MSE</w:t>
            </w:r>
          </w:p>
        </w:tc>
        <w:tc>
          <w:tcPr>
            <w:tcW w:type="dxa" w:w="1584"/>
            <w:shd w:fill="DCEAF7"/>
            <w:vAlign w:val="center"/>
            <w:tcMar>
              <w:top w:w="70" w:type="dxa"/>
              <w:start w:w="80" w:type="dxa"/>
              <w:bottom w:w="70" w:type="dxa"/>
              <w:end w:w="80" w:type="dxa"/>
            </w:tcMar>
          </w:tcPr>
          <w:p>
            <w:pPr>
              <w:keepLines/>
              <w:spacing w:before="0" w:after="0" w:line="240" w:lineRule="auto"/>
              <w:jc w:val="center"/>
            </w:pPr>
            <w:r>
              <w:rPr>
                <w:rFonts w:ascii="Aptos" w:hAnsi="Aptos" w:eastAsia="Aptos"/>
                <w:b/>
                <w:i w:val="0"/>
                <w:color w:val="000000"/>
                <w:sz w:val="15"/>
              </w:rPr>
              <w:t>32×32 thumb MSE</w:t>
            </w:r>
          </w:p>
        </w:tc>
        <w:tc>
          <w:tcPr>
            <w:tcW w:type="dxa" w:w="2160"/>
            <w:shd w:fill="DCEAF7"/>
            <w:vAlign w:val="center"/>
            <w:tcMar>
              <w:top w:w="70" w:type="dxa"/>
              <w:start w:w="80" w:type="dxa"/>
              <w:bottom w:w="70" w:type="dxa"/>
              <w:end w:w="80" w:type="dxa"/>
            </w:tcMar>
          </w:tcPr>
          <w:p>
            <w:pPr>
              <w:keepLines/>
              <w:spacing w:before="0" w:after="0" w:line="240" w:lineRule="auto"/>
            </w:pPr>
            <w:r>
              <w:rPr>
                <w:rFonts w:ascii="Aptos" w:hAnsi="Aptos" w:eastAsia="Aptos"/>
                <w:b/>
                <w:i w:val="0"/>
                <w:color w:val="000000"/>
                <w:sz w:val="15"/>
              </w:rPr>
              <w:t>Recovery</w:t>
            </w:r>
          </w:p>
        </w:tc>
        <w:tc>
          <w:tcPr>
            <w:tcW w:type="dxa" w:w="1123"/>
            <w:shd w:fill="DCEAF7"/>
            <w:vAlign w:val="center"/>
            <w:tcMar>
              <w:top w:w="70" w:type="dxa"/>
              <w:start w:w="80" w:type="dxa"/>
              <w:bottom w:w="70" w:type="dxa"/>
              <w:end w:w="80" w:type="dxa"/>
            </w:tcMar>
          </w:tcPr>
          <w:p>
            <w:pPr>
              <w:keepLines/>
              <w:spacing w:before="0" w:after="0" w:line="240" w:lineRule="auto"/>
              <w:jc w:val="center"/>
            </w:pPr>
            <w:r>
              <w:rPr>
                <w:rFonts w:ascii="Aptos" w:hAnsi="Aptos" w:eastAsia="Aptos"/>
                <w:b/>
                <w:i w:val="0"/>
                <w:color w:val="000000"/>
                <w:sz w:val="15"/>
              </w:rPr>
              <w:t>Sidecar</w:t>
              <w:br/>
              <w:t>(MB)</w:t>
            </w:r>
          </w:p>
        </w:tc>
      </w:tr>
      <w:tr>
        <w:trPr>
          <w:cantSplit/>
        </w:trPr>
        <w:tc>
          <w:tcPr>
            <w:tcW w:type="dxa" w:w="1440"/>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5"/>
              </w:rPr>
              <w:t>Airplane</w:t>
            </w:r>
          </w:p>
        </w:tc>
        <w:tc>
          <w:tcPr>
            <w:tcW w:type="dxa" w:w="1296"/>
            <w:tcMar>
              <w:top w:w="70" w:type="dxa"/>
              <w:start w:w="80" w:type="dxa"/>
              <w:bottom w:w="70" w:type="dxa"/>
              <w:end w:w="80" w:type="dxa"/>
            </w:tcMar>
            <w:vAlign w:val="center"/>
          </w:tcPr>
          <w:p>
            <w:pPr>
              <w:keepLines/>
              <w:spacing w:before="0" w:after="0" w:line="240" w:lineRule="auto"/>
              <w:jc w:val="center"/>
            </w:pPr>
            <w:r>
              <w:rPr>
                <w:rFonts w:ascii="Aptos" w:hAnsi="Aptos" w:eastAsia="Aptos"/>
                <w:b w:val="0"/>
                <w:i w:val="0"/>
                <w:color w:val="000000"/>
                <w:sz w:val="15"/>
              </w:rPr>
              <w:t>12.37</w:t>
            </w:r>
          </w:p>
        </w:tc>
        <w:tc>
          <w:tcPr>
            <w:tcW w:type="dxa" w:w="1468"/>
            <w:tcMar>
              <w:top w:w="70" w:type="dxa"/>
              <w:start w:w="80" w:type="dxa"/>
              <w:bottom w:w="70" w:type="dxa"/>
              <w:end w:w="80" w:type="dxa"/>
            </w:tcMar>
            <w:vAlign w:val="center"/>
          </w:tcPr>
          <w:p>
            <w:pPr>
              <w:keepLines/>
              <w:spacing w:before="0" w:after="0" w:line="240" w:lineRule="auto"/>
              <w:jc w:val="center"/>
            </w:pPr>
            <w:r>
              <w:rPr>
                <w:rFonts w:ascii="Aptos" w:hAnsi="Aptos" w:eastAsia="Aptos"/>
                <w:b w:val="0"/>
                <w:i w:val="0"/>
                <w:color w:val="000000"/>
                <w:sz w:val="15"/>
              </w:rPr>
              <w:t>3771.9</w:t>
            </w:r>
          </w:p>
        </w:tc>
        <w:tc>
          <w:tcPr>
            <w:tcW w:type="dxa" w:w="1584"/>
            <w:tcMar>
              <w:top w:w="70" w:type="dxa"/>
              <w:start w:w="80" w:type="dxa"/>
              <w:bottom w:w="70" w:type="dxa"/>
              <w:end w:w="80" w:type="dxa"/>
            </w:tcMar>
            <w:vAlign w:val="center"/>
          </w:tcPr>
          <w:p>
            <w:pPr>
              <w:keepLines/>
              <w:spacing w:before="0" w:after="0" w:line="240" w:lineRule="auto"/>
              <w:jc w:val="center"/>
            </w:pPr>
            <w:r>
              <w:rPr>
                <w:rFonts w:ascii="Aptos" w:hAnsi="Aptos" w:eastAsia="Aptos"/>
                <w:b w:val="0"/>
                <w:i w:val="0"/>
                <w:color w:val="000000"/>
                <w:sz w:val="15"/>
              </w:rPr>
              <w:t>0; exact</w:t>
            </w:r>
          </w:p>
        </w:tc>
        <w:tc>
          <w:tcPr>
            <w:tcW w:type="dxa" w:w="2160"/>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5"/>
              </w:rPr>
              <w:t>Image + payload</w:t>
            </w:r>
          </w:p>
        </w:tc>
        <w:tc>
          <w:tcPr>
            <w:tcW w:type="dxa" w:w="1123"/>
            <w:tcMar>
              <w:top w:w="70" w:type="dxa"/>
              <w:start w:w="80" w:type="dxa"/>
              <w:bottom w:w="70" w:type="dxa"/>
              <w:end w:w="80" w:type="dxa"/>
            </w:tcMar>
            <w:vAlign w:val="center"/>
          </w:tcPr>
          <w:p>
            <w:pPr>
              <w:keepLines/>
              <w:spacing w:before="0" w:after="0" w:line="240" w:lineRule="auto"/>
              <w:jc w:val="center"/>
            </w:pPr>
            <w:r>
              <w:rPr>
                <w:rFonts w:ascii="Aptos" w:hAnsi="Aptos" w:eastAsia="Aptos"/>
                <w:b w:val="0"/>
                <w:i w:val="0"/>
                <w:color w:val="000000"/>
                <w:sz w:val="15"/>
              </w:rPr>
              <w:t>1.20</w:t>
            </w:r>
          </w:p>
        </w:tc>
      </w:tr>
      <w:tr>
        <w:trPr>
          <w:cantSplit/>
        </w:trPr>
        <w:tc>
          <w:tcPr>
            <w:tcW w:type="dxa" w:w="1440"/>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5"/>
              </w:rPr>
              <w:t>Baboon</w:t>
            </w:r>
          </w:p>
        </w:tc>
        <w:tc>
          <w:tcPr>
            <w:tcW w:type="dxa" w:w="1296"/>
            <w:tcMar>
              <w:top w:w="70" w:type="dxa"/>
              <w:start w:w="80" w:type="dxa"/>
              <w:bottom w:w="70" w:type="dxa"/>
              <w:end w:w="80" w:type="dxa"/>
            </w:tcMar>
            <w:vAlign w:val="center"/>
            <w:shd w:fill="F3F7FB"/>
          </w:tcPr>
          <w:p>
            <w:pPr>
              <w:keepLines/>
              <w:spacing w:before="0" w:after="0" w:line="240" w:lineRule="auto"/>
              <w:jc w:val="center"/>
            </w:pPr>
            <w:r>
              <w:rPr>
                <w:rFonts w:ascii="Aptos" w:hAnsi="Aptos" w:eastAsia="Aptos"/>
                <w:b w:val="0"/>
                <w:i w:val="0"/>
                <w:color w:val="000000"/>
                <w:sz w:val="15"/>
              </w:rPr>
              <w:t>11.28</w:t>
            </w:r>
          </w:p>
        </w:tc>
        <w:tc>
          <w:tcPr>
            <w:tcW w:type="dxa" w:w="1468"/>
            <w:tcMar>
              <w:top w:w="70" w:type="dxa"/>
              <w:start w:w="80" w:type="dxa"/>
              <w:bottom w:w="70" w:type="dxa"/>
              <w:end w:w="80" w:type="dxa"/>
            </w:tcMar>
            <w:vAlign w:val="center"/>
            <w:shd w:fill="F3F7FB"/>
          </w:tcPr>
          <w:p>
            <w:pPr>
              <w:keepLines/>
              <w:spacing w:before="0" w:after="0" w:line="240" w:lineRule="auto"/>
              <w:jc w:val="center"/>
            </w:pPr>
            <w:r>
              <w:rPr>
                <w:rFonts w:ascii="Aptos" w:hAnsi="Aptos" w:eastAsia="Aptos"/>
                <w:b w:val="0"/>
                <w:i w:val="0"/>
                <w:color w:val="000000"/>
                <w:sz w:val="15"/>
              </w:rPr>
              <w:t>4840.4</w:t>
            </w:r>
          </w:p>
        </w:tc>
        <w:tc>
          <w:tcPr>
            <w:tcW w:type="dxa" w:w="1584"/>
            <w:tcMar>
              <w:top w:w="70" w:type="dxa"/>
              <w:start w:w="80" w:type="dxa"/>
              <w:bottom w:w="70" w:type="dxa"/>
              <w:end w:w="80" w:type="dxa"/>
            </w:tcMar>
            <w:vAlign w:val="center"/>
            <w:shd w:fill="F3F7FB"/>
          </w:tcPr>
          <w:p>
            <w:pPr>
              <w:keepLines/>
              <w:spacing w:before="0" w:after="0" w:line="240" w:lineRule="auto"/>
              <w:jc w:val="center"/>
            </w:pPr>
            <w:r>
              <w:rPr>
                <w:rFonts w:ascii="Aptos" w:hAnsi="Aptos" w:eastAsia="Aptos"/>
                <w:b w:val="0"/>
                <w:i w:val="0"/>
                <w:color w:val="000000"/>
                <w:sz w:val="15"/>
              </w:rPr>
              <w:t>0; exact</w:t>
            </w:r>
          </w:p>
        </w:tc>
        <w:tc>
          <w:tcPr>
            <w:tcW w:type="dxa" w:w="2160"/>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5"/>
              </w:rPr>
              <w:t>Image + payload</w:t>
            </w:r>
          </w:p>
        </w:tc>
        <w:tc>
          <w:tcPr>
            <w:tcW w:type="dxa" w:w="1123"/>
            <w:tcMar>
              <w:top w:w="70" w:type="dxa"/>
              <w:start w:w="80" w:type="dxa"/>
              <w:bottom w:w="70" w:type="dxa"/>
              <w:end w:w="80" w:type="dxa"/>
            </w:tcMar>
            <w:vAlign w:val="center"/>
            <w:shd w:fill="F3F7FB"/>
          </w:tcPr>
          <w:p>
            <w:pPr>
              <w:keepLines/>
              <w:spacing w:before="0" w:after="0" w:line="240" w:lineRule="auto"/>
              <w:jc w:val="center"/>
            </w:pPr>
            <w:r>
              <w:rPr>
                <w:rFonts w:ascii="Aptos" w:hAnsi="Aptos" w:eastAsia="Aptos"/>
                <w:b w:val="0"/>
                <w:i w:val="0"/>
                <w:color w:val="000000"/>
                <w:sz w:val="15"/>
              </w:rPr>
              <w:t>1.20</w:t>
            </w:r>
          </w:p>
        </w:tc>
      </w:tr>
      <w:tr>
        <w:trPr>
          <w:cantSplit/>
        </w:trPr>
        <w:tc>
          <w:tcPr>
            <w:tcW w:type="dxa" w:w="1440"/>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5"/>
              </w:rPr>
              <w:t>Couple</w:t>
            </w:r>
          </w:p>
        </w:tc>
        <w:tc>
          <w:tcPr>
            <w:tcW w:type="dxa" w:w="1296"/>
            <w:tcMar>
              <w:top w:w="70" w:type="dxa"/>
              <w:start w:w="80" w:type="dxa"/>
              <w:bottom w:w="70" w:type="dxa"/>
              <w:end w:w="80" w:type="dxa"/>
            </w:tcMar>
            <w:vAlign w:val="center"/>
          </w:tcPr>
          <w:p>
            <w:pPr>
              <w:keepLines/>
              <w:spacing w:before="0" w:after="0" w:line="240" w:lineRule="auto"/>
              <w:jc w:val="center"/>
            </w:pPr>
            <w:r>
              <w:rPr>
                <w:rFonts w:ascii="Aptos" w:hAnsi="Aptos" w:eastAsia="Aptos"/>
                <w:b w:val="0"/>
                <w:i w:val="0"/>
                <w:color w:val="000000"/>
                <w:sz w:val="15"/>
              </w:rPr>
              <w:t>16.76</w:t>
            </w:r>
          </w:p>
        </w:tc>
        <w:tc>
          <w:tcPr>
            <w:tcW w:type="dxa" w:w="1468"/>
            <w:tcMar>
              <w:top w:w="70" w:type="dxa"/>
              <w:start w:w="80" w:type="dxa"/>
              <w:bottom w:w="70" w:type="dxa"/>
              <w:end w:w="80" w:type="dxa"/>
            </w:tcMar>
            <w:vAlign w:val="center"/>
          </w:tcPr>
          <w:p>
            <w:pPr>
              <w:keepLines/>
              <w:spacing w:before="0" w:after="0" w:line="240" w:lineRule="auto"/>
              <w:jc w:val="center"/>
            </w:pPr>
            <w:r>
              <w:rPr>
                <w:rFonts w:ascii="Aptos" w:hAnsi="Aptos" w:eastAsia="Aptos"/>
                <w:b w:val="0"/>
                <w:i w:val="0"/>
                <w:color w:val="000000"/>
                <w:sz w:val="15"/>
              </w:rPr>
              <w:t>1371.9</w:t>
            </w:r>
          </w:p>
        </w:tc>
        <w:tc>
          <w:tcPr>
            <w:tcW w:type="dxa" w:w="1584"/>
            <w:tcMar>
              <w:top w:w="70" w:type="dxa"/>
              <w:start w:w="80" w:type="dxa"/>
              <w:bottom w:w="70" w:type="dxa"/>
              <w:end w:w="80" w:type="dxa"/>
            </w:tcMar>
            <w:vAlign w:val="center"/>
          </w:tcPr>
          <w:p>
            <w:pPr>
              <w:keepLines/>
              <w:spacing w:before="0" w:after="0" w:line="240" w:lineRule="auto"/>
              <w:jc w:val="center"/>
            </w:pPr>
            <w:r>
              <w:rPr>
                <w:rFonts w:ascii="Aptos" w:hAnsi="Aptos" w:eastAsia="Aptos"/>
                <w:b w:val="0"/>
                <w:i w:val="0"/>
                <w:color w:val="000000"/>
                <w:sz w:val="15"/>
              </w:rPr>
              <w:t>0; exact</w:t>
            </w:r>
          </w:p>
        </w:tc>
        <w:tc>
          <w:tcPr>
            <w:tcW w:type="dxa" w:w="2160"/>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5"/>
              </w:rPr>
              <w:t>Image + payload</w:t>
            </w:r>
          </w:p>
        </w:tc>
        <w:tc>
          <w:tcPr>
            <w:tcW w:type="dxa" w:w="1123"/>
            <w:tcMar>
              <w:top w:w="70" w:type="dxa"/>
              <w:start w:w="80" w:type="dxa"/>
              <w:bottom w:w="70" w:type="dxa"/>
              <w:end w:w="80" w:type="dxa"/>
            </w:tcMar>
            <w:vAlign w:val="center"/>
          </w:tcPr>
          <w:p>
            <w:pPr>
              <w:keepLines/>
              <w:spacing w:before="0" w:after="0" w:line="240" w:lineRule="auto"/>
              <w:jc w:val="center"/>
            </w:pPr>
            <w:r>
              <w:rPr>
                <w:rFonts w:ascii="Aptos" w:hAnsi="Aptos" w:eastAsia="Aptos"/>
                <w:b w:val="0"/>
                <w:i w:val="0"/>
                <w:color w:val="000000"/>
                <w:sz w:val="15"/>
              </w:rPr>
              <w:t>1.15</w:t>
            </w:r>
          </w:p>
        </w:tc>
      </w:tr>
      <w:tr>
        <w:trPr>
          <w:cantSplit/>
        </w:trPr>
        <w:tc>
          <w:tcPr>
            <w:tcW w:type="dxa" w:w="1440"/>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5"/>
              </w:rPr>
              <w:t>Girl</w:t>
            </w:r>
          </w:p>
        </w:tc>
        <w:tc>
          <w:tcPr>
            <w:tcW w:type="dxa" w:w="1296"/>
            <w:tcMar>
              <w:top w:w="70" w:type="dxa"/>
              <w:start w:w="80" w:type="dxa"/>
              <w:bottom w:w="70" w:type="dxa"/>
              <w:end w:w="80" w:type="dxa"/>
            </w:tcMar>
            <w:vAlign w:val="center"/>
            <w:shd w:fill="F3F7FB"/>
          </w:tcPr>
          <w:p>
            <w:pPr>
              <w:keepLines/>
              <w:spacing w:before="0" w:after="0" w:line="240" w:lineRule="auto"/>
              <w:jc w:val="center"/>
            </w:pPr>
            <w:r>
              <w:rPr>
                <w:rFonts w:ascii="Aptos" w:hAnsi="Aptos" w:eastAsia="Aptos"/>
                <w:b w:val="0"/>
                <w:i w:val="0"/>
                <w:color w:val="000000"/>
                <w:sz w:val="15"/>
              </w:rPr>
              <w:t>14.55</w:t>
            </w:r>
          </w:p>
        </w:tc>
        <w:tc>
          <w:tcPr>
            <w:tcW w:type="dxa" w:w="1468"/>
            <w:tcMar>
              <w:top w:w="70" w:type="dxa"/>
              <w:start w:w="80" w:type="dxa"/>
              <w:bottom w:w="70" w:type="dxa"/>
              <w:end w:w="80" w:type="dxa"/>
            </w:tcMar>
            <w:vAlign w:val="center"/>
            <w:shd w:fill="F3F7FB"/>
          </w:tcPr>
          <w:p>
            <w:pPr>
              <w:keepLines/>
              <w:spacing w:before="0" w:after="0" w:line="240" w:lineRule="auto"/>
              <w:jc w:val="center"/>
            </w:pPr>
            <w:r>
              <w:rPr>
                <w:rFonts w:ascii="Aptos" w:hAnsi="Aptos" w:eastAsia="Aptos"/>
                <w:b w:val="0"/>
                <w:i w:val="0"/>
                <w:color w:val="000000"/>
                <w:sz w:val="15"/>
              </w:rPr>
              <w:t>2280.9</w:t>
            </w:r>
          </w:p>
        </w:tc>
        <w:tc>
          <w:tcPr>
            <w:tcW w:type="dxa" w:w="1584"/>
            <w:tcMar>
              <w:top w:w="70" w:type="dxa"/>
              <w:start w:w="80" w:type="dxa"/>
              <w:bottom w:w="70" w:type="dxa"/>
              <w:end w:w="80" w:type="dxa"/>
            </w:tcMar>
            <w:vAlign w:val="center"/>
            <w:shd w:fill="F3F7FB"/>
          </w:tcPr>
          <w:p>
            <w:pPr>
              <w:keepLines/>
              <w:spacing w:before="0" w:after="0" w:line="240" w:lineRule="auto"/>
              <w:jc w:val="center"/>
            </w:pPr>
            <w:r>
              <w:rPr>
                <w:rFonts w:ascii="Aptos" w:hAnsi="Aptos" w:eastAsia="Aptos"/>
                <w:b w:val="0"/>
                <w:i w:val="0"/>
                <w:color w:val="000000"/>
                <w:sz w:val="15"/>
              </w:rPr>
              <w:t>0; exact</w:t>
            </w:r>
          </w:p>
        </w:tc>
        <w:tc>
          <w:tcPr>
            <w:tcW w:type="dxa" w:w="2160"/>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5"/>
              </w:rPr>
              <w:t>Image + payload</w:t>
            </w:r>
          </w:p>
        </w:tc>
        <w:tc>
          <w:tcPr>
            <w:tcW w:type="dxa" w:w="1123"/>
            <w:tcMar>
              <w:top w:w="70" w:type="dxa"/>
              <w:start w:w="80" w:type="dxa"/>
              <w:bottom w:w="70" w:type="dxa"/>
              <w:end w:w="80" w:type="dxa"/>
            </w:tcMar>
            <w:vAlign w:val="center"/>
            <w:shd w:fill="F3F7FB"/>
          </w:tcPr>
          <w:p>
            <w:pPr>
              <w:keepLines/>
              <w:spacing w:before="0" w:after="0" w:line="240" w:lineRule="auto"/>
              <w:jc w:val="center"/>
            </w:pPr>
            <w:r>
              <w:rPr>
                <w:rFonts w:ascii="Aptos" w:hAnsi="Aptos" w:eastAsia="Aptos"/>
                <w:b w:val="0"/>
                <w:i w:val="0"/>
                <w:color w:val="000000"/>
                <w:sz w:val="15"/>
              </w:rPr>
              <w:t>1.17</w:t>
            </w:r>
          </w:p>
        </w:tc>
      </w:tr>
      <w:tr>
        <w:trPr>
          <w:cantSplit/>
        </w:trPr>
        <w:tc>
          <w:tcPr>
            <w:tcW w:type="dxa" w:w="1440"/>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5"/>
              </w:rPr>
              <w:t>Lena</w:t>
            </w:r>
          </w:p>
        </w:tc>
        <w:tc>
          <w:tcPr>
            <w:tcW w:type="dxa" w:w="1296"/>
            <w:tcMar>
              <w:top w:w="70" w:type="dxa"/>
              <w:start w:w="80" w:type="dxa"/>
              <w:bottom w:w="70" w:type="dxa"/>
              <w:end w:w="80" w:type="dxa"/>
            </w:tcMar>
            <w:vAlign w:val="center"/>
          </w:tcPr>
          <w:p>
            <w:pPr>
              <w:keepLines/>
              <w:spacing w:before="0" w:after="0" w:line="240" w:lineRule="auto"/>
              <w:jc w:val="center"/>
            </w:pPr>
            <w:r>
              <w:rPr>
                <w:rFonts w:ascii="Aptos" w:hAnsi="Aptos" w:eastAsia="Aptos"/>
                <w:b w:val="0"/>
                <w:i w:val="0"/>
                <w:color w:val="000000"/>
                <w:sz w:val="15"/>
              </w:rPr>
              <w:t>12.29</w:t>
            </w:r>
          </w:p>
        </w:tc>
        <w:tc>
          <w:tcPr>
            <w:tcW w:type="dxa" w:w="1468"/>
            <w:tcMar>
              <w:top w:w="70" w:type="dxa"/>
              <w:start w:w="80" w:type="dxa"/>
              <w:bottom w:w="70" w:type="dxa"/>
              <w:end w:w="80" w:type="dxa"/>
            </w:tcMar>
            <w:vAlign w:val="center"/>
          </w:tcPr>
          <w:p>
            <w:pPr>
              <w:keepLines/>
              <w:spacing w:before="0" w:after="0" w:line="240" w:lineRule="auto"/>
              <w:jc w:val="center"/>
            </w:pPr>
            <w:r>
              <w:rPr>
                <w:rFonts w:ascii="Aptos" w:hAnsi="Aptos" w:eastAsia="Aptos"/>
                <w:b w:val="0"/>
                <w:i w:val="0"/>
                <w:color w:val="000000"/>
                <w:sz w:val="15"/>
              </w:rPr>
              <w:t>3835.9</w:t>
            </w:r>
          </w:p>
        </w:tc>
        <w:tc>
          <w:tcPr>
            <w:tcW w:type="dxa" w:w="1584"/>
            <w:tcMar>
              <w:top w:w="70" w:type="dxa"/>
              <w:start w:w="80" w:type="dxa"/>
              <w:bottom w:w="70" w:type="dxa"/>
              <w:end w:w="80" w:type="dxa"/>
            </w:tcMar>
            <w:vAlign w:val="center"/>
          </w:tcPr>
          <w:p>
            <w:pPr>
              <w:keepLines/>
              <w:spacing w:before="0" w:after="0" w:line="240" w:lineRule="auto"/>
              <w:jc w:val="center"/>
            </w:pPr>
            <w:r>
              <w:rPr>
                <w:rFonts w:ascii="Aptos" w:hAnsi="Aptos" w:eastAsia="Aptos"/>
                <w:b w:val="0"/>
                <w:i w:val="0"/>
                <w:color w:val="000000"/>
                <w:sz w:val="15"/>
              </w:rPr>
              <w:t>0; exact</w:t>
            </w:r>
          </w:p>
        </w:tc>
        <w:tc>
          <w:tcPr>
            <w:tcW w:type="dxa" w:w="2160"/>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5"/>
              </w:rPr>
              <w:t>Image + payload</w:t>
            </w:r>
          </w:p>
        </w:tc>
        <w:tc>
          <w:tcPr>
            <w:tcW w:type="dxa" w:w="1123"/>
            <w:tcMar>
              <w:top w:w="70" w:type="dxa"/>
              <w:start w:w="80" w:type="dxa"/>
              <w:bottom w:w="70" w:type="dxa"/>
              <w:end w:w="80" w:type="dxa"/>
            </w:tcMar>
            <w:vAlign w:val="center"/>
          </w:tcPr>
          <w:p>
            <w:pPr>
              <w:keepLines/>
              <w:spacing w:before="0" w:after="0" w:line="240" w:lineRule="auto"/>
              <w:jc w:val="center"/>
            </w:pPr>
            <w:r>
              <w:rPr>
                <w:rFonts w:ascii="Aptos" w:hAnsi="Aptos" w:eastAsia="Aptos"/>
                <w:b w:val="0"/>
                <w:i w:val="0"/>
                <w:color w:val="000000"/>
                <w:sz w:val="15"/>
              </w:rPr>
              <w:t>1.20</w:t>
            </w:r>
          </w:p>
        </w:tc>
      </w:tr>
      <w:tr>
        <w:trPr>
          <w:cantSplit/>
        </w:trPr>
        <w:tc>
          <w:tcPr>
            <w:tcW w:type="dxa" w:w="1440"/>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5"/>
              </w:rPr>
              <w:t>Peppers</w:t>
            </w:r>
          </w:p>
        </w:tc>
        <w:tc>
          <w:tcPr>
            <w:tcW w:type="dxa" w:w="1296"/>
            <w:tcMar>
              <w:top w:w="70" w:type="dxa"/>
              <w:start w:w="80" w:type="dxa"/>
              <w:bottom w:w="70" w:type="dxa"/>
              <w:end w:w="80" w:type="dxa"/>
            </w:tcMar>
            <w:vAlign w:val="center"/>
            <w:shd w:fill="F3F7FB"/>
          </w:tcPr>
          <w:p>
            <w:pPr>
              <w:keepLines/>
              <w:spacing w:before="0" w:after="0" w:line="240" w:lineRule="auto"/>
              <w:jc w:val="center"/>
            </w:pPr>
            <w:r>
              <w:rPr>
                <w:rFonts w:ascii="Aptos" w:hAnsi="Aptos" w:eastAsia="Aptos"/>
                <w:b w:val="0"/>
                <w:i w:val="0"/>
                <w:color w:val="000000"/>
                <w:sz w:val="15"/>
              </w:rPr>
              <w:t>11.99</w:t>
            </w:r>
          </w:p>
        </w:tc>
        <w:tc>
          <w:tcPr>
            <w:tcW w:type="dxa" w:w="1468"/>
            <w:tcMar>
              <w:top w:w="70" w:type="dxa"/>
              <w:start w:w="80" w:type="dxa"/>
              <w:bottom w:w="70" w:type="dxa"/>
              <w:end w:w="80" w:type="dxa"/>
            </w:tcMar>
            <w:vAlign w:val="center"/>
            <w:shd w:fill="F3F7FB"/>
          </w:tcPr>
          <w:p>
            <w:pPr>
              <w:keepLines/>
              <w:spacing w:before="0" w:after="0" w:line="240" w:lineRule="auto"/>
              <w:jc w:val="center"/>
            </w:pPr>
            <w:r>
              <w:rPr>
                <w:rFonts w:ascii="Aptos" w:hAnsi="Aptos" w:eastAsia="Aptos"/>
                <w:b w:val="0"/>
                <w:i w:val="0"/>
                <w:color w:val="000000"/>
                <w:sz w:val="15"/>
              </w:rPr>
              <w:t>4111.3</w:t>
            </w:r>
          </w:p>
        </w:tc>
        <w:tc>
          <w:tcPr>
            <w:tcW w:type="dxa" w:w="1584"/>
            <w:tcMar>
              <w:top w:w="70" w:type="dxa"/>
              <w:start w:w="80" w:type="dxa"/>
              <w:bottom w:w="70" w:type="dxa"/>
              <w:end w:w="80" w:type="dxa"/>
            </w:tcMar>
            <w:vAlign w:val="center"/>
            <w:shd w:fill="F3F7FB"/>
          </w:tcPr>
          <w:p>
            <w:pPr>
              <w:keepLines/>
              <w:spacing w:before="0" w:after="0" w:line="240" w:lineRule="auto"/>
              <w:jc w:val="center"/>
            </w:pPr>
            <w:r>
              <w:rPr>
                <w:rFonts w:ascii="Aptos" w:hAnsi="Aptos" w:eastAsia="Aptos"/>
                <w:b w:val="0"/>
                <w:i w:val="0"/>
                <w:color w:val="000000"/>
                <w:sz w:val="15"/>
              </w:rPr>
              <w:t>0; exact</w:t>
            </w:r>
          </w:p>
        </w:tc>
        <w:tc>
          <w:tcPr>
            <w:tcW w:type="dxa" w:w="2160"/>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5"/>
              </w:rPr>
              <w:t>Image + payload</w:t>
            </w:r>
          </w:p>
        </w:tc>
        <w:tc>
          <w:tcPr>
            <w:tcW w:type="dxa" w:w="1123"/>
            <w:tcMar>
              <w:top w:w="70" w:type="dxa"/>
              <w:start w:w="80" w:type="dxa"/>
              <w:bottom w:w="70" w:type="dxa"/>
              <w:end w:w="80" w:type="dxa"/>
            </w:tcMar>
            <w:vAlign w:val="center"/>
            <w:shd w:fill="F3F7FB"/>
          </w:tcPr>
          <w:p>
            <w:pPr>
              <w:keepLines/>
              <w:spacing w:before="0" w:after="0" w:line="240" w:lineRule="auto"/>
              <w:jc w:val="center"/>
            </w:pPr>
            <w:r>
              <w:rPr>
                <w:rFonts w:ascii="Aptos" w:hAnsi="Aptos" w:eastAsia="Aptos"/>
                <w:b w:val="0"/>
                <w:i w:val="0"/>
                <w:color w:val="000000"/>
                <w:sz w:val="15"/>
              </w:rPr>
              <w:t>1.19</w:t>
            </w:r>
          </w:p>
        </w:tc>
      </w:tr>
    </w:tbl>
    <w:p>
      <w:pPr>
        <w:keepLines/>
        <w:spacing w:before="0" w:after="60" w:line="252" w:lineRule="auto"/>
      </w:pPr>
      <w:r>
        <w:rPr>
          <w:rFonts w:ascii="Aptos" w:hAnsi="Aptos" w:eastAsia="Aptos"/>
          <w:b w:val="0"/>
          <w:i w:val="0"/>
          <w:color w:val="000000"/>
          <w:sz w:val="16"/>
        </w:rPr>
        <w:t>Full image PSNR is 10 log10(255²/MSE), with MSE averaged over all pixels and RGB samples in the original versus final authenticated ciphertext. The aggregate is the arithmetic mean of the six per-image PSNRs. Thumbnail MSE is computed over the 16×16×3 array of per-channel 32×32 block means; zero MSE means exact equality and PSNR +∞. Thumbnail preservation is not inferred from full-image PSNR.</w:t>
      </w:r>
    </w:p>
    <w:p>
      <w:pPr>
        <w:keepLines/>
        <w:spacing w:before="0" w:after="0" w:line="252" w:lineRule="auto"/>
      </w:pPr>
      <w:r>
        <w:rPr>
          <w:rFonts w:ascii="Aptos" w:hAnsi="Aptos" w:eastAsia="Aptos"/>
          <w:b w:val="0"/>
          <w:i w:val="0"/>
          <w:color w:val="000000"/>
          <w:sz w:val="16"/>
        </w:rPr>
        <w:t>Sidecars average 1.185 MB (1,150,828–1,200,453 bytes). This is about 1.51× the 786,432-byte uncompressed 512×512 RGB source, so metadata overhead remains substantial.</w:t>
      </w:r>
    </w:p>
    <w:p>
      <w:r>
        <w:br w:type="page"/>
      </w:r>
    </w:p>
    <w:p>
      <w:pPr>
        <w:keepLines/>
        <w:spacing w:before="140" w:after="60" w:line="240" w:lineRule="auto"/>
      </w:pPr>
      <w:r>
        <w:rPr>
          <w:rFonts w:ascii="Aptos" w:hAnsi="Aptos" w:eastAsia="Aptos"/>
          <w:b/>
          <w:i w:val="0"/>
          <w:color w:val="000000"/>
          <w:sz w:val="26"/>
        </w:rPr>
        <w:t>Method and source fidelity</w:t>
      </w:r>
    </w:p>
    <w:p>
      <w:pPr>
        <w:keepLines/>
        <w:spacing w:before="0" w:after="100" w:line="252" w:lineRule="auto"/>
      </w:pPr>
      <w:r>
        <w:rPr>
          <w:rFonts w:ascii="Aptos" w:hAnsi="Aptos" w:eastAsia="Aptos"/>
          <w:b w:val="0"/>
          <w:i w:val="0"/>
          <w:color w:val="000000"/>
          <w:sz w:val="17"/>
        </w:rPr>
        <w:t>The pipeline combines the paper’s sequential four-pixel sum-preserving transform with the repository’s existing 32×32 TPE and proposed authentication stages. The six test inputs are the saved 512×512 UCT RGB images.</w:t>
      </w:r>
    </w:p>
    <w:tbl>
      <w:tblPr>
        <w:tblW w:type="auto" w:w="0"/>
        <w:jc w:val="center"/>
        <w:tblLayout w:type="fixed"/>
        <w:tblLook w:firstColumn="1" w:firstRow="1" w:lastColumn="0" w:lastRow="0" w:noHBand="0" w:noVBand="1" w:val="04A0"/>
        <w:tblBorders>
          <w:top w:val="single" w:sz="5" w:space="0" w:color="B8C7D8"/>
          <w:left w:val="single" w:sz="5" w:space="0" w:color="B8C7D8"/>
          <w:bottom w:val="single" w:sz="5" w:space="0" w:color="B8C7D8"/>
          <w:right w:val="single" w:sz="5" w:space="0" w:color="B8C7D8"/>
          <w:insideH w:val="single" w:sz="5" w:space="0" w:color="B8C7D8"/>
          <w:insideV w:val="single" w:sz="5" w:space="0" w:color="B8C7D8"/>
        </w:tblBorders>
      </w:tblPr>
      <w:tblGrid>
        <w:gridCol w:w="2025"/>
        <w:gridCol w:w="2025"/>
        <w:gridCol w:w="2025"/>
        <w:gridCol w:w="2025"/>
        <w:gridCol w:w="2025"/>
      </w:tblGrid>
      <w:tr>
        <w:trPr>
          <w:cantSplit/>
        </w:trPr>
        <w:tc>
          <w:tcPr>
            <w:tcW w:type="dxa" w:w="2015"/>
            <w:shd w:fill="EAF2F9"/>
            <w:tcMar>
              <w:top w:w="100" w:type="dxa"/>
              <w:start w:w="60" w:type="dxa"/>
              <w:bottom w:w="100" w:type="dxa"/>
              <w:end w:w="60" w:type="dxa"/>
            </w:tcMar>
            <w:vAlign w:val="center"/>
          </w:tcPr>
          <w:p>
            <w:pPr>
              <w:keepLines/>
              <w:spacing w:before="0" w:after="40" w:line="240" w:lineRule="auto"/>
              <w:jc w:val="center"/>
            </w:pPr>
            <w:r>
              <w:rPr>
                <w:rFonts w:ascii="Aptos" w:hAnsi="Aptos" w:eastAsia="Aptos"/>
                <w:b/>
                <w:i w:val="0"/>
                <w:color w:val="17365D"/>
                <w:sz w:val="16"/>
              </w:rPr>
              <w:t>Block permutation</w:t>
            </w:r>
          </w:p>
          <w:p>
            <w:pPr>
              <w:keepLines/>
              <w:spacing w:before="0" w:after="0" w:line="240" w:lineRule="auto"/>
              <w:jc w:val="center"/>
            </w:pPr>
            <w:r>
              <w:rPr>
                <w:rFonts w:ascii="Aptos" w:hAnsi="Aptos" w:eastAsia="Aptos"/>
                <w:b w:val="0"/>
                <w:i w:val="0"/>
                <w:color w:val="000000"/>
                <w:sz w:val="14"/>
              </w:rPr>
              <w:t>Repository 2D-CSM</w:t>
            </w:r>
          </w:p>
        </w:tc>
        <w:tc>
          <w:tcPr>
            <w:tcW w:type="dxa" w:w="2015"/>
            <w:shd w:fill="F4F7FA"/>
            <w:tcMar>
              <w:top w:w="100" w:type="dxa"/>
              <w:start w:w="60" w:type="dxa"/>
              <w:bottom w:w="100" w:type="dxa"/>
              <w:end w:w="60" w:type="dxa"/>
            </w:tcMar>
            <w:vAlign w:val="center"/>
          </w:tcPr>
          <w:p>
            <w:pPr>
              <w:keepLines/>
              <w:spacing w:before="0" w:after="40" w:line="240" w:lineRule="auto"/>
              <w:jc w:val="center"/>
            </w:pPr>
            <w:r>
              <w:rPr>
                <w:rFonts w:ascii="Aptos" w:hAnsi="Aptos" w:eastAsia="Aptos"/>
                <w:b/>
                <w:i w:val="0"/>
                <w:color w:val="17365D"/>
                <w:sz w:val="16"/>
              </w:rPr>
              <w:t>Native RDH</w:t>
            </w:r>
          </w:p>
          <w:p>
            <w:pPr>
              <w:keepLines/>
              <w:spacing w:before="0" w:after="0" w:line="240" w:lineRule="auto"/>
              <w:jc w:val="center"/>
            </w:pPr>
            <w:r>
              <w:rPr>
                <w:rFonts w:ascii="Aptos" w:hAnsi="Aptos" w:eastAsia="Aptos"/>
                <w:b w:val="0"/>
                <w:i w:val="0"/>
                <w:color w:val="000000"/>
                <w:sz w:val="14"/>
              </w:rPr>
              <w:t>3 channel HMAC tags; payload in red</w:t>
            </w:r>
          </w:p>
        </w:tc>
        <w:tc>
          <w:tcPr>
            <w:tcW w:type="dxa" w:w="2015"/>
            <w:shd w:fill="EAF2F9"/>
            <w:tcMar>
              <w:top w:w="100" w:type="dxa"/>
              <w:start w:w="60" w:type="dxa"/>
              <w:bottom w:w="100" w:type="dxa"/>
              <w:end w:w="60" w:type="dxa"/>
            </w:tcMar>
            <w:vAlign w:val="center"/>
          </w:tcPr>
          <w:p>
            <w:pPr>
              <w:keepLines/>
              <w:spacing w:before="0" w:after="40" w:line="240" w:lineRule="auto"/>
              <w:jc w:val="center"/>
            </w:pPr>
            <w:r>
              <w:rPr>
                <w:rFonts w:ascii="Aptos" w:hAnsi="Aptos" w:eastAsia="Aptos"/>
                <w:b/>
                <w:i w:val="0"/>
                <w:color w:val="17365D"/>
                <w:sz w:val="16"/>
              </w:rPr>
              <w:t>Four-pixel SPE</w:t>
            </w:r>
          </w:p>
          <w:p>
            <w:pPr>
              <w:keepLines/>
              <w:spacing w:before="0" w:after="0" w:line="240" w:lineRule="auto"/>
              <w:jc w:val="center"/>
            </w:pPr>
            <w:r>
              <w:rPr>
                <w:rFonts w:ascii="Aptos" w:hAnsi="Aptos" w:eastAsia="Aptos"/>
                <w:b w:val="0"/>
                <w:i w:val="0"/>
                <w:color w:val="000000"/>
                <w:sz w:val="14"/>
              </w:rPr>
              <w:t>Sequential row-major tuples</w:t>
            </w:r>
          </w:p>
        </w:tc>
        <w:tc>
          <w:tcPr>
            <w:tcW w:type="dxa" w:w="2015"/>
            <w:shd w:fill="F4F7FA"/>
            <w:tcMar>
              <w:top w:w="100" w:type="dxa"/>
              <w:start w:w="60" w:type="dxa"/>
              <w:bottom w:w="100" w:type="dxa"/>
              <w:end w:w="60" w:type="dxa"/>
            </w:tcMar>
            <w:vAlign w:val="center"/>
          </w:tcPr>
          <w:p>
            <w:pPr>
              <w:keepLines/>
              <w:spacing w:before="0" w:after="40" w:line="240" w:lineRule="auto"/>
              <w:jc w:val="center"/>
            </w:pPr>
            <w:r>
              <w:rPr>
                <w:rFonts w:ascii="Aptos" w:hAnsi="Aptos" w:eastAsia="Aptos"/>
                <w:b/>
                <w:i w:val="0"/>
                <w:color w:val="17365D"/>
                <w:sz w:val="16"/>
              </w:rPr>
              <w:t>Group authentication</w:t>
            </w:r>
          </w:p>
          <w:p>
            <w:pPr>
              <w:keepLines/>
              <w:spacing w:before="0" w:after="0" w:line="240" w:lineRule="auto"/>
              <w:jc w:val="center"/>
            </w:pPr>
            <w:r>
              <w:rPr>
                <w:rFonts w:ascii="Aptos" w:hAnsi="Aptos" w:eastAsia="Aptos"/>
                <w:b w:val="0"/>
                <w:i w:val="0"/>
                <w:color w:val="000000"/>
                <w:sz w:val="14"/>
              </w:rPr>
              <w:t>HMAC-SHA256 + reversible RCM</w:t>
            </w:r>
          </w:p>
        </w:tc>
        <w:tc>
          <w:tcPr>
            <w:tcW w:type="dxa" w:w="2015"/>
            <w:shd w:fill="EAF2F9"/>
            <w:tcMar>
              <w:top w:w="100" w:type="dxa"/>
              <w:start w:w="60" w:type="dxa"/>
              <w:bottom w:w="100" w:type="dxa"/>
              <w:end w:w="60" w:type="dxa"/>
            </w:tcMar>
            <w:vAlign w:val="center"/>
          </w:tcPr>
          <w:p>
            <w:pPr>
              <w:keepLines/>
              <w:spacing w:before="0" w:after="40" w:line="240" w:lineRule="auto"/>
              <w:jc w:val="center"/>
            </w:pPr>
            <w:r>
              <w:rPr>
                <w:rFonts w:ascii="Aptos" w:hAnsi="Aptos" w:eastAsia="Aptos"/>
                <w:b/>
                <w:i w:val="0"/>
                <w:color w:val="17365D"/>
                <w:sz w:val="16"/>
              </w:rPr>
              <w:t>Thumbnail correction</w:t>
            </w:r>
          </w:p>
          <w:p>
            <w:pPr>
              <w:keepLines/>
              <w:spacing w:before="0" w:after="0" w:line="240" w:lineRule="auto"/>
              <w:jc w:val="center"/>
            </w:pPr>
            <w:r>
              <w:rPr>
                <w:rFonts w:ascii="Aptos" w:hAnsi="Aptos" w:eastAsia="Aptos"/>
                <w:b w:val="0"/>
                <w:i w:val="0"/>
                <w:color w:val="000000"/>
                <w:sz w:val="14"/>
              </w:rPr>
              <w:t>Restore each 32×32 block sum</w:t>
            </w:r>
          </w:p>
        </w:tc>
      </w:tr>
    </w:tbl>
    <w:p>
      <w:pPr>
        <w:keepLines/>
        <w:spacing w:before="140" w:after="60" w:line="240" w:lineRule="auto"/>
      </w:pPr>
      <w:r>
        <w:rPr>
          <w:rFonts w:ascii="Aptos" w:hAnsi="Aptos" w:eastAsia="Aptos"/>
          <w:b/>
          <w:i w:val="0"/>
          <w:color w:val="000000"/>
          <w:sz w:val="26"/>
        </w:rPr>
        <w:t>Equation audit</w:t>
      </w:r>
    </w:p>
    <w:p>
      <w:pPr>
        <w:keepLines/>
        <w:spacing w:before="0" w:after="60" w:line="252" w:lineRule="auto"/>
      </w:pPr>
      <w:r>
        <w:rPr>
          <w:rFonts w:ascii="Aptos" w:hAnsi="Aptos" w:eastAsia="Aptos"/>
          <w:b w:val="0"/>
          <w:i w:val="0"/>
          <w:color w:val="000000"/>
          <w:sz w:val="16"/>
        </w:rPr>
        <w:t>Tuple order: the source describes sequential groups (a,b,c,d); code flattens each block row-major and processes consecutive groups of four. A 32×32 block has 1,024 samples, so this run has no partial groups.</w:t>
      </w:r>
    </w:p>
    <w:p>
      <w:pPr>
        <w:keepLines/>
        <w:spacing w:before="0" w:after="60" w:line="252" w:lineRule="auto"/>
      </w:pPr>
      <w:r>
        <w:rPr>
          <w:rFonts w:ascii="Aptos" w:hAnsi="Aptos" w:eastAsia="Aptos"/>
          <w:b w:val="0"/>
          <w:i w:val="0"/>
          <w:color w:val="000000"/>
          <w:sz w:val="16"/>
        </w:rPr>
        <w:t>Key mapping: the paper states r=floor(255u)+1 for u in (0,1), giving r=1…255. The adapter maps its 2D-CSM value x∈[−1,1] to u=(x+1)/2 and applies the same quantizer. The generator itself is different.</w:t>
      </w:r>
    </w:p>
    <w:p>
      <w:pPr>
        <w:keepLines/>
        <w:spacing w:before="0" w:after="60" w:line="252" w:lineRule="auto"/>
      </w:pPr>
      <w:r>
        <w:rPr>
          <w:rFonts w:ascii="Aptos" w:hAnsi="Aptos" w:eastAsia="Aptos"/>
          <w:b w:val="0"/>
          <w:i w:val="0"/>
          <w:color w:val="000000"/>
          <w:sz w:val="16"/>
        </w:rPr>
        <w:t>Case boundaries: the Supplementary Note sets e=255 and gives Case 1 as S&lt;e. The article prose summarizes boundaries as [0,255], [256,510], [511,765], [766,1020], which differs at S=255. Code follows the explicit appendix inequalities and tests the boundary cases.</w:t>
      </w:r>
    </w:p>
    <w:p>
      <w:pPr>
        <w:keepLines/>
        <w:spacing w:before="0" w:after="80" w:line="252" w:lineRule="auto"/>
      </w:pPr>
      <w:r>
        <w:rPr>
          <w:rFonts w:ascii="Aptos" w:hAnsi="Aptos" w:eastAsia="Aptos"/>
          <w:b w:val="0"/>
          <w:i w:val="0"/>
          <w:color w:val="000000"/>
          <w:sz w:val="16"/>
        </w:rPr>
        <w:t>Case 2 inverse: from c′=e−((e−c+r) mod M), algebra gives c=e−((e−c′−r) mod M). The supplement prints +r in that inverse; the directed test confirms the printed sign fails for a high-branch example. Code uses the derived −r expression.</w:t>
      </w:r>
    </w:p>
    <w:p>
      <w:pPr>
        <w:keepLines/>
        <w:spacing w:before="140" w:after="60" w:line="240" w:lineRule="auto"/>
      </w:pPr>
      <w:r>
        <w:rPr>
          <w:rFonts w:ascii="Aptos" w:hAnsi="Aptos" w:eastAsia="Aptos"/>
          <w:b/>
          <w:i w:val="0"/>
          <w:color w:val="000000"/>
          <w:sz w:val="26"/>
        </w:rPr>
        <w:t>Material adaptations</w:t>
      </w:r>
    </w:p>
    <w:tbl>
      <w:tblPr>
        <w:tblW w:type="auto" w:w="0"/>
        <w:jc w:val="center"/>
        <w:tblLayout w:type="fixed"/>
        <w:tblLook w:firstColumn="1" w:firstRow="1" w:lastColumn="0" w:lastRow="0" w:noHBand="0" w:noVBand="1" w:val="04A0"/>
        <w:tblBorders>
          <w:top w:val="single" w:sz="5" w:space="0" w:color="C8D3E0"/>
          <w:left w:val="single" w:sz="5" w:space="0" w:color="C8D3E0"/>
          <w:bottom w:val="single" w:sz="5" w:space="0" w:color="C8D3E0"/>
          <w:right w:val="single" w:sz="5" w:space="0" w:color="C8D3E0"/>
          <w:insideH w:val="single" w:sz="5" w:space="0" w:color="C8D3E0"/>
          <w:insideV w:val="single" w:sz="5" w:space="0" w:color="C8D3E0"/>
        </w:tblBorders>
      </w:tblPr>
      <w:tblGrid>
        <w:gridCol w:w="3374"/>
        <w:gridCol w:w="3374"/>
        <w:gridCol w:w="3374"/>
      </w:tblGrid>
      <w:tr>
        <w:trPr>
          <w:tblHeader w:val="true"/>
          <w:cantSplit/>
        </w:trPr>
        <w:tc>
          <w:tcPr>
            <w:tcW w:type="dxa" w:w="1512"/>
            <w:shd w:fill="DCEAF7"/>
            <w:vAlign w:val="center"/>
            <w:tcMar>
              <w:top w:w="70" w:type="dxa"/>
              <w:start w:w="80" w:type="dxa"/>
              <w:bottom w:w="70" w:type="dxa"/>
              <w:end w:w="80" w:type="dxa"/>
            </w:tcMar>
          </w:tcPr>
          <w:p>
            <w:pPr>
              <w:keepLines/>
              <w:spacing w:before="0" w:after="0" w:line="240" w:lineRule="auto"/>
            </w:pPr>
            <w:r>
              <w:rPr>
                <w:rFonts w:ascii="Aptos" w:hAnsi="Aptos" w:eastAsia="Aptos"/>
                <w:b/>
                <w:i w:val="0"/>
                <w:color w:val="000000"/>
                <w:sz w:val="15"/>
              </w:rPr>
              <w:t>Component</w:t>
            </w:r>
          </w:p>
        </w:tc>
        <w:tc>
          <w:tcPr>
            <w:tcW w:type="dxa" w:w="5184"/>
            <w:shd w:fill="DCEAF7"/>
            <w:vAlign w:val="center"/>
            <w:tcMar>
              <w:top w:w="70" w:type="dxa"/>
              <w:start w:w="80" w:type="dxa"/>
              <w:bottom w:w="70" w:type="dxa"/>
              <w:end w:w="80" w:type="dxa"/>
            </w:tcMar>
          </w:tcPr>
          <w:p>
            <w:pPr>
              <w:keepLines/>
              <w:spacing w:before="0" w:after="0" w:line="240" w:lineRule="auto"/>
            </w:pPr>
            <w:r>
              <w:rPr>
                <w:rFonts w:ascii="Aptos" w:hAnsi="Aptos" w:eastAsia="Aptos"/>
                <w:b/>
                <w:i w:val="0"/>
                <w:color w:val="000000"/>
                <w:sz w:val="15"/>
              </w:rPr>
              <w:t>V2 implementation</w:t>
            </w:r>
          </w:p>
        </w:tc>
        <w:tc>
          <w:tcPr>
            <w:tcW w:type="dxa" w:w="2951"/>
            <w:shd w:fill="DCEAF7"/>
            <w:vAlign w:val="center"/>
            <w:tcMar>
              <w:top w:w="70" w:type="dxa"/>
              <w:start w:w="80" w:type="dxa"/>
              <w:bottom w:w="70" w:type="dxa"/>
              <w:end w:w="80" w:type="dxa"/>
            </w:tcMar>
          </w:tcPr>
          <w:p>
            <w:pPr>
              <w:keepLines/>
              <w:spacing w:before="0" w:after="0" w:line="240" w:lineRule="auto"/>
            </w:pPr>
            <w:r>
              <w:rPr>
                <w:rFonts w:ascii="Aptos" w:hAnsi="Aptos" w:eastAsia="Aptos"/>
                <w:b/>
                <w:i w:val="0"/>
                <w:color w:val="000000"/>
                <w:sz w:val="15"/>
              </w:rPr>
              <w:t>Status</w:t>
            </w:r>
          </w:p>
        </w:tc>
      </w:tr>
      <w:tr>
        <w:trPr>
          <w:cantSplit/>
        </w:trPr>
        <w:tc>
          <w:tcPr>
            <w:tcW w:type="dxa" w:w="1512"/>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5"/>
              </w:rPr>
              <w:t>Key schedule</w:t>
            </w:r>
          </w:p>
        </w:tc>
        <w:tc>
          <w:tcPr>
            <w:tcW w:type="dxa" w:w="5184"/>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5"/>
              </w:rPr>
              <w:t>2D-CSM from this repository replaces the paper’s generator/key schedule; quantization rule is retained.</w:t>
            </w:r>
          </w:p>
        </w:tc>
        <w:tc>
          <w:tcPr>
            <w:tcW w:type="dxa" w:w="2951"/>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5"/>
              </w:rPr>
              <w:t>Not an exact paper reproduction.</w:t>
            </w:r>
          </w:p>
        </w:tc>
      </w:tr>
      <w:tr>
        <w:trPr>
          <w:cantSplit/>
        </w:trPr>
        <w:tc>
          <w:tcPr>
            <w:tcW w:type="dxa" w:w="1512"/>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5"/>
              </w:rPr>
              <w:t>Image identifier</w:t>
            </w:r>
          </w:p>
        </w:tc>
        <w:tc>
          <w:tcPr>
            <w:tcW w:type="dxa" w:w="5184"/>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5"/>
              </w:rPr>
              <w:t>The legacy TPE identifier is derived from source pixels by the repository pipeline, then encrypted in the sidecar.</w:t>
            </w:r>
          </w:p>
        </w:tc>
        <w:tc>
          <w:tcPr>
            <w:tcW w:type="dxa" w:w="2951"/>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5"/>
              </w:rPr>
              <w:t>Paper specifies an external public ID independent of plaintext.</w:t>
            </w:r>
          </w:p>
        </w:tc>
      </w:tr>
      <w:tr>
        <w:trPr>
          <w:cantSplit/>
        </w:trPr>
        <w:tc>
          <w:tcPr>
            <w:tcW w:type="dxa" w:w="1512"/>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5"/>
              </w:rPr>
              <w:t>Authentication and RDH</w:t>
            </w:r>
          </w:p>
        </w:tc>
        <w:tc>
          <w:tcPr>
            <w:tcW w:type="dxa" w:w="5184"/>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5"/>
              </w:rPr>
              <w:t>Adds native per-channel HMAC tags, a user payload in the red RDH stream, four-block HMAC/RCM localization, and correction map.</w:t>
            </w:r>
          </w:p>
        </w:tc>
        <w:tc>
          <w:tcPr>
            <w:tcW w:type="dxa" w:w="2951"/>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5"/>
              </w:rPr>
              <w:t>The four-pixel paper does not define these additions.</w:t>
            </w:r>
          </w:p>
        </w:tc>
      </w:tr>
      <w:tr>
        <w:trPr>
          <w:cantSplit/>
        </w:trPr>
        <w:tc>
          <w:tcPr>
            <w:tcW w:type="dxa" w:w="1512"/>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5"/>
              </w:rPr>
              <w:t>Supported dimensions</w:t>
            </w:r>
          </w:p>
        </w:tc>
        <w:tc>
          <w:tcPr>
            <w:tcW w:type="dxa" w:w="5184"/>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5"/>
              </w:rPr>
              <w:t>RGB images divisible by 32 only; 512×512 in this experiment.</w:t>
            </w:r>
          </w:p>
        </w:tc>
        <w:tc>
          <w:tcPr>
            <w:tcW w:type="dxa" w:w="2951"/>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5"/>
              </w:rPr>
              <w:t>No other block sizes or paper tail rules implemented.</w:t>
            </w:r>
          </w:p>
        </w:tc>
      </w:tr>
      <w:tr>
        <w:trPr>
          <w:cantSplit/>
        </w:trPr>
        <w:tc>
          <w:tcPr>
            <w:tcW w:type="dxa" w:w="1512"/>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5"/>
              </w:rPr>
              <w:t>Keys and file format</w:t>
            </w:r>
          </w:p>
        </w:tc>
        <w:tc>
          <w:tcPr>
            <w:tcW w:type="dxa" w:w="5184"/>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5"/>
              </w:rPr>
              <w:t>Separate 32-byte TPE/authentication keys; versioned AEAD sidecar.</w:t>
            </w:r>
          </w:p>
        </w:tc>
        <w:tc>
          <w:tcPr>
            <w:tcW w:type="dxa" w:w="2951"/>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5"/>
              </w:rPr>
              <w:t>Integration design choice, not paper method.</w:t>
            </w:r>
          </w:p>
        </w:tc>
      </w:tr>
    </w:tbl>
    <w:p>
      <w:r>
        <w:br w:type="page"/>
      </w:r>
    </w:p>
    <w:p>
      <w:pPr>
        <w:keepLines/>
        <w:spacing w:before="140" w:after="60" w:line="240" w:lineRule="auto"/>
      </w:pPr>
      <w:r>
        <w:rPr>
          <w:rFonts w:ascii="Aptos" w:hAnsi="Aptos" w:eastAsia="Aptos"/>
          <w:b/>
          <w:i w:val="0"/>
          <w:color w:val="000000"/>
          <w:sz w:val="26"/>
        </w:rPr>
        <w:t>Saved bundle, keys, and payload</w:t>
      </w:r>
    </w:p>
    <w:p>
      <w:pPr>
        <w:keepLines/>
        <w:spacing w:before="0" w:after="80" w:line="252" w:lineRule="auto"/>
      </w:pPr>
      <w:r>
        <w:rPr>
          <w:rFonts w:ascii="Aptos" w:hAnsi="Aptos" w:eastAsia="Aptos"/>
          <w:b w:val="0"/>
          <w:i w:val="0"/>
          <w:color w:val="000000"/>
          <w:sz w:val="17"/>
        </w:rPr>
        <w:t>Each recoverable file is a lossless RGB PNG plus an ATPE v1 sidecar. The sidecar begins with a 44-byte public header: magic/version, flags and reserved bytes, image dimensions, a random 16-byte ImageID, and a 12-byte nonce. The full header is ChaCha20-Poly1305 associated data, so header changes fail authentication.</w:t>
      </w:r>
    </w:p>
    <w:tbl>
      <w:tblPr>
        <w:tblW w:type="auto" w:w="0"/>
        <w:jc w:val="center"/>
        <w:tblLayout w:type="fixed"/>
        <w:tblLook w:firstColumn="1" w:firstRow="1" w:lastColumn="0" w:lastRow="0" w:noHBand="0" w:noVBand="1" w:val="04A0"/>
        <w:tblBorders>
          <w:top w:val="single" w:sz="5" w:space="0" w:color="C8D3E0"/>
          <w:left w:val="single" w:sz="5" w:space="0" w:color="C8D3E0"/>
          <w:bottom w:val="single" w:sz="5" w:space="0" w:color="C8D3E0"/>
          <w:right w:val="single" w:sz="5" w:space="0" w:color="C8D3E0"/>
          <w:insideH w:val="single" w:sz="5" w:space="0" w:color="C8D3E0"/>
          <w:insideV w:val="single" w:sz="5" w:space="0" w:color="C8D3E0"/>
        </w:tblBorders>
      </w:tblPr>
      <w:tblGrid>
        <w:gridCol w:w="5061"/>
        <w:gridCol w:w="5061"/>
      </w:tblGrid>
      <w:tr>
        <w:trPr>
          <w:tblHeader w:val="true"/>
          <w:cantSplit/>
        </w:trPr>
        <w:tc>
          <w:tcPr>
            <w:tcW w:type="dxa" w:w="2376"/>
            <w:shd w:fill="DCEAF7"/>
            <w:vAlign w:val="center"/>
            <w:tcMar>
              <w:top w:w="70" w:type="dxa"/>
              <w:start w:w="80" w:type="dxa"/>
              <w:bottom w:w="70" w:type="dxa"/>
              <w:end w:w="80" w:type="dxa"/>
            </w:tcMar>
          </w:tcPr>
          <w:p>
            <w:pPr>
              <w:keepLines/>
              <w:spacing w:before="0" w:after="0" w:line="240" w:lineRule="auto"/>
            </w:pPr>
            <w:r>
              <w:rPr>
                <w:rFonts w:ascii="Aptos" w:hAnsi="Aptos" w:eastAsia="Aptos"/>
                <w:b/>
                <w:i w:val="0"/>
                <w:color w:val="000000"/>
                <w:sz w:val="16"/>
              </w:rPr>
              <w:t>Data class</w:t>
            </w:r>
          </w:p>
        </w:tc>
        <w:tc>
          <w:tcPr>
            <w:tcW w:type="dxa" w:w="7272"/>
            <w:shd w:fill="DCEAF7"/>
            <w:vAlign w:val="center"/>
            <w:tcMar>
              <w:top w:w="70" w:type="dxa"/>
              <w:start w:w="80" w:type="dxa"/>
              <w:bottom w:w="70" w:type="dxa"/>
              <w:end w:w="80" w:type="dxa"/>
            </w:tcMar>
          </w:tcPr>
          <w:p>
            <w:pPr>
              <w:keepLines/>
              <w:spacing w:before="0" w:after="0" w:line="240" w:lineRule="auto"/>
            </w:pPr>
            <w:r>
              <w:rPr>
                <w:rFonts w:ascii="Aptos" w:hAnsi="Aptos" w:eastAsia="Aptos"/>
                <w:b/>
                <w:i w:val="0"/>
                <w:color w:val="000000"/>
                <w:sz w:val="16"/>
              </w:rPr>
              <w:t>Contents</w:t>
            </w:r>
          </w:p>
        </w:tc>
      </w:tr>
      <w:tr>
        <w:trPr>
          <w:cantSplit/>
        </w:trPr>
        <w:tc>
          <w:tcPr>
            <w:tcW w:type="dxa" w:w="2376"/>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6"/>
              </w:rPr>
              <w:t>Public, authenticated header</w:t>
            </w:r>
          </w:p>
        </w:tc>
        <w:tc>
          <w:tcPr>
            <w:tcW w:type="dxa" w:w="7272"/>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6"/>
              </w:rPr>
              <w:t>Format/version, dimensions, random ImageID, nonce, flags/reserved bytes.</w:t>
            </w:r>
          </w:p>
        </w:tc>
      </w:tr>
      <w:tr>
        <w:trPr>
          <w:cantSplit/>
        </w:trPr>
        <w:tc>
          <w:tcPr>
            <w:tcW w:type="dxa" w:w="2376"/>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6"/>
              </w:rPr>
              <w:t>Encrypted sidecar body</w:t>
            </w:r>
          </w:p>
        </w:tc>
        <w:tc>
          <w:tcPr>
            <w:tcW w:type="dxa" w:w="7272"/>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6"/>
              </w:rPr>
              <w:t>Sorted-pixel layout, reversible signed correction map, TPE schedule identifier. No user payload for this adapter.</w:t>
            </w:r>
          </w:p>
        </w:tc>
      </w:tr>
      <w:tr>
        <w:trPr>
          <w:cantSplit/>
        </w:trPr>
        <w:tc>
          <w:tcPr>
            <w:tcW w:type="dxa" w:w="2376"/>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6"/>
              </w:rPr>
              <w:t>Secret inputs</w:t>
            </w:r>
          </w:p>
        </w:tc>
        <w:tc>
          <w:tcPr>
            <w:tcW w:type="dxa" w:w="7272"/>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6"/>
              </w:rPr>
              <w:t>Two independent 32-byte keys: TPE key and authentication key. Supplied through environment variables; values and hashes are omitted from repository outputs.</w:t>
            </w:r>
          </w:p>
        </w:tc>
      </w:tr>
      <w:tr>
        <w:trPr>
          <w:cantSplit/>
        </w:trPr>
        <w:tc>
          <w:tcPr>
            <w:tcW w:type="dxa" w:w="2376"/>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6"/>
              </w:rPr>
              <w:t>Payload</w:t>
            </w:r>
          </w:p>
        </w:tc>
        <w:tc>
          <w:tcPr>
            <w:tcW w:type="dxa" w:w="7272"/>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6"/>
              </w:rPr>
              <w:t>Stored in native RDH image data (red channel), then extracted from the saved PNG after authentication. It is not copied from memory or the sidecar.</w:t>
            </w:r>
          </w:p>
        </w:tc>
      </w:tr>
    </w:tbl>
    <w:p>
      <w:pPr>
        <w:keepLines/>
        <w:spacing w:before="0" w:after="80" w:line="252" w:lineRule="auto"/>
      </w:pPr>
      <w:r>
        <w:rPr>
          <w:rFonts w:ascii="Aptos" w:hAnsi="Aptos" w:eastAsia="Aptos"/>
          <w:b w:val="0"/>
          <w:i w:val="0"/>
          <w:color w:val="000000"/>
          <w:sz w:val="16"/>
        </w:rPr>
        <w:t>A fresh process needs only the saved PNG, sidecar, and both matching keys. It reads the ImageID from the header and the TPE schedule identifier and reversible maps from the authenticated encrypted body. A complete valid bundle can still be replayed or substituted as a unit unless the application checks its public ImageID against an expected object identity.</w:t>
      </w:r>
    </w:p>
    <w:p>
      <w:pPr>
        <w:keepLines/>
        <w:spacing w:before="140" w:after="60" w:line="240" w:lineRule="auto"/>
      </w:pPr>
      <w:r>
        <w:rPr>
          <w:rFonts w:ascii="Aptos" w:hAnsi="Aptos" w:eastAsia="Aptos"/>
          <w:b/>
          <w:i w:val="0"/>
          <w:color w:val="000000"/>
          <w:sz w:val="26"/>
        </w:rPr>
        <w:t>Tamper and recovery checks</w:t>
      </w:r>
    </w:p>
    <w:tbl>
      <w:tblPr>
        <w:tblW w:type="auto" w:w="0"/>
        <w:jc w:val="center"/>
        <w:tblLayout w:type="fixed"/>
        <w:tblLook w:firstColumn="1" w:firstRow="1" w:lastColumn="0" w:lastRow="0" w:noHBand="0" w:noVBand="1" w:val="04A0"/>
        <w:tblBorders>
          <w:top w:val="single" w:sz="5" w:space="0" w:color="C8D3E0"/>
          <w:left w:val="single" w:sz="5" w:space="0" w:color="C8D3E0"/>
          <w:bottom w:val="single" w:sz="5" w:space="0" w:color="C8D3E0"/>
          <w:right w:val="single" w:sz="5" w:space="0" w:color="C8D3E0"/>
          <w:insideH w:val="single" w:sz="5" w:space="0" w:color="C8D3E0"/>
          <w:insideV w:val="single" w:sz="5" w:space="0" w:color="C8D3E0"/>
        </w:tblBorders>
      </w:tblPr>
      <w:tblGrid>
        <w:gridCol w:w="3374"/>
        <w:gridCol w:w="3374"/>
        <w:gridCol w:w="3374"/>
      </w:tblGrid>
      <w:tr>
        <w:trPr>
          <w:tblHeader w:val="true"/>
          <w:cantSplit/>
        </w:trPr>
        <w:tc>
          <w:tcPr>
            <w:tcW w:type="dxa" w:w="1800"/>
            <w:shd w:fill="DCEAF7"/>
            <w:vAlign w:val="center"/>
            <w:tcMar>
              <w:top w:w="70" w:type="dxa"/>
              <w:start w:w="80" w:type="dxa"/>
              <w:bottom w:w="70" w:type="dxa"/>
              <w:end w:w="80" w:type="dxa"/>
            </w:tcMar>
          </w:tcPr>
          <w:p>
            <w:pPr>
              <w:keepLines/>
              <w:spacing w:before="0" w:after="0" w:line="240" w:lineRule="auto"/>
            </w:pPr>
            <w:r>
              <w:rPr>
                <w:rFonts w:ascii="Aptos" w:hAnsi="Aptos" w:eastAsia="Aptos"/>
                <w:b/>
                <w:i w:val="0"/>
                <w:color w:val="000000"/>
                <w:sz w:val="14"/>
              </w:rPr>
              <w:t>Test</w:t>
            </w:r>
          </w:p>
        </w:tc>
        <w:tc>
          <w:tcPr>
            <w:tcW w:type="dxa" w:w="3311"/>
            <w:shd w:fill="DCEAF7"/>
            <w:vAlign w:val="center"/>
            <w:tcMar>
              <w:top w:w="70" w:type="dxa"/>
              <w:start w:w="80" w:type="dxa"/>
              <w:bottom w:w="70" w:type="dxa"/>
              <w:end w:w="80" w:type="dxa"/>
            </w:tcMar>
          </w:tcPr>
          <w:p>
            <w:pPr>
              <w:keepLines/>
              <w:spacing w:before="0" w:after="0" w:line="240" w:lineRule="auto"/>
            </w:pPr>
            <w:r>
              <w:rPr>
                <w:rFonts w:ascii="Aptos" w:hAnsi="Aptos" w:eastAsia="Aptos"/>
                <w:b/>
                <w:i w:val="0"/>
                <w:color w:val="000000"/>
                <w:sz w:val="14"/>
              </w:rPr>
              <w:t>Action</w:t>
            </w:r>
          </w:p>
        </w:tc>
        <w:tc>
          <w:tcPr>
            <w:tcW w:type="dxa" w:w="4536"/>
            <w:shd w:fill="DCEAF7"/>
            <w:vAlign w:val="center"/>
            <w:tcMar>
              <w:top w:w="70" w:type="dxa"/>
              <w:start w:w="80" w:type="dxa"/>
              <w:bottom w:w="70" w:type="dxa"/>
              <w:end w:w="80" w:type="dxa"/>
            </w:tcMar>
          </w:tcPr>
          <w:p>
            <w:pPr>
              <w:keepLines/>
              <w:spacing w:before="0" w:after="0" w:line="240" w:lineRule="auto"/>
            </w:pPr>
            <w:r>
              <w:rPr>
                <w:rFonts w:ascii="Aptos" w:hAnsi="Aptos" w:eastAsia="Aptos"/>
                <w:b/>
                <w:i w:val="0"/>
                <w:color w:val="000000"/>
                <w:sz w:val="14"/>
              </w:rPr>
              <w:t>Observed outcome</w:t>
            </w:r>
          </w:p>
        </w:tc>
      </w:tr>
      <w:tr>
        <w:trPr>
          <w:cantSplit/>
        </w:trPr>
        <w:tc>
          <w:tcPr>
            <w:tcW w:type="dxa" w:w="1800"/>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4"/>
              </w:rPr>
              <w:t>Single-pixel edits</w:t>
            </w:r>
          </w:p>
        </w:tc>
        <w:tc>
          <w:tcPr>
            <w:tcW w:type="dxa" w:w="3311"/>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4"/>
              </w:rPr>
              <w:t>One changed pixel in each RGB channel at blocks 0, 127, and 255.</w:t>
            </w:r>
          </w:p>
        </w:tc>
        <w:tc>
          <w:tcPr>
            <w:tcW w:type="dxa" w:w="4536"/>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4"/>
              </w:rPr>
              <w:t>All rejected; exactly one four-block group localized per edit; no image released.</w:t>
            </w:r>
          </w:p>
        </w:tc>
      </w:tr>
      <w:tr>
        <w:trPr>
          <w:cantSplit/>
        </w:trPr>
        <w:tc>
          <w:tcPr>
            <w:tcW w:type="dxa" w:w="1800"/>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4"/>
              </w:rPr>
              <w:t>Multiple blocks/groups</w:t>
            </w:r>
          </w:p>
        </w:tc>
        <w:tc>
          <w:tcPr>
            <w:tcW w:type="dxa" w:w="3311"/>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4"/>
              </w:rPr>
              <w:t>Edits to two blocks in one group, then edits spanning two groups.</w:t>
            </w:r>
          </w:p>
        </w:tc>
        <w:tc>
          <w:tcPr>
            <w:tcW w:type="dxa" w:w="4536"/>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4"/>
              </w:rPr>
              <w:t>One affected group, then both affected groups reported; no image released.</w:t>
            </w:r>
          </w:p>
        </w:tc>
      </w:tr>
      <w:tr>
        <w:trPr>
          <w:cantSplit/>
        </w:trPr>
        <w:tc>
          <w:tcPr>
            <w:tcW w:type="dxa" w:w="1800"/>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4"/>
              </w:rPr>
              <w:t>Cross-image edits</w:t>
            </w:r>
          </w:p>
        </w:tc>
        <w:tc>
          <w:tcPr>
            <w:tcW w:type="dxa" w:w="3311"/>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4"/>
              </w:rPr>
              <w:t>Two directional 32×32 block splices between Airplane and Lena.</w:t>
            </w:r>
          </w:p>
        </w:tc>
        <w:tc>
          <w:tcPr>
            <w:tcW w:type="dxa" w:w="4536"/>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4"/>
              </w:rPr>
              <w:t>Both rejected; three channel groups localized for each RGB splice.</w:t>
            </w:r>
          </w:p>
        </w:tc>
      </w:tr>
      <w:tr>
        <w:trPr>
          <w:cantSplit/>
        </w:trPr>
        <w:tc>
          <w:tcPr>
            <w:tcW w:type="dxa" w:w="1800"/>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4"/>
              </w:rPr>
              <w:t>Bundle failures</w:t>
            </w:r>
          </w:p>
        </w:tc>
        <w:tc>
          <w:tcPr>
            <w:tcW w:type="dxa" w:w="3311"/>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4"/>
              </w:rPr>
              <w:t>Wrong auth/TPE key or ImageID; altered, truncated, and cross-image replacement sidecars.</w:t>
            </w:r>
          </w:p>
        </w:tc>
        <w:tc>
          <w:tcPr>
            <w:tcW w:type="dxa" w:w="4536"/>
            <w:tcMar>
              <w:top w:w="70" w:type="dxa"/>
              <w:start w:w="80" w:type="dxa"/>
              <w:bottom w:w="70" w:type="dxa"/>
              <w:end w:w="80" w:type="dxa"/>
            </w:tcMar>
            <w:vAlign w:val="center"/>
            <w:shd w:fill="F3F7FB"/>
          </w:tcPr>
          <w:p>
            <w:pPr>
              <w:keepLines/>
              <w:spacing w:before="0" w:after="0" w:line="240" w:lineRule="auto"/>
            </w:pPr>
            <w:r>
              <w:rPr>
                <w:rFonts w:ascii="Aptos" w:hAnsi="Aptos" w:eastAsia="Aptos"/>
                <w:b w:val="0"/>
                <w:i w:val="0"/>
                <w:color w:val="000000"/>
                <w:sz w:val="14"/>
              </w:rPr>
              <w:t>All rejected; recovered image withheld. Invalid sidecar metadata cannot safely localize groups.</w:t>
            </w:r>
          </w:p>
        </w:tc>
      </w:tr>
      <w:tr>
        <w:trPr>
          <w:cantSplit/>
        </w:trPr>
        <w:tc>
          <w:tcPr>
            <w:tcW w:type="dxa" w:w="1800"/>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4"/>
              </w:rPr>
              <w:t>Restart and payload</w:t>
            </w:r>
          </w:p>
        </w:tc>
        <w:tc>
          <w:tcPr>
            <w:tcW w:type="dxa" w:w="3311"/>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4"/>
              </w:rPr>
              <w:t>Reload saved files in a new interpreter with keys only.</w:t>
            </w:r>
          </w:p>
        </w:tc>
        <w:tc>
          <w:tcPr>
            <w:tcW w:type="dxa" w:w="4536"/>
            <w:tcMar>
              <w:top w:w="70" w:type="dxa"/>
              <w:start w:w="80" w:type="dxa"/>
              <w:bottom w:w="70" w:type="dxa"/>
              <w:end w:w="80" w:type="dxa"/>
            </w:tcMar>
            <w:vAlign w:val="center"/>
          </w:tcPr>
          <w:p>
            <w:pPr>
              <w:keepLines/>
              <w:spacing w:before="0" w:after="0" w:line="240" w:lineRule="auto"/>
            </w:pPr>
            <w:r>
              <w:rPr>
                <w:rFonts w:ascii="Aptos" w:hAnsi="Aptos" w:eastAsia="Aptos"/>
                <w:b w:val="0"/>
                <w:i w:val="0"/>
                <w:color w:val="000000"/>
                <w:sz w:val="14"/>
              </w:rPr>
              <w:t>6/6 exact image hashes and payload bits recovered; no EncryptionResult or external IDs.</w:t>
            </w:r>
          </w:p>
        </w:tc>
      </w:tr>
    </w:tbl>
    <w:p>
      <w:pPr>
        <w:keepLines/>
        <w:spacing w:before="0" w:after="60" w:line="252" w:lineRule="auto"/>
      </w:pPr>
      <w:r>
        <w:rPr>
          <w:rFonts w:ascii="Aptos" w:hAnsi="Aptos" w:eastAsia="Aptos"/>
          <w:b w:val="0"/>
          <w:i w:val="0"/>
          <w:color w:val="000000"/>
          <w:sz w:val="16"/>
        </w:rPr>
        <w:t>Targeted regression suite: 12 passed, including 20,000 deterministic tuple/key round trips, edge keys, sum invariance, version/header authentication, wrong keys/IDs, and fresh-process bundle recovery. The historical full repository suite had missing external fixtures; this report does not claim the full suite passes.</w:t>
      </w:r>
    </w:p>
    <w:p>
      <w:pPr>
        <w:keepLines/>
        <w:spacing w:before="140" w:after="60" w:line="240" w:lineRule="auto"/>
      </w:pPr>
      <w:r>
        <w:rPr>
          <w:rFonts w:ascii="Aptos" w:hAnsi="Aptos" w:eastAsia="Aptos"/>
          <w:b/>
          <w:i w:val="0"/>
          <w:color w:val="000000"/>
          <w:sz w:val="26"/>
        </w:rPr>
        <w:t>NIST SP 800-22 status</w:t>
      </w:r>
    </w:p>
    <w:p>
      <w:pPr>
        <w:keepLines/>
        <w:spacing w:before="0" w:after="80" w:line="252" w:lineRule="auto"/>
      </w:pPr>
      <w:r>
        <w:rPr>
          <w:rFonts w:ascii="Aptos" w:hAnsi="Aptos" w:eastAsia="Aptos"/>
          <w:b w:val="0"/>
          <w:i w:val="0"/>
          <w:color w:val="000000"/>
          <w:sz w:val="16"/>
        </w:rPr>
        <w:t>Not run for this v2 variant. The checked-in predeclared protocol uses stream and tag-message definitions from the previous method and does not cover the adapted 2D-CSM-derived substitution schedule. Re-running those streams would not test this variant; changing their public key pool or stream construction would violate the predeclared protocol. No earlier NIST result is reused or presented as a v2 result.</w:t>
      </w:r>
    </w:p>
    <w:p>
      <w:pPr>
        <w:keepLines/>
        <w:spacing w:before="140" w:after="60" w:line="240" w:lineRule="auto"/>
      </w:pPr>
      <w:r>
        <w:rPr>
          <w:rFonts w:ascii="Aptos" w:hAnsi="Aptos" w:eastAsia="Aptos"/>
          <w:b/>
          <w:i w:val="0"/>
          <w:color w:val="000000"/>
          <w:sz w:val="26"/>
        </w:rPr>
        <w:t>Limitations and citation</w:t>
      </w:r>
    </w:p>
    <w:p>
      <w:pPr>
        <w:keepLines/>
        <w:spacing w:before="0" w:after="60" w:line="252" w:lineRule="auto"/>
      </w:pPr>
      <w:r>
        <w:rPr>
          <w:rFonts w:ascii="Aptos" w:hAnsi="Aptos" w:eastAsia="Aptos"/>
          <w:b w:val="0"/>
          <w:i w:val="0"/>
          <w:color w:val="000000"/>
          <w:sz w:val="16"/>
        </w:rPr>
        <w:t>These tests establish functional reversibility and detection for the stated cases only. They do not establish chosen-plaintext security, resistance to key compromise, or suitability as a conventional image cipher. The TPE layer preserves block sums by design, the sidecar overhead is large, and an application must handle keys and replay identity securely. NIST statistical testing is not a cryptographic security proof.</w:t>
      </w:r>
    </w:p>
    <w:p>
      <w:pPr>
        <w:keepLines/>
        <w:spacing w:before="0" w:after="0" w:line="252" w:lineRule="auto"/>
      </w:pPr>
      <w:r>
        <w:rPr>
          <w:rFonts w:ascii="Aptos" w:hAnsi="Aptos" w:eastAsia="Aptos"/>
          <w:b w:val="0"/>
          <w:i w:val="0"/>
          <w:color w:val="000000"/>
          <w:sz w:val="15"/>
        </w:rPr>
        <w:t>Source: Kao, C.-H., Chen, G.-Z., Hou, Y.-Y., and Liao, T.-L. “Four-pixel sum-preserving encryption using the chaotic map for high thumbnail-preserving image security.” Scientific Reports 16, 21218 (2026). https://doi.org/10.1038/s41598-026-47090-9. Equation details were checked against the published Supplementary Note.</w:t>
      </w:r>
    </w:p>
    <w:sectPr w:rsidR="00FC693F" w:rsidRPr="0006063C" w:rsidSect="00034616">
      <w:footerReference w:type="default" r:id="rId9"/>
      <w:pgSz w:w="11909" w:h="16834"/>
      <w:pgMar w:top="835"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Lines w:val="0"/>
      <w:spacing w:before="0" w:after="0" w:line="240" w:lineRule="auto"/>
      <w:jc w:val="right"/>
    </w:pPr>
    <w:r>
      <w:rPr>
        <w:rFonts w:ascii="Aptos" w:hAnsi="Aptos" w:eastAsia="Aptos"/>
        <w:b w:val="0"/>
        <w:i w:val="0"/>
        <w:color w:val="4B5563"/>
        <w:sz w:val="15"/>
      </w:rPr>
      <w:t xml:space="preserve">FOUR PIXEL TPE AUTHENTICATION  |  25 OCTOBER 2026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Pixel TPE Authentication Evaluation v2</dc:title>
  <dc:subject>Professor-facing evaluation of the adapted four-pixel TPE authentication prototype</dc:subject>
  <dc:creator>Research prototype evaluation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