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40"/>
      </w:pPr>
      <w:r>
        <w:t>Four-Pixel Thumbnail-Preserving Encryption with Native RDH Authentication</w:t>
      </w:r>
    </w:p>
    <w:p>
      <w:pPr>
        <w:keepNext/>
        <w:spacing w:after="100" w:line="259" w:lineRule="auto"/>
      </w:pPr>
      <w:r>
        <w:t>Research progress report for Professor Lin  |  25 October 2026</w:t>
      </w:r>
    </w:p>
    <w:p>
      <w:pPr>
        <w:pStyle w:val="Heading1"/>
        <w:keepNext/>
        <w:spacing w:before="200" w:after="80"/>
      </w:pPr>
      <w:r>
        <w:t>Abstract</w:t>
      </w:r>
    </w:p>
    <w:p>
      <w:pPr>
        <w:keepLines w:val="0"/>
        <w:spacing w:after="100" w:line="259" w:lineRule="auto"/>
      </w:pPr>
      <w:r>
        <w:t>I integrated the four-pixel sum-preserving transform with the repository’s histogram-shifting reversible data-hiding (RDH) stage and its four-block HMAC-SHA256 localization layer. Three full 256-bit keyed image tags are now embedded in the RGB RDH streams before four-pixel substitution; the five-bit user payload shares the red-channel stream. Across six 512 × 512 UCT images, all image and payload round-trips were exact and all 16 × 16 block-mean thumbnails were bit-exact. One-pixel and cross-image block edits were rejected and localized. NIST SP 800-22 Rev. 1a detected substantial structure in both unchanged schedule families, so the results support a functional integration claim, not a security claim.</w:t>
      </w:r>
    </w:p>
    <w:p>
      <w:pPr>
        <w:spacing w:after="100" w:line="259" w:lineRule="auto"/>
      </w:pPr>
      <w:r>
        <w:rPr>
          <w:i/>
          <w:sz w:val="18"/>
        </w:rPr>
        <w:t>Keywords: thumbnail-preserving encryption; four-pixel sum-preserving transform; image authentication; reversible contrast mapping; tamper localization; NIST SP 800-22</w:t>
      </w:r>
    </w:p>
    <w:p>
      <w:pPr>
        <w:pStyle w:val="Heading1"/>
        <w:keepNext/>
        <w:spacing w:before="200" w:after="80"/>
      </w:pPr>
      <w:r>
        <w:t>Key results</w:t>
      </w:r>
    </w:p>
    <w:p>
      <w:pPr>
        <w:pStyle w:val="Caption"/>
      </w:pPr>
      <w:r>
        <w:t>Table 1. Summary of principal experimental findings.</w:t>
      </w:r>
    </w:p>
    <w:tbl>
      <w:tblPr>
        <w:tblW w:type="auto" w:w="0"/>
        <w:tblLayout w:type="fixed"/>
        <w:tblLook w:firstColumn="1" w:firstRow="1" w:lastColumn="0" w:lastRow="0" w:noHBand="0" w:noVBand="1" w:val="04A0"/>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4946"/>
        <w:gridCol w:w="4946"/>
      </w:tblGrid>
      <w:tr>
        <w:trPr>
          <w:tblHeader w:val="true"/>
          <w:cantSplit/>
          <w:tblHeader w:val="true"/>
          <w:cantSplit/>
        </w:trPr>
        <w:tc>
          <w:tcPr>
            <w:tcW w:type="dxa" w:w="2376"/>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Measure</w:t>
            </w:r>
          </w:p>
        </w:tc>
        <w:tc>
          <w:tcPr>
            <w:tcW w:type="dxa" w:w="7560"/>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Verified result</w:t>
            </w:r>
          </w:p>
        </w:tc>
      </w:tr>
      <w:tr>
        <w:trPr>
          <w:cantSplit/>
          <w:cantSplit/>
        </w:trPr>
        <w:tc>
          <w:tcPr>
            <w:tcW w:type="dxa" w:w="2376"/>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Exact recovery</w:t>
            </w:r>
          </w:p>
        </w:tc>
        <w:tc>
          <w:tcPr>
            <w:tcW w:type="dxa" w:w="756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6 of 6 images and the five-bit test payload recovered exactly in the fresh rerun.</w:t>
            </w:r>
          </w:p>
        </w:tc>
      </w:tr>
      <w:tr>
        <w:trPr>
          <w:cantSplit/>
          <w:cantSplit/>
        </w:trPr>
        <w:tc>
          <w:tcPr>
            <w:tcW w:type="dxa" w:w="2376"/>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Thumbnail fidelity</w:t>
            </w:r>
          </w:p>
        </w:tc>
        <w:tc>
          <w:tcPr>
            <w:tcW w:type="dxa" w:w="7560"/>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All six 16 × 16 RGB thumbnails matched exactly. Each thumbnail value is the mean of one aligned 32 × 32 source block.</w:t>
            </w:r>
          </w:p>
        </w:tc>
      </w:tr>
      <w:tr>
        <w:trPr>
          <w:cantSplit/>
          <w:cantSplit/>
        </w:trPr>
        <w:tc>
          <w:tcPr>
            <w:tcW w:type="dxa" w:w="2376"/>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Authentication layout</w:t>
            </w:r>
          </w:p>
        </w:tc>
        <w:tc>
          <w:tcPr>
            <w:tcW w:type="dxa" w:w="756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192 HMAC-SHA256 tags per image; each tag covers four 32 × 32 blocks in one color channel.</w:t>
            </w:r>
          </w:p>
        </w:tc>
      </w:tr>
      <w:tr>
        <w:trPr>
          <w:cantSplit/>
          <w:cantSplit/>
        </w:trPr>
        <w:tc>
          <w:tcPr>
            <w:tcW w:type="dxa" w:w="2376"/>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Tamper detection</w:t>
            </w:r>
          </w:p>
        </w:tc>
        <w:tc>
          <w:tcPr>
            <w:tcW w:type="dxa" w:w="7560"/>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One changed channel sample triggered one group failure. A full RGB block splice triggered three channel-specific group failures.</w:t>
            </w:r>
          </w:p>
        </w:tc>
      </w:tr>
      <w:tr>
        <w:trPr>
          <w:cantSplit/>
          <w:cantSplit/>
        </w:trPr>
        <w:tc>
          <w:tcPr>
            <w:tcW w:type="dxa" w:w="2376"/>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Sidecar size</w:t>
            </w:r>
          </w:p>
        </w:tc>
        <w:tc>
          <w:tcPr>
            <w:tcW w:type="dxa" w:w="756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r>
              <w:t>Mean 1.184 MB (range 1.151–1.199 MB), about 150.6% of the 0.786 MB raw RGB image; contains layout, correction, and authenticated identifier metadata, not tags or payload.</w:t>
            </w:r>
          </w:p>
        </w:tc>
      </w:tr>
      <w:tr>
        <w:tc>
          <w:tcPr>
            <w:tcW w:type="dxa" w:w="4946"/>
          </w:tcPr>
          <w:p>
            <w:pPr>
              <w:spacing w:after="0"/>
            </w:pPr>
            <w:r>
              <w:rPr>
                <w:rFonts w:ascii="Aptos" w:hAnsi="Aptos"/>
                <w:b/>
              </w:rPr>
              <w:t>Native RDH carriage</w:t>
            </w:r>
          </w:p>
        </w:tc>
        <w:tc>
          <w:tcPr>
            <w:tcW w:type="dxa" w:w="4946"/>
          </w:tcPr>
          <w:p>
            <w:pPr>
              <w:spacing w:after="0"/>
            </w:pPr>
            <w:r>
              <w:rPr>
                <w:rFonts w:ascii="Aptos" w:hAnsi="Aptos"/>
              </w:rPr>
              <w:t>Three keyed 256-bit channel tags and the five-bit payload are embedded in the reversible histogram-shifting image stream before four-pixel substitution.</w:t>
            </w:r>
          </w:p>
        </w:tc>
      </w:tr>
      <w:tr>
        <w:trPr>
          <w:cantSplit/>
          <w:cantSplit/>
        </w:trPr>
        <w:tc>
          <w:tcPr>
            <w:tcW w:type="dxa" w:w="2376"/>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NIST evaluation</w:t>
            </w:r>
          </w:p>
        </w:tc>
        <w:tc>
          <w:tcPr>
            <w:tcW w:type="dxa" w:w="7560"/>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Completed for the unchanged Upsilon_P and substitution-r schedules: 100 sequences × 1,000,000 bits per family. Both representations show extensive failures; diagnostic only.</w:t>
            </w:r>
          </w:p>
        </w:tc>
      </w:tr>
    </w:tbl>
    <w:p>
      <w:pPr>
        <w:keepNext/>
        <w:spacing w:before="180" w:after="100" w:line="259" w:lineRule="auto"/>
        <w:jc w:val="center"/>
      </w:pPr>
      <w:r>
        <w:drawing>
          <wp:inline xmlns:a="http://schemas.openxmlformats.org/drawingml/2006/main" xmlns:pic="http://schemas.openxmlformats.org/drawingml/2006/picture">
            <wp:extent cx="5760720" cy="2178734"/>
            <wp:docPr id="1" name="Picture 1"/>
            <wp:cNvGraphicFramePr>
              <a:graphicFrameLocks noChangeAspect="1"/>
            </wp:cNvGraphicFramePr>
            <a:graphic>
              <a:graphicData uri="http://schemas.openxmlformats.org/drawingml/2006/picture">
                <pic:pic>
                  <pic:nvPicPr>
                    <pic:cNvPr id="0" name="four_pixel_native_rdh_figure.png"/>
                    <pic:cNvPicPr/>
                  </pic:nvPicPr>
                  <pic:blipFill>
                    <a:blip r:embed="rId11"/>
                    <a:stretch>
                      <a:fillRect/>
                    </a:stretch>
                  </pic:blipFill>
                  <pic:spPr>
                    <a:xfrm>
                      <a:off x="0" y="0"/>
                      <a:ext cx="5760720" cy="2178734"/>
                    </a:xfrm>
                    <a:prstGeom prst="rect"/>
                  </pic:spPr>
                </pic:pic>
              </a:graphicData>
            </a:graphic>
          </wp:inline>
        </w:drawing>
      </w:r>
    </w:p>
    <w:p>
      <w:pPr>
        <w:spacing w:after="100" w:line="259" w:lineRule="auto"/>
        <w:jc w:val="center"/>
      </w:pPr>
      <w:r>
        <w:t>Figure 1. Airplane source, native-RDH-authenticated ciphertext, and its exact block-average thumbnail. The thumbnail is enlarged only for display.</w:t>
      </w:r>
    </w:p>
    <w:p>
      <w:pPr>
        <w:spacing w:after="100" w:line="259" w:lineRule="auto"/>
      </w:pPr>
      <w:r/>
    </w:p>
    <w:p>
      <w:pPr>
        <w:pStyle w:val="Heading1"/>
        <w:keepNext/>
        <w:spacing w:before="200" w:after="80"/>
      </w:pPr>
      <w:r>
        <w:t>Method and image-level results</w:t>
      </w:r>
    </w:p>
    <w:p>
      <w:pPr>
        <w:keepLines w:val="0"/>
        <w:spacing w:after="100" w:line="259" w:lineRule="auto"/>
      </w:pPr>
      <w:r>
        <w:t>The experiment uses six UCT color-image sources: Airplane, Baboon, Couple, Girl, Lena, and Peppers. Each source is converted to RGB and normalized to 512 × 512 pixels. The transform operates on aligned 32 × 32 blocks. Thumbnail fidelity is measured as the mean RGB value of each block, producing a 16 × 16 RGB thumbnail.</w:t>
      </w:r>
    </w:p>
    <w:p>
      <w:pPr>
        <w:pStyle w:val="Heading2"/>
        <w:keepNext/>
        <w:spacing w:before="200" w:after="80"/>
      </w:pPr>
      <w:r>
        <w:t>How the integration works</w:t>
      </w:r>
    </w:p>
    <w:p>
      <w:pPr>
        <w:keepLines w:val="0"/>
        <w:spacing w:after="100" w:line="259" w:lineRule="auto"/>
      </w:pPr>
      <w:r>
        <w:t>The integration order is block permutation → native histogram-shifting RDH embedding → four-pixel sum-preserving substitution → keyed authentication. Each color channel carries a keyed 256-bit HMAC tag over its pre-RDH permuted image plane; the red-channel RDH stream also carries the user payload. During recovery, substitution is inverted, RDH extracts the tag and exactly restores the permuted carrier, and the tag is verified before inverse permutation. The outer authentication layer adds 256-bit HMAC tags for keyed groups of four 32 × 32 blocks per channel, embedded by reversible contrast mapping (RCM), to provide localized tamper reporting. Its authenticated sidecar stores the encrypted pairing layout, reversible block-sum correction map, and authenticated image identifiers; it does not store the RDH tags or user payload.</w:t>
      </w:r>
    </w:p>
    <w:p>
      <w:pPr>
        <w:keepLines w:val="0"/>
        <w:spacing w:after="100" w:line="259" w:lineRule="auto"/>
      </w:pPr>
      <w:r>
        <w:t>This is an adaptation of the paper rather than a bit-for-bit reproduction. The transform equations are implemented, but its schedule uses the repository’s 2D-CSM-derived matrices instead of the paper’s own chaotic schedule. The algebraic inverse is used for Case 2 c because the sign printed in the paper appendix does not invert its forward equation.</w:t>
      </w:r>
    </w:p>
    <w:p>
      <w:pPr>
        <w:pStyle w:val="Heading2"/>
        <w:keepNext/>
        <w:spacing w:before="200" w:after="80"/>
      </w:pPr>
      <w:r>
        <w:t>Image-level results</w:t>
      </w:r>
    </w:p>
    <w:p>
      <w:pPr>
        <w:pStyle w:val="Caption"/>
      </w:pPr>
      <w:r>
        <w:t>Table 2. Image-level fidelity, capacity, and sidecar results.</w:t>
      </w:r>
    </w:p>
    <w:tbl>
      <w:tblPr>
        <w:tblW w:type="auto" w:w="0"/>
        <w:tblLayout w:type="fixed"/>
        <w:tblLook w:firstColumn="1" w:firstRow="1" w:lastColumn="0" w:lastRow="0" w:noHBand="0" w:noVBand="1" w:val="04A0"/>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2473"/>
        <w:gridCol w:w="2473"/>
        <w:gridCol w:w="2473"/>
        <w:gridCol w:w="2473"/>
      </w:tblGrid>
      <w:tr>
        <w:trPr>
          <w:tblHeader w:val="true"/>
          <w:cantSplit/>
          <w:tblHeader w:val="true"/>
          <w:cantSplit/>
        </w:trPr>
        <w:tc>
          <w:tcPr>
            <w:tcW w:type="dxa" w:w="2088"/>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Image</w:t>
            </w:r>
          </w:p>
        </w:tc>
        <w:tc>
          <w:tcPr>
            <w:tcW w:type="dxa" w:w="2952"/>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Original to ciphertext PSNR</w:t>
            </w:r>
          </w:p>
        </w:tc>
        <w:tc>
          <w:tcPr>
            <w:tcW w:type="dxa" w:w="2448"/>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Minimum group capacity</w:t>
            </w:r>
          </w:p>
        </w:tc>
        <w:tc>
          <w:tcPr>
            <w:tcW w:type="dxa" w:w="2448"/>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Sidecar</w:t>
            </w:r>
          </w:p>
        </w:tc>
      </w:tr>
      <w:tr>
        <w:trPr>
          <w:cantSplit/>
          <w:cantSplit/>
        </w:trPr>
        <w:tc>
          <w:tcPr>
            <w:tcW w:type="dxa" w:w="208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Airplane</w:t>
            </w:r>
          </w:p>
        </w:tc>
        <w:tc>
          <w:tcPr>
            <w:tcW w:type="dxa" w:w="2952"/>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12.3691 dB</w:t>
            </w:r>
          </w:p>
        </w:tc>
        <w:tc>
          <w:tcPr>
            <w:tcW w:type="dxa" w:w="244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1564 bits</w:t>
            </w:r>
          </w:p>
        </w:tc>
        <w:tc>
          <w:tcPr>
            <w:tcW w:type="dxa" w:w="244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r>
              <w:t>1.199 MB</w:t>
            </w:r>
          </w:p>
        </w:tc>
      </w:tr>
      <w:tr>
        <w:trPr>
          <w:cantSplit/>
          <w:cantSplit/>
        </w:trPr>
        <w:tc>
          <w:tcPr>
            <w:tcW w:type="dxa" w:w="208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Baboon</w:t>
            </w:r>
          </w:p>
        </w:tc>
        <w:tc>
          <w:tcPr>
            <w:tcW w:type="dxa" w:w="2952"/>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11.2884 dB</w:t>
            </w:r>
          </w:p>
        </w:tc>
        <w:tc>
          <w:tcPr>
            <w:tcW w:type="dxa" w:w="244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1452 bits</w:t>
            </w:r>
          </w:p>
        </w:tc>
        <w:tc>
          <w:tcPr>
            <w:tcW w:type="dxa" w:w="244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r>
              <w:t>1.199 MB</w:t>
            </w:r>
          </w:p>
        </w:tc>
      </w:tr>
      <w:tr>
        <w:trPr>
          <w:cantSplit/>
          <w:cantSplit/>
        </w:trPr>
        <w:tc>
          <w:tcPr>
            <w:tcW w:type="dxa" w:w="208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Couple</w:t>
            </w:r>
          </w:p>
        </w:tc>
        <w:tc>
          <w:tcPr>
            <w:tcW w:type="dxa" w:w="2952"/>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16.7520 dB</w:t>
            </w:r>
          </w:p>
        </w:tc>
        <w:tc>
          <w:tcPr>
            <w:tcW w:type="dxa" w:w="244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794 bits</w:t>
            </w:r>
          </w:p>
        </w:tc>
        <w:tc>
          <w:tcPr>
            <w:tcW w:type="dxa" w:w="244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r>
              <w:t>1.151 MB</w:t>
            </w:r>
          </w:p>
        </w:tc>
      </w:tr>
      <w:tr>
        <w:trPr>
          <w:cantSplit/>
          <w:cantSplit/>
        </w:trPr>
        <w:tc>
          <w:tcPr>
            <w:tcW w:type="dxa" w:w="208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Girl</w:t>
            </w:r>
          </w:p>
        </w:tc>
        <w:tc>
          <w:tcPr>
            <w:tcW w:type="dxa" w:w="2952"/>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14.5651 dB</w:t>
            </w:r>
          </w:p>
        </w:tc>
        <w:tc>
          <w:tcPr>
            <w:tcW w:type="dxa" w:w="244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1098 bits</w:t>
            </w:r>
          </w:p>
        </w:tc>
        <w:tc>
          <w:tcPr>
            <w:tcW w:type="dxa" w:w="244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r>
              <w:t>1.170 MB</w:t>
            </w:r>
          </w:p>
        </w:tc>
      </w:tr>
      <w:tr>
        <w:trPr>
          <w:cantSplit/>
          <w:cantSplit/>
        </w:trPr>
        <w:tc>
          <w:tcPr>
            <w:tcW w:type="dxa" w:w="208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Lena</w:t>
            </w:r>
          </w:p>
        </w:tc>
        <w:tc>
          <w:tcPr>
            <w:tcW w:type="dxa" w:w="2952"/>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12.3128 dB</w:t>
            </w:r>
          </w:p>
        </w:tc>
        <w:tc>
          <w:tcPr>
            <w:tcW w:type="dxa" w:w="244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1528 bits</w:t>
            </w:r>
          </w:p>
        </w:tc>
        <w:tc>
          <w:tcPr>
            <w:tcW w:type="dxa" w:w="244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r>
              <w:t>1.198 MB</w:t>
            </w:r>
          </w:p>
        </w:tc>
      </w:tr>
      <w:tr>
        <w:trPr>
          <w:cantSplit/>
          <w:cantSplit/>
        </w:trPr>
        <w:tc>
          <w:tcPr>
            <w:tcW w:type="dxa" w:w="208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Peppers</w:t>
            </w:r>
          </w:p>
        </w:tc>
        <w:tc>
          <w:tcPr>
            <w:tcW w:type="dxa" w:w="2952"/>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11.9858 dB</w:t>
            </w:r>
          </w:p>
        </w:tc>
        <w:tc>
          <w:tcPr>
            <w:tcW w:type="dxa" w:w="244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1376 bits</w:t>
            </w:r>
          </w:p>
        </w:tc>
        <w:tc>
          <w:tcPr>
            <w:tcW w:type="dxa" w:w="2448"/>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r>
              <w:t>1.188 MB</w:t>
            </w:r>
          </w:p>
        </w:tc>
      </w:tr>
      <w:tr>
        <w:trPr>
          <w:cantSplit/>
          <w:cantSplit/>
        </w:trPr>
        <w:tc>
          <w:tcPr>
            <w:tcW w:type="dxa" w:w="208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Mean</w:t>
            </w:r>
          </w:p>
        </w:tc>
        <w:tc>
          <w:tcPr>
            <w:tcW w:type="dxa" w:w="2952"/>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13.2122 dB</w:t>
            </w:r>
          </w:p>
        </w:tc>
        <w:tc>
          <w:tcPr>
            <w:tcW w:type="dxa" w:w="244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pPr>
            <w:r>
              <w:rPr>
                <w:rFonts w:ascii="Aptos" w:hAnsi="Aptos"/>
              </w:rPr>
              <w:t>All groups ≥ 256 bits</w:t>
            </w:r>
          </w:p>
        </w:tc>
        <w:tc>
          <w:tcPr>
            <w:tcW w:type="dxa" w:w="244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r>
              <w:t>1.184 MB</w:t>
            </w:r>
          </w:p>
        </w:tc>
      </w:tr>
    </w:tbl>
    <w:p>
      <w:pPr>
        <w:keepLines w:val="0"/>
        <w:spacing w:after="100" w:line="259" w:lineRule="auto"/>
      </w:pPr>
      <w:r>
        <w:t>All six 16 × 16 RGB block-mean thumbnails matched their source exactly. The reported original-to-ciphertext PSNR measures full-resolution pixel change only; it is not a thumbnail-fidelity metric or a security score.</w:t>
      </w:r>
    </w:p>
    <w:p>
      <w:pPr>
        <w:spacing w:after="0" w:line="240" w:lineRule="auto"/>
      </w:pPr>
      <w:r>
        <w:t>Six regression functions pass: 20,000 transform samples, RDH tag/tamper checks, exact recovery and thumbnail restoration, one-pixel localization, and cross-image splicing. The six-image export/import run also passed.</w:t>
      </w:r>
    </w:p>
    <w:p>
      <w:pPr>
        <w:spacing w:after="100" w:line="259" w:lineRule="auto"/>
      </w:pPr>
      <w:r/>
    </w:p>
    <w:p>
      <w:pPr>
        <w:pStyle w:val="Heading1"/>
        <w:keepNext/>
        <w:spacing w:before="200" w:after="80"/>
      </w:pPr>
      <w:r>
        <w:t>Tamper assessment and interpretation</w:t>
      </w:r>
    </w:p>
    <w:p>
      <w:pPr>
        <w:keepLines w:val="0"/>
        <w:spacing w:after="0" w:line="240" w:lineRule="auto"/>
      </w:pPr>
      <w:r>
        <w:t>Four-block HMAC tags localize each failure to a keyed group of four 32 × 32 blocks in one color channel. The verifier rejects the image and withholds plaintext but does not identify the exact changed pixel or block.</w:t>
      </w:r>
    </w:p>
    <w:p>
      <w:pPr>
        <w:pStyle w:val="Caption"/>
      </w:pPr>
      <w:r>
        <w:t>Table 3. Tampering and localization results.</w:t>
      </w:r>
    </w:p>
    <w:tbl>
      <w:tblPr>
        <w:tblW w:type="auto" w:w="0"/>
        <w:tblLayout w:type="fixed"/>
        <w:tblLook w:firstColumn="1" w:firstRow="1" w:lastColumn="0" w:lastRow="0" w:noHBand="0" w:noVBand="1" w:val="04A0"/>
        <w:jc w:val="center"/>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3298"/>
        <w:gridCol w:w="3298"/>
        <w:gridCol w:w="3298"/>
      </w:tblGrid>
      <w:tr>
        <w:trPr>
          <w:tblHeader w:val="true"/>
          <w:cantSplit/>
          <w:tblHeader w:val="true"/>
          <w:cantSplit/>
        </w:trPr>
        <w:tc>
          <w:tcPr>
            <w:tcW w:type="dxa" w:w="2376"/>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Attack</w:t>
            </w:r>
          </w:p>
        </w:tc>
        <w:tc>
          <w:tcPr>
            <w:tcW w:type="dxa" w:w="3960"/>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Modification</w:t>
            </w:r>
          </w:p>
        </w:tc>
        <w:tc>
          <w:tcPr>
            <w:tcW w:type="dxa" w:w="3600"/>
            <w:shd w:fill="17365D"/>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b/>
                <w:color w:val="FFFFFF"/>
                <w:sz w:val="16"/>
              </w:rPr>
            </w:r>
            <w:r>
              <w:rPr>
                <w:rFonts w:ascii="Aptos" w:hAnsi="Aptos"/>
                <w:b/>
                <w:i w:val="0"/>
                <w:color w:val="FFFFFF"/>
                <w:sz w:val="16"/>
              </w:rPr>
              <w:t>Result</w:t>
            </w:r>
          </w:p>
        </w:tc>
      </w:tr>
      <w:tr>
        <w:trPr>
          <w:cantSplit/>
          <w:cantSplit/>
        </w:trPr>
        <w:tc>
          <w:tcPr>
            <w:tcW w:type="dxa" w:w="2376"/>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One-pixel edit in Lena</w:t>
            </w:r>
          </w:p>
        </w:tc>
        <w:tc>
          <w:tcPr>
            <w:tcW w:type="dxa" w:w="396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One green-channel sample changed at (y=263, x=137).</w:t>
            </w:r>
          </w:p>
        </w:tc>
        <w:tc>
          <w:tcPr>
            <w:tcW w:type="dxa" w:w="360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Rejected; one group failed. Group blocks: 132, 44, 159, 120.</w:t>
            </w:r>
          </w:p>
        </w:tc>
      </w:tr>
      <w:tr>
        <w:trPr>
          <w:cantSplit/>
          <w:cantSplit/>
        </w:trPr>
        <w:tc>
          <w:tcPr>
            <w:tcW w:type="dxa" w:w="2376"/>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Airplane block copied into Lena</w:t>
            </w:r>
          </w:p>
        </w:tc>
        <w:tc>
          <w:tcPr>
            <w:tcW w:type="dxa" w:w="3960"/>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One 32 × 32 RGB ciphertext block, block 5 at (y=0, x=160).</w:t>
            </w:r>
          </w:p>
        </w:tc>
        <w:tc>
          <w:tcPr>
            <w:tcW w:type="dxa" w:w="3600"/>
            <w:shd w:fill="F2F6FA"/>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Rejected; three channel-specific groups failed.</w:t>
            </w:r>
          </w:p>
        </w:tc>
      </w:tr>
      <w:tr>
        <w:trPr>
          <w:cantSplit/>
          <w:cantSplit/>
        </w:trPr>
        <w:tc>
          <w:tcPr>
            <w:tcW w:type="dxa" w:w="2376"/>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i w:val="0"/>
                <w:color w:val="1E2937"/>
                <w:sz w:val="16"/>
              </w:rPr>
              <w:t>Lena block copied into Airplane</w:t>
            </w:r>
          </w:p>
        </w:tc>
        <w:tc>
          <w:tcPr>
            <w:tcW w:type="dxa" w:w="396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One 32 × 32 RGB ciphertext block, block 42 at (y=64, x=320).</w:t>
            </w:r>
          </w:p>
        </w:tc>
        <w:tc>
          <w:tcPr>
            <w:tcW w:type="dxa" w:w="360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before="0" w:line="252" w:lineRule="auto"/>
              <w:jc w:val="left"/>
            </w:pPr>
            <w:r>
              <w:rPr>
                <w:rFonts w:ascii="Aptos" w:hAnsi="Aptos"/>
                <w:color w:val="1E2937"/>
                <w:sz w:val="16"/>
              </w:rPr>
            </w:r>
            <w:r>
              <w:rPr>
                <w:rFonts w:ascii="Aptos" w:hAnsi="Aptos"/>
                <w:b w:val="0"/>
                <w:i w:val="0"/>
                <w:color w:val="1E2937"/>
                <w:sz w:val="16"/>
              </w:rPr>
              <w:t>Rejected; three channel-specific groups failed.</w:t>
            </w:r>
          </w:p>
        </w:tc>
      </w:tr>
    </w:tbl>
    <w:p>
      <w:pPr>
        <w:pStyle w:val="Heading2"/>
        <w:keepNext/>
        <w:spacing w:before="200" w:after="80"/>
      </w:pPr>
      <w:r>
        <w:t>Fit with the thesis direction</w:t>
      </w:r>
    </w:p>
    <w:p>
      <w:pPr>
        <w:keepLines/>
        <w:spacing w:after="100" w:line="259" w:lineRule="auto"/>
      </w:pPr>
      <w:r>
        <w:t>The revised integration now addresses the professor’s recommendation to use a reversible data-hiding stage for authentication payloads: the repository’s histogram-shifting RDH stage carries three full 256-bit keyed image tags and the five-bit test payload inside the encrypted image path. The four-pixel paper itself does not specify an RDH carrier, so this is an explicit hybrid adaptation that inserts the repository RDH stage before four-pixel substitution. The RCM layer remains responsible for keyed four-block localization. A reversible correction restores every displayed 32 × 32 block sum to the source; the encrypted sidecar carries the layout, correction map, and authenticated image identifiers. Mean sidecar size is 1,184,068 bytes (150.6% of the 786,432-byte raw RGB image), so auxiliary storage remains a significant limitation.</w:t>
      </w:r>
    </w:p>
    <w:p>
      <w:pPr>
        <w:pStyle w:val="Heading1"/>
        <w:keepNext/>
        <w:spacing w:before="200" w:after="80"/>
      </w:pPr>
      <w:r>
        <w:t>Reproducibility and implementation limitations</w:t>
      </w:r>
    </w:p>
    <w:p>
      <w:pPr>
        <w:keepLines w:val="0"/>
        <w:spacing w:after="100" w:line="259" w:lineRule="auto"/>
      </w:pPr>
      <w:r>
        <w:t>The six-image experiment was rerun after adding native RDH-carried tags. The fresh run passed all image and payload round-trips, exact thumbnail checks, and all tamper tests. The normalized Couple and Girl PNG hashes differ from the branch’s older cached-image manifest after resizing with the available Pillow version; the reported results use the currently tracked UCT sources and do not claim pixel-level identity with those historical caches.</w:t>
      </w:r>
    </w:p>
    <w:p>
      <w:pPr>
        <w:keepLines w:val="0"/>
        <w:spacing w:after="100" w:line="259" w:lineRule="auto"/>
      </w:pPr>
      <w:r>
        <w:t>The AEAD sidecar now stores both the authentication ImageID and the TPE schedule identifier as authenticated metadata. The six-image export/import check reloaded each lossless PNG and sidecar and recovered every image and payload without externally supplied identifiers. Keys remain required, as expected. This closes the earlier metadata gap for the tested package format.</w:t>
      </w:r>
    </w:p>
    <w:p>
      <w:pPr>
        <w:pStyle w:val="Heading1"/>
        <w:keepNext/>
        <w:keepLines/>
        <w:spacing w:before="200" w:after="80"/>
      </w:pPr>
      <w:r>
        <w:t>NIST SP 800-22 schedule assessment</w:t>
      </w:r>
    </w:p>
    <w:p>
      <w:pPr>
        <w:keepLines/>
        <w:spacing w:after="100" w:line="259" w:lineRule="auto"/>
      </w:pPr>
      <w:r>
        <w:t>I ran the official NIST STS 2.1.2 implementation with all 15 tests, default parameters, α = 0.01, and 100 one-million-bit sequences for each schedule family. These streams test the 2D-CSM-derived permutation and substitution schedules, which the RDH/authentication integration does not alter. For stream index i = 0…99, the 256-bit key is SHA-256("four-pixel-nist-key-v1\0" || uint32_be(i)); the 16-byte image identifier is the first 16 bytes of SHA-256("four-pixel-nist-image-id-v1\0" || uint32_be(i)). Upsilon_P values were clipped to [−1, 1], quantized as floor(127(x + 1)) and clipped to [0, 254]. The substitution family uses the exact r bytes consumed by the transform: clip(floor(127(clip(x, −1, 1) + 1)), 0, 254) + 1. Bytes are serialized row-major and bits most-significant-bit first. The Upsilon_P encoding is diagnostic because the permutation stage consumes blockwise ranks rather than the raw byte stream.</w:t>
      </w:r>
    </w:p>
    <w:p>
      <w:pPr>
        <w:keepLines/>
        <w:spacing w:after="100" w:line="259" w:lineRule="auto"/>
      </w:pPr>
      <w:r>
        <w:t>The suite detected substantial structure in both representations. Across applicable first-level components, Upsilon_P passed 3,318 of 16,200 p-values (20.5%); 2,600 component outcomes were not applicable. The substitution r stream passed 4,988 of 17,683 applicable p-values (28.2%); 1,117 outcomes were not applicable. At the second level, 144 of 162 applicable Upsilon_P uniformity checks and 148 of 188 substitution-r checks fell below the suite’s 0.0001 threshold. The detailed first-level counts are in Table 4.</w:t>
      </w:r>
    </w:p>
    <w:p>
      <w:pPr>
        <w:keepLines/>
        <w:spacing w:before="40" w:after="100"/>
        <w:jc w:val="left"/>
      </w:pPr>
      <w:r>
        <w:t>Reproducibility record: baseline branch commit a887fb90ad147cc51e71a8c5c81d9ed3c89268a8; native-RDH working-tree source SHA-256 values: four_pixel_pipeline.py 3cb115aa5311136271db49e248ddae7c29d068638c9d1197290dfc01b02afa6a; block32_exact_order_authenticated_tpe.py a9141a50b6aa4e7e2d3d958cca978ec63f6d326549dc8657fdc41e9f95f542a3; run_four_pixel_auth_demo.py 5bd8ffda244af50b1ceb7d97d276de09e1583bf40c57500391ac7b6a9e21063f; STS 2.1.2 executable SHA-256 960947a1816b9b12b6d3a38f58e4bca3a9ee5439f07dcfc5e31a0a5faa038fe9; ASCII input SHA-256 Upsilon_P c4145079b65e72a857c28e023c5e348ded2e818a493955c358582a254ebd8555 and substitution r a169a1cdbbab60602d066ddbceb21bfbaf0b076b3d92c2c52661140f7543d7d9.</w:t>
      </w:r>
    </w:p>
    <w:p>
      <w:pPr>
        <w:pStyle w:val="Caption"/>
        <w:keepNext/>
        <w:spacing w:before="60" w:after="80"/>
        <w:pageBreakBefore/>
      </w:pPr>
      <w:r>
        <w:t>Table 4. First-level NIST outcomes by test family (100 streams; α = 0.01).</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17365D"/>
          </w:tcPr>
          <w:p>
            <w:pPr>
              <w:spacing w:before="0" w:after="0" w:line="252" w:lineRule="auto"/>
            </w:pPr>
            <w:r>
              <w:rPr>
                <w:rFonts w:ascii="Aptos" w:hAnsi="Aptos"/>
                <w:b/>
                <w:color w:val="FFFFFF"/>
                <w:sz w:val="16"/>
              </w:rPr>
              <w:t>Test family</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17365D"/>
          </w:tcPr>
          <w:p>
            <w:pPr>
              <w:spacing w:before="0" w:after="0" w:line="252" w:lineRule="auto"/>
            </w:pPr>
            <w:r>
              <w:rPr>
                <w:rFonts w:ascii="Aptos" w:hAnsi="Aptos"/>
                <w:b/>
                <w:color w:val="FFFFFF"/>
                <w:sz w:val="16"/>
              </w:rPr>
              <w:t>Upsilon_P: pass / fail / N-A</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17365D"/>
          </w:tcPr>
          <w:p>
            <w:pPr>
              <w:spacing w:before="0" w:after="0" w:line="252" w:lineRule="auto"/>
            </w:pPr>
            <w:r>
              <w:rPr>
                <w:rFonts w:ascii="Aptos" w:hAnsi="Aptos"/>
                <w:b/>
                <w:color w:val="FFFFFF"/>
                <w:sz w:val="16"/>
              </w:rPr>
              <w:t>Substitution r: pass / fail / N-A</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Frequency</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95 / 5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Block frequency</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100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100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Cumulative sums (2 components)</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200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189 / 11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Runs</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100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100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Longest run of ones</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Binary matrix rank</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100 / 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99 / 1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Discrete Fourier transform</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Non-overlapping templates (148)</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3,119 / 11,681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3,261 / 11,539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Overlapping template</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Maurer universal</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100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100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Approximate entropy</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100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Random excursions (8 components)</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0 / 800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185 / 236 / 379</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Random excursions variant (18 components)</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0 / 0 / 1,800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1,061 / 1 / 738</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Serial (2 components)</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200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shd w:fill="F2F6FA"/>
          </w:tcPr>
          <w:p>
            <w:pPr>
              <w:spacing w:before="0" w:after="0" w:line="252" w:lineRule="auto"/>
            </w:pPr>
            <w:r>
              <w:rPr>
                <w:rFonts w:ascii="Aptos" w:hAnsi="Aptos"/>
                <w:color w:val="1E2937"/>
                <w:sz w:val="16"/>
              </w:rPr>
              <w:t>0 / 200 / 0</w:t>
            </w:r>
          </w:p>
        </w:tc>
      </w:tr>
      <w:tr>
        <w:trPr>
          <w:cantSplit/>
        </w:trPr>
        <w:tc>
          <w:tcPr>
            <w:tcW w:type="dxa" w:w="2880"/>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Linear complexity</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99 / 1 / 0</w:t>
            </w:r>
          </w:p>
        </w:tc>
        <w:tc>
          <w:tcPr>
            <w:tcW w:type="dxa" w:w="3528"/>
            <w:vAlign w:val="center"/>
            <w:tcMar>
              <w:top w:w="95" w:type="dxa"/>
              <w:start w:w="105" w:type="dxa"/>
              <w:bottom w:w="95" w:type="dxa"/>
              <w:end w:w="105"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before="0" w:after="0" w:line="252" w:lineRule="auto"/>
            </w:pPr>
            <w:r>
              <w:rPr>
                <w:rFonts w:ascii="Aptos" w:hAnsi="Aptos"/>
                <w:color w:val="1E2937"/>
                <w:sz w:val="16"/>
              </w:rPr>
              <w:t>98 / 2 / 0</w:t>
            </w:r>
          </w:p>
        </w:tc>
      </w:tr>
    </w:tbl>
    <w:p>
      <w:pPr>
        <w:spacing w:after="100" w:line="259" w:lineRule="auto" w:before="140"/>
      </w:pPr>
      <w:r>
        <w:t>These are diagnostic outcomes for the stated bit encodings, not a cryptographic security verdict or NIST certification. NIST states that statistical tests cannot replace cryptanalysis and has announced a revision of SP 800-22 that rejects using it to assess cryptographic random-number generators. The results indicate that the schedule representation warrants investigation; they do not establish that the encryption scheme is secure or insecure.</w:t>
      </w:r>
    </w:p>
    <w:p>
      <w:pPr>
        <w:pStyle w:val="Heading1"/>
        <w:keepNext/>
        <w:spacing w:before="200" w:after="80"/>
      </w:pPr>
      <w:r>
        <w:t>Conclusion and next experiments</w:t>
      </w:r>
    </w:p>
    <w:p>
      <w:pPr>
        <w:keepLines w:val="0"/>
        <w:spacing w:after="100" w:line="259" w:lineRule="auto"/>
      </w:pPr>
      <w:r>
        <w:t>The four-pixel transform, native RDH tag carrier, and authentication layer now work together on six images. The RDH stage embeds full 256-bit channel tags and user payload bits; the RCM layer retains keyed four-block localization; all images and payloads recover exactly and all source block-mean thumbnails are preserved. This experimentally completes the requested TPE/authentication integration through an explicit hybrid, since the four-pixel paper does not define an RDH payload stage. Remaining work is to reduce the authenticated layout/correction sidecar and investigate the poor NIST schedule statistics before making security claims.</w:t>
      </w:r>
    </w:p>
    <w:p>
      <w:pPr>
        <w:pStyle w:val="Heading2"/>
        <w:keepNext/>
        <w:spacing w:before="200" w:after="80"/>
      </w:pPr>
      <w:r>
        <w:t>References</w:t>
      </w:r>
    </w:p>
    <w:p>
      <w:pPr>
        <w:spacing w:after="100" w:line="259" w:lineRule="auto"/>
      </w:pPr>
      <w:r>
        <w:rPr>
          <w:rFonts w:ascii="Arial" w:hAnsi="Arial"/>
          <w:b w:val="0"/>
          <w:i w:val="0"/>
          <w:color w:val="202833"/>
          <w:sz w:val="17"/>
        </w:rPr>
        <w:t xml:space="preserve">Kao et al. “Four-pixel sum-preserving encryption using the chaotic map for high thumbnail-preserving image security.” Scientific Reports 16, 21218 (2026). </w:t>
      </w:r>
      <w:r>
        <w:rPr>
          <w:rFonts w:ascii="Arial" w:hAnsi="Arial"/>
          <w:b w:val="0"/>
          <w:i w:val="0"/>
          <w:color w:val="203B58"/>
          <w:sz w:val="17"/>
        </w:rPr>
        <w:t>https://doi.org/10.1038/s41598-026-47090-9</w:t>
      </w:r>
    </w:p>
    <w:p>
      <w:pPr>
        <w:spacing w:after="60" w:line="259" w:lineRule="auto"/>
      </w:pPr>
      <w:r>
        <w:rPr>
          <w:sz w:val="17"/>
        </w:rPr>
        <w:t>National Institute of Standards and Technology. A Statistical Test Suite for Random and Pseudorandom Number Generators for Cryptographic Applications. NIST SP 800-22 Rev. 1a, 2010. https://doi.org/10.6028/NIST.SP.800-22r1a</w:t>
      </w:r>
    </w:p>
    <w:p>
      <w:pPr>
        <w:spacing w:after="60" w:line="259" w:lineRule="auto"/>
      </w:pPr>
      <w:r>
        <w:rPr>
          <w:sz w:val="17"/>
        </w:rPr>
        <w:t>National Institute of Standards and Technology. Decision to Revise NIST SP 800-22 Rev. 1a, 19 April 2022. https://csrc.nist.gov/news/2022/decision-to-revise-nist-sp-800-22-rev-1a</w:t>
      </w:r>
    </w:p>
    <w:sectPr w:rsidR="00FC693F" w:rsidRPr="0006063C" w:rsidSect="00034616">
      <w:footerReference w:type="default" r:id="rId9"/>
      <w:pgSz w:w="11909" w:h="16834"/>
      <w:pgMar w:top="893" w:right="1008" w:bottom="893" w:left="1008"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ptos" w:hAnsi="Aptos"/>
        <w:color w:val="5A6470"/>
        <w:sz w:val="16"/>
      </w:rPr>
      <w:t xml:space="preserve">FOUR PIXEL TPE AUTHENTICATION  ·  25 OCTOBER 2026  ·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eastAsia="Apto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eastAsia="Aptos"/>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Four-Pixel Thumbnail-Preserving Encryption with Native RDH Authentication</dc:title>
  <dc:subject>Native reversible data hiding, authenticated tamper localization, and NIST SP 800-22 evaluation</dc:subject>
  <dc:creator>Sufal</dc:creator>
  <cp:keywords>TPE, image authentication, tamper localization, NIST SP 800-22</cp:keywords>
  <dc:description>generated by python-docx</dc:description>
  <cp:lastModifiedBy/>
  <cp:revision>1</cp:revision>
  <dcterms:created xsi:type="dcterms:W3CDTF">2013-12-23T23:15:00Z</dcterms:created>
  <dcterms:modified xsi:type="dcterms:W3CDTF">2013-12-23T23:15:00Z</dcterms:modified>
  <cp:category/>
</cp:coreProperties>
</file>