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4EC68" w14:textId="7F3DC29B" w:rsidR="00C61CE4" w:rsidRPr="00C61CE4" w:rsidRDefault="00C61CE4" w:rsidP="00C61CE4">
      <w:pPr>
        <w:rPr>
          <w:b/>
          <w:bCs/>
        </w:rPr>
      </w:pPr>
      <w:r w:rsidRPr="00C61CE4">
        <w:rPr>
          <w:b/>
          <w:bCs/>
        </w:rPr>
        <w:drawing>
          <wp:inline distT="0" distB="0" distL="0" distR="0" wp14:anchorId="7F5FAD77" wp14:editId="284DA4CC">
            <wp:extent cx="5731510" cy="3228975"/>
            <wp:effectExtent l="0" t="0" r="2540" b="9525"/>
            <wp:docPr id="1666717806" name="Picture 1" descr="A person with white hair and a blue shi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717806" name="Picture 1" descr="A person with white hair and a blue shir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</w:r>
      <w:r w:rsidRPr="00C61CE4">
        <w:rPr>
          <w:b/>
          <w:bCs/>
        </w:rPr>
        <w:t>Bionic Humans – Summary</w:t>
      </w:r>
    </w:p>
    <w:p w14:paraId="0B2E3CC8" w14:textId="471F066C" w:rsidR="00C61CE4" w:rsidRPr="00C61CE4" w:rsidRDefault="00C61CE4" w:rsidP="00C61CE4">
      <w:r w:rsidRPr="00C61CE4">
        <w:t xml:space="preserve">Presentation has been added to the </w:t>
      </w:r>
      <w:hyperlink r:id="rId8" w:history="1">
        <w:r w:rsidRPr="00C61CE4">
          <w:rPr>
            <w:rStyle w:val="Hyperlink"/>
          </w:rPr>
          <w:t>usual folder (pdf)</w:t>
        </w:r>
      </w:hyperlink>
      <w:r w:rsidRPr="00C61CE4">
        <w:t xml:space="preserve"> and to the </w:t>
      </w:r>
      <w:hyperlink r:id="rId9" w:history="1">
        <w:r w:rsidRPr="00C61CE4">
          <w:rPr>
            <w:rStyle w:val="Hyperlink"/>
          </w:rPr>
          <w:t>Moonshot folder (ppt).</w:t>
        </w:r>
      </w:hyperlink>
    </w:p>
    <w:p w14:paraId="07DE86D2" w14:textId="77777777" w:rsidR="00C61CE4" w:rsidRPr="00C61CE4" w:rsidRDefault="00C61CE4" w:rsidP="00C61CE4">
      <w:pPr>
        <w:numPr>
          <w:ilvl w:val="0"/>
          <w:numId w:val="1"/>
        </w:numPr>
        <w:jc w:val="both"/>
      </w:pPr>
      <w:r w:rsidRPr="00C61CE4">
        <w:rPr>
          <w:b/>
          <w:bCs/>
        </w:rPr>
        <w:t>Bionic humans represent the convergence of biology and technology to augment, restore, or enhance human physical capabilities</w:t>
      </w:r>
      <w:r w:rsidRPr="00C61CE4">
        <w:t>—sometimes beyond natural limitations.</w:t>
      </w:r>
    </w:p>
    <w:p w14:paraId="7EE6E8AC" w14:textId="77777777" w:rsidR="00C61CE4" w:rsidRPr="00C61CE4" w:rsidRDefault="00C61CE4" w:rsidP="00C61CE4">
      <w:pPr>
        <w:numPr>
          <w:ilvl w:val="0"/>
          <w:numId w:val="1"/>
        </w:numPr>
        <w:jc w:val="both"/>
      </w:pPr>
      <w:r w:rsidRPr="00C61CE4">
        <w:rPr>
          <w:b/>
          <w:bCs/>
        </w:rPr>
        <w:t>Market driver: demographic urgency. Global population aged 65+ will reach 1.6 billion by 2050 (1.16 billion by 2035)</w:t>
      </w:r>
      <w:r w:rsidRPr="00C61CE4">
        <w:t>. Regulatory approval is the key unlocking mechanism—Medicare's April 2024 exoskeleton coverage decision unlocks a USD 30 billion market, transitioning bionic humans from science fiction to health insurance.</w:t>
      </w:r>
    </w:p>
    <w:p w14:paraId="7B790C23" w14:textId="77777777" w:rsidR="00C61CE4" w:rsidRPr="00C61CE4" w:rsidRDefault="00C61CE4" w:rsidP="00C61CE4">
      <w:pPr>
        <w:numPr>
          <w:ilvl w:val="0"/>
          <w:numId w:val="1"/>
        </w:numPr>
        <w:jc w:val="both"/>
      </w:pPr>
      <w:r w:rsidRPr="00C61CE4">
        <w:rPr>
          <w:b/>
          <w:bCs/>
        </w:rPr>
        <w:t>Market forecasts: 50 million people will use bionic augmentation daily by 2033</w:t>
      </w:r>
      <w:r w:rsidRPr="00C61CE4">
        <w:t>. Artificial blood market alone valued at USD 11.7 million in 2025, projected to grow at 20.5% CAGR to USD 62.5 million by 2034; broader blood substitutes market forecast USD 3.7–3.8 billion (2024) to USD 8.7 billion by 2035.</w:t>
      </w:r>
    </w:p>
    <w:p w14:paraId="6DD38C14" w14:textId="77777777" w:rsidR="00C61CE4" w:rsidRPr="00C61CE4" w:rsidRDefault="00C61CE4" w:rsidP="00C61CE4">
      <w:pPr>
        <w:numPr>
          <w:ilvl w:val="0"/>
          <w:numId w:val="1"/>
        </w:numPr>
        <w:jc w:val="both"/>
      </w:pPr>
      <w:r w:rsidRPr="00C61CE4">
        <w:t xml:space="preserve">Technology moats eroding. Brain-nerve interfaces now enable direct prosthetic control with artificial sensory feedback (Boston, 2025). </w:t>
      </w:r>
      <w:r w:rsidRPr="00C61CE4">
        <w:rPr>
          <w:b/>
          <w:bCs/>
        </w:rPr>
        <w:t>Bionic devices exceed biological performance</w:t>
      </w:r>
      <w:r w:rsidRPr="00C61CE4">
        <w:t>—</w:t>
      </w:r>
      <w:proofErr w:type="spellStart"/>
      <w:r w:rsidRPr="00C61CE4">
        <w:t>Össur</w:t>
      </w:r>
      <w:proofErr w:type="spellEnd"/>
      <w:r w:rsidRPr="00C61CE4">
        <w:t xml:space="preserve"> Flex-Run prosthetic generates 30% more energy return than natural ankles, enabling Paralympic sprinters to challenge Olympic qualifying times.</w:t>
      </w:r>
    </w:p>
    <w:p w14:paraId="67B1D4B9" w14:textId="77777777" w:rsidR="00C61CE4" w:rsidRPr="00C61CE4" w:rsidRDefault="00C61CE4" w:rsidP="00C61CE4">
      <w:pPr>
        <w:numPr>
          <w:ilvl w:val="0"/>
          <w:numId w:val="1"/>
        </w:numPr>
        <w:jc w:val="both"/>
      </w:pPr>
      <w:r w:rsidRPr="00C61CE4">
        <w:t>Sensory augmentation advancing rapidly. </w:t>
      </w:r>
      <w:r w:rsidRPr="00C61CE4">
        <w:rPr>
          <w:b/>
          <w:bCs/>
        </w:rPr>
        <w:t>Retinal implants stimulate neural circuits</w:t>
      </w:r>
      <w:r w:rsidRPr="00C61CE4">
        <w:t xml:space="preserve">; bionic eyes detect wavelengths invisible to human biology. AI-powered hearing technologies suppress background noise, solving cochlear implant users' primary complaint. </w:t>
      </w:r>
      <w:r w:rsidRPr="00C61CE4">
        <w:rPr>
          <w:b/>
          <w:bCs/>
        </w:rPr>
        <w:t>ETH Zurich's soft robotics lab now grows prosthetics rather than manufacturing them</w:t>
      </w:r>
      <w:r w:rsidRPr="00C61CE4">
        <w:t>—biohybrid actuators heal rather than break.</w:t>
      </w:r>
    </w:p>
    <w:p w14:paraId="2C3AA7FB" w14:textId="593561E4" w:rsidR="00C61CE4" w:rsidRPr="00C61CE4" w:rsidRDefault="00C61CE4" w:rsidP="00C61CE4">
      <w:pPr>
        <w:numPr>
          <w:ilvl w:val="0"/>
          <w:numId w:val="1"/>
        </w:numPr>
        <w:jc w:val="both"/>
      </w:pPr>
      <w:r w:rsidRPr="00C61CE4">
        <w:rPr>
          <w:b/>
          <w:bCs/>
        </w:rPr>
        <w:t>Industrial &amp; military applications reshaping labo</w:t>
      </w:r>
      <w:r w:rsidRPr="00C61CE4">
        <w:rPr>
          <w:b/>
          <w:bCs/>
        </w:rPr>
        <w:t>u</w:t>
      </w:r>
      <w:r w:rsidRPr="00C61CE4">
        <w:rPr>
          <w:b/>
          <w:bCs/>
        </w:rPr>
        <w:t>r. German Bionic exosuits support 38 kg per lift</w:t>
      </w:r>
      <w:r w:rsidRPr="00C61CE4">
        <w:t xml:space="preserve">; military-grade versions alleviate 70% of carry load. Manual work becoming </w:t>
      </w:r>
      <w:r w:rsidRPr="00C61CE4">
        <w:lastRenderedPageBreak/>
        <w:t>easier, healthier, safer—capacity-expansion play for high-risk, physically demanding sectors.</w:t>
      </w:r>
    </w:p>
    <w:p w14:paraId="614B1BCD" w14:textId="77777777" w:rsidR="00C61CE4" w:rsidRPr="00C61CE4" w:rsidRDefault="00C61CE4" w:rsidP="00C61CE4">
      <w:pPr>
        <w:numPr>
          <w:ilvl w:val="0"/>
          <w:numId w:val="1"/>
        </w:numPr>
        <w:jc w:val="both"/>
      </w:pPr>
      <w:r w:rsidRPr="00C61CE4">
        <w:t>Adoption curve: therapeutic shifting to elective. </w:t>
      </w:r>
      <w:r w:rsidRPr="00C61CE4">
        <w:rPr>
          <w:b/>
          <w:bCs/>
        </w:rPr>
        <w:t>Current users 95% injury/disability-driven; by 2030, 25–30% adoption forecasted for performance enhancement in sports, military, industrial contexts.</w:t>
      </w:r>
      <w:r w:rsidRPr="00C61CE4">
        <w:t xml:space="preserve"> Emerging debates: therapeutic vs. enhancement boundaries, insurance coverage for elective augmentation, workplace fairness (augmented vs. non-augmented workers).</w:t>
      </w:r>
    </w:p>
    <w:p w14:paraId="19767C97" w14:textId="0DFC3280" w:rsidR="00C61CE4" w:rsidRPr="00C61CE4" w:rsidRDefault="00C61CE4" w:rsidP="00C61CE4">
      <w:pPr>
        <w:numPr>
          <w:ilvl w:val="0"/>
          <w:numId w:val="1"/>
        </w:numPr>
        <w:jc w:val="both"/>
      </w:pPr>
      <w:r w:rsidRPr="00C61CE4">
        <w:t xml:space="preserve">Regulatory competitive moat. International Paralympic Committee (IPC) enforces equipment safety and commercial availability standards. </w:t>
      </w:r>
      <w:r w:rsidRPr="00C61CE4">
        <w:rPr>
          <w:b/>
          <w:bCs/>
        </w:rPr>
        <w:t>Regulatory approval and reimbursement decisions—not technological capability—unlock scale</w:t>
      </w:r>
      <w:r w:rsidRPr="00C61CE4">
        <w:t xml:space="preserve">. </w:t>
      </w:r>
    </w:p>
    <w:p w14:paraId="71965CA8" w14:textId="77777777" w:rsidR="00C61CE4" w:rsidRPr="00C61CE4" w:rsidRDefault="00C61CE4" w:rsidP="00C61CE4">
      <w:pPr>
        <w:numPr>
          <w:ilvl w:val="0"/>
          <w:numId w:val="1"/>
        </w:numPr>
        <w:jc w:val="both"/>
      </w:pPr>
      <w:r w:rsidRPr="00C61CE4">
        <w:rPr>
          <w:b/>
          <w:bCs/>
        </w:rPr>
        <w:t>Investment implications: regulatory access &amp; consumer adoption are the critical gates.</w:t>
      </w:r>
      <w:r w:rsidRPr="00C61CE4">
        <w:t> Current investable universe concentrated in medical device incumbents; venture activity in soft robotics, neural interfaces, and artificial blood substitutes represents frontier of value creation.</w:t>
      </w:r>
    </w:p>
    <w:p w14:paraId="5F8C5792" w14:textId="7ADD0D15" w:rsidR="002C5B50" w:rsidRPr="00C61CE4" w:rsidRDefault="00C61CE4">
      <w:pPr>
        <w:rPr>
          <w:b/>
          <w:bCs/>
        </w:rPr>
      </w:pPr>
      <w:r w:rsidRPr="00C61CE4">
        <w:rPr>
          <w:b/>
          <w:bCs/>
        </w:rPr>
        <w:t>Ranking: 36/48</w:t>
      </w:r>
      <w:r w:rsidRPr="00C61CE4">
        <w:rPr>
          <w:b/>
          <w:bCs/>
        </w:rPr>
        <w:br/>
        <w:t>Score: 52</w:t>
      </w:r>
    </w:p>
    <w:sectPr w:rsidR="002C5B50" w:rsidRPr="00C61CE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EB4B50" w14:textId="77777777" w:rsidR="00C61CE4" w:rsidRDefault="00C61CE4" w:rsidP="00C61CE4">
      <w:pPr>
        <w:spacing w:after="0" w:line="240" w:lineRule="auto"/>
      </w:pPr>
      <w:r>
        <w:separator/>
      </w:r>
    </w:p>
  </w:endnote>
  <w:endnote w:type="continuationSeparator" w:id="0">
    <w:p w14:paraId="6CC59435" w14:textId="77777777" w:rsidR="00C61CE4" w:rsidRDefault="00C61CE4" w:rsidP="00C61C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15C5B6" w14:textId="77777777" w:rsidR="00C61CE4" w:rsidRDefault="00C61CE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7385C" w14:textId="77777777" w:rsidR="00C61CE4" w:rsidRDefault="00C61CE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1ABBE" w14:textId="77777777" w:rsidR="00C61CE4" w:rsidRDefault="00C61CE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ED0D0C" w14:textId="77777777" w:rsidR="00C61CE4" w:rsidRDefault="00C61CE4" w:rsidP="00C61CE4">
      <w:pPr>
        <w:spacing w:after="0" w:line="240" w:lineRule="auto"/>
      </w:pPr>
      <w:r>
        <w:separator/>
      </w:r>
    </w:p>
  </w:footnote>
  <w:footnote w:type="continuationSeparator" w:id="0">
    <w:p w14:paraId="5C127097" w14:textId="77777777" w:rsidR="00C61CE4" w:rsidRDefault="00C61CE4" w:rsidP="00C61C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51B40" w14:textId="77777777" w:rsidR="00C61CE4" w:rsidRDefault="00C61CE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CB78A5" w14:textId="77777777" w:rsidR="00C61CE4" w:rsidRDefault="00C61CE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DC56B5" w14:textId="77777777" w:rsidR="00C61CE4" w:rsidRDefault="00C61CE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116F51"/>
    <w:multiLevelType w:val="multilevel"/>
    <w:tmpl w:val="76146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053141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PWAFVersion" w:val="5.0"/>
  </w:docVars>
  <w:rsids>
    <w:rsidRoot w:val="00C61CE4"/>
    <w:rsid w:val="002C5B50"/>
    <w:rsid w:val="0039565D"/>
    <w:rsid w:val="0058528D"/>
    <w:rsid w:val="00792256"/>
    <w:rsid w:val="00C61CE4"/>
    <w:rsid w:val="00DB1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B3307"/>
  <w15:chartTrackingRefBased/>
  <w15:docId w15:val="{8F5C53F3-1CEE-4357-92F1-8401CCDF6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565D"/>
    <w:pPr>
      <w:keepNext/>
      <w:keepLines/>
      <w:spacing w:before="240" w:after="0"/>
      <w:outlineLvl w:val="0"/>
    </w:pPr>
    <w:rPr>
      <w:rFonts w:ascii="Aptos" w:eastAsiaTheme="majorEastAsia" w:hAnsi="Aptos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1C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C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C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C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C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C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C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C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565D"/>
    <w:rPr>
      <w:rFonts w:ascii="Aptos" w:eastAsiaTheme="majorEastAsia" w:hAnsi="Aptos" w:cstheme="majorBidi"/>
      <w:b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1C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C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C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C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C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C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C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C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C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C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C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C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1C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C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C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C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C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C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CE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61C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1CE4"/>
  </w:style>
  <w:style w:type="paragraph" w:styleId="Footer">
    <w:name w:val="footer"/>
    <w:basedOn w:val="Normal"/>
    <w:link w:val="FooterChar"/>
    <w:uiPriority w:val="99"/>
    <w:unhideWhenUsed/>
    <w:rsid w:val="00C61C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1CE4"/>
  </w:style>
  <w:style w:type="character" w:styleId="Hyperlink">
    <w:name w:val="Hyperlink"/>
    <w:basedOn w:val="DefaultParagraphFont"/>
    <w:uiPriority w:val="99"/>
    <w:unhideWhenUsed/>
    <w:rsid w:val="00C61CE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1C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apecapital.sharepoint.com/sites/InvestmentSolutions/Cape%20Weekly/Forms/AllItems.aspx?viewid=0d493cf1%2Db6da%2D46f6%2D8f0b%2D3cf2209e7060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capecapital.sharepoint.com/sites/InvestmentSolutions/Research/Forms/By%20creation%20date.aspx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548</Words>
  <Characters>2514</Characters>
  <Application>Microsoft Office Word</Application>
  <DocSecurity>0</DocSecurity>
  <Lines>41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raynar</dc:creator>
  <cp:keywords/>
  <dc:description/>
  <cp:lastModifiedBy>william raynar</cp:lastModifiedBy>
  <cp:revision>1</cp:revision>
  <dcterms:created xsi:type="dcterms:W3CDTF">2025-11-18T08:46:00Z</dcterms:created>
  <dcterms:modified xsi:type="dcterms:W3CDTF">2025-11-18T08:56:00Z</dcterms:modified>
</cp:coreProperties>
</file>