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DD15" w14:textId="70BED8F0" w:rsidR="00BE64AF" w:rsidRPr="00BE64AF" w:rsidRDefault="00BE64AF" w:rsidP="00BE64AF">
      <w:pPr>
        <w:spacing w:after="0"/>
        <w:rPr>
          <w:rFonts w:ascii="Arial" w:hAnsi="Arial" w:cs="Arial"/>
        </w:rPr>
      </w:pPr>
      <w:r w:rsidRPr="00BE64AF">
        <w:rPr>
          <w:rFonts w:ascii="Arial" w:hAnsi="Arial" w:cs="Arial"/>
        </w:rPr>
        <w:drawing>
          <wp:inline distT="0" distB="0" distL="0" distR="0" wp14:anchorId="64956353" wp14:editId="209FD5F5">
            <wp:extent cx="5731510" cy="3235960"/>
            <wp:effectExtent l="0" t="0" r="2540" b="2540"/>
            <wp:docPr id="2006661537" name="Picture 1" descr="A person sitting on a couch next to 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61537" name="Picture 1" descr="A person sitting on a couch next to a person in a suit&#10;&#10;AI-generated content may be incorrect."/>
                    <pic:cNvPicPr/>
                  </pic:nvPicPr>
                  <pic:blipFill>
                    <a:blip r:embed="rId7"/>
                    <a:stretch>
                      <a:fillRect/>
                    </a:stretch>
                  </pic:blipFill>
                  <pic:spPr>
                    <a:xfrm>
                      <a:off x="0" y="0"/>
                      <a:ext cx="5731510" cy="3235960"/>
                    </a:xfrm>
                    <a:prstGeom prst="rect">
                      <a:avLst/>
                    </a:prstGeom>
                  </pic:spPr>
                </pic:pic>
              </a:graphicData>
            </a:graphic>
          </wp:inline>
        </w:drawing>
      </w:r>
      <w:r w:rsidRPr="00BE64AF">
        <w:rPr>
          <w:rFonts w:ascii="Arial" w:hAnsi="Arial" w:cs="Arial"/>
        </w:rPr>
        <w:br/>
      </w:r>
      <w:r w:rsidRPr="00BE64AF">
        <w:rPr>
          <w:rFonts w:ascii="Arial" w:hAnsi="Arial" w:cs="Arial"/>
        </w:rPr>
        <w:br/>
      </w:r>
      <w:r w:rsidRPr="00BE64AF">
        <w:rPr>
          <w:rFonts w:ascii="Arial" w:hAnsi="Arial" w:cs="Arial"/>
        </w:rPr>
        <w:t xml:space="preserve">Presentation has been added to the usual folder (pdf): </w:t>
      </w:r>
      <w:r w:rsidRPr="00BE64AF">
        <w:rPr>
          <w:rFonts w:ascii="Arial" w:hAnsi="Arial" w:cs="Arial"/>
        </w:rPr>
        <w:br/>
      </w:r>
      <w:hyperlink r:id="rId8" w:history="1">
        <w:r w:rsidRPr="00BE64AF">
          <w:rPr>
            <w:rStyle w:val="Hyperlink"/>
            <w:rFonts w:ascii="Arial" w:hAnsi="Arial" w:cs="Arial"/>
          </w:rPr>
          <w:t>Investment Solutions - Cape newsletters - Gallery view</w:t>
        </w:r>
      </w:hyperlink>
    </w:p>
    <w:p w14:paraId="424F4552" w14:textId="77777777" w:rsidR="00BE64AF" w:rsidRPr="00BE64AF" w:rsidRDefault="00BE64AF" w:rsidP="00BE64AF">
      <w:pPr>
        <w:spacing w:after="0"/>
        <w:rPr>
          <w:rFonts w:ascii="Arial" w:hAnsi="Arial" w:cs="Arial"/>
        </w:rPr>
      </w:pPr>
    </w:p>
    <w:p w14:paraId="76233AB2" w14:textId="77777777" w:rsidR="00BE64AF" w:rsidRPr="00BE64AF" w:rsidRDefault="00BE64AF" w:rsidP="00BE64AF">
      <w:pPr>
        <w:spacing w:after="0"/>
        <w:rPr>
          <w:rFonts w:ascii="Arial" w:hAnsi="Arial" w:cs="Arial"/>
        </w:rPr>
      </w:pPr>
      <w:r w:rsidRPr="00BE64AF">
        <w:rPr>
          <w:rFonts w:ascii="Arial" w:hAnsi="Arial" w:cs="Arial"/>
        </w:rPr>
        <w:t xml:space="preserve">And to the Moonshot folder (ppt): </w:t>
      </w:r>
    </w:p>
    <w:p w14:paraId="408FABAF" w14:textId="77777777" w:rsidR="00BE64AF" w:rsidRPr="00BE64AF" w:rsidRDefault="00BE64AF" w:rsidP="00BE64AF">
      <w:pPr>
        <w:spacing w:after="0"/>
        <w:rPr>
          <w:rFonts w:ascii="Arial" w:hAnsi="Arial" w:cs="Arial"/>
        </w:rPr>
      </w:pPr>
      <w:hyperlink r:id="rId9" w:history="1">
        <w:r w:rsidRPr="00BE64AF">
          <w:rPr>
            <w:rStyle w:val="Hyperlink"/>
            <w:rFonts w:ascii="Arial" w:hAnsi="Arial" w:cs="Arial"/>
          </w:rPr>
          <w:t>Investment Solutions - Themes and moonshots - All Documents</w:t>
        </w:r>
      </w:hyperlink>
    </w:p>
    <w:p w14:paraId="617E87EF" w14:textId="77777777" w:rsidR="00BE64AF" w:rsidRPr="00BE64AF" w:rsidRDefault="00BE64AF" w:rsidP="00BE64AF">
      <w:pPr>
        <w:spacing w:after="0"/>
        <w:rPr>
          <w:rFonts w:ascii="Arial" w:hAnsi="Arial" w:cs="Arial"/>
        </w:rPr>
      </w:pPr>
    </w:p>
    <w:p w14:paraId="751747CA" w14:textId="4BF0B8D2" w:rsidR="00BE64AF" w:rsidRPr="00C414EA" w:rsidRDefault="00BE64AF" w:rsidP="00BE64AF">
      <w:pPr>
        <w:spacing w:after="0"/>
        <w:rPr>
          <w:rFonts w:ascii="Arial" w:hAnsi="Arial" w:cs="Arial"/>
          <w:b/>
          <w:bCs/>
        </w:rPr>
      </w:pPr>
      <w:r w:rsidRPr="00BE64AF">
        <w:rPr>
          <w:rFonts w:ascii="Arial" w:hAnsi="Arial" w:cs="Arial"/>
          <w:b/>
          <w:bCs/>
        </w:rPr>
        <w:t>Emotional AI - Summary</w:t>
      </w:r>
    </w:p>
    <w:p w14:paraId="17E6CDA2" w14:textId="2615352A"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b/>
          <w:bCs/>
        </w:rPr>
        <w:t xml:space="preserve">Emotional AI utilizes affective computing to interpret and respond to human emotions </w:t>
      </w:r>
      <w:r w:rsidRPr="00BE64AF">
        <w:rPr>
          <w:rFonts w:ascii="Arial" w:hAnsi="Arial" w:cs="Arial"/>
        </w:rPr>
        <w:t>via facial, vocal, physiological, and behavioral signals, driving more natural and context-aware human–computer interaction.</w:t>
      </w:r>
    </w:p>
    <w:p w14:paraId="0C6B6C23"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Global market value is estimated at USD 2.9 billion in 2024, with projections up to USD 15.7 billion by 2030 and USD 19.4 billion by 2034, reflecting sector CAGR estimates ranging from 21.7% to 28.6%.</w:t>
      </w:r>
    </w:p>
    <w:p w14:paraId="10203B9B"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Commercial deployments span healthcare (therapy support, mood monitoring), customer service (real-time agent assistance, adaptive chatbots), automotive (fatigue and stress detection, accident prevention), and education (student engagement tracking, adaptive tutoring), all with proven ROI.</w:t>
      </w:r>
    </w:p>
    <w:p w14:paraId="3F9B6853" w14:textId="77777777" w:rsidR="00BE64AF" w:rsidRPr="00BE64AF" w:rsidRDefault="00BE64AF" w:rsidP="00DC685C">
      <w:pPr>
        <w:numPr>
          <w:ilvl w:val="0"/>
          <w:numId w:val="1"/>
        </w:numPr>
        <w:tabs>
          <w:tab w:val="clear" w:pos="720"/>
          <w:tab w:val="num" w:pos="360"/>
        </w:tabs>
        <w:spacing w:after="0"/>
        <w:ind w:left="360"/>
        <w:rPr>
          <w:rFonts w:ascii="Arial" w:hAnsi="Arial" w:cs="Arial"/>
          <w:b/>
          <w:bCs/>
        </w:rPr>
      </w:pPr>
      <w:r w:rsidRPr="00BE64AF">
        <w:rPr>
          <w:rFonts w:ascii="Arial" w:hAnsi="Arial" w:cs="Arial"/>
          <w:b/>
          <w:bCs/>
        </w:rPr>
        <w:t>Technology trends include two converging tracks: empathetic conversational agents (LLMs) modulating tone and pace, and affective computing layers inferring states from multimodal signals (voice, text, video, wearable sensors).</w:t>
      </w:r>
    </w:p>
    <w:p w14:paraId="47FE08C6"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Major players range from global platforms (Google, Microsoft, Tencent, Meta, IBM) to specialized firms (Smart Eye, Affectiva, Hume AI, Empatica, Realeyes) and wearables integrators (Fitbit).</w:t>
      </w:r>
    </w:p>
    <w:p w14:paraId="77A37ED9"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Application models include romantic/companionship chatbots (e.g., Replika, Loverse) with millions of monthly active users and strong freemium monetization; products for aging and wellbeing show high satisfaction rates among users.</w:t>
      </w:r>
    </w:p>
    <w:p w14:paraId="564652C0"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Regulatory risk is heightened by privacy and data-protection concerns—workplace emotion recognition faces restrictions under EU AI Act and GDPR, with recent cases highlighting enforcement and audit consequences.</w:t>
      </w:r>
    </w:p>
    <w:p w14:paraId="62E17CC5" w14:textId="51D51BE2"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b/>
          <w:bCs/>
        </w:rPr>
        <w:lastRenderedPageBreak/>
        <w:t>Supply chain favo</w:t>
      </w:r>
      <w:r w:rsidRPr="00BE64AF">
        <w:rPr>
          <w:rFonts w:ascii="Arial" w:hAnsi="Arial" w:cs="Arial"/>
          <w:b/>
          <w:bCs/>
        </w:rPr>
        <w:t>u</w:t>
      </w:r>
      <w:r w:rsidRPr="00BE64AF">
        <w:rPr>
          <w:rFonts w:ascii="Arial" w:hAnsi="Arial" w:cs="Arial"/>
          <w:b/>
          <w:bCs/>
        </w:rPr>
        <w:t>rs software and cloud-based solutions over physical infrastructure, supporting low capital intensity and rapid scalability</w:t>
      </w:r>
      <w:r w:rsidRPr="00BE64AF">
        <w:rPr>
          <w:rFonts w:ascii="Arial" w:hAnsi="Arial" w:cs="Arial"/>
        </w:rPr>
        <w:t>, especially as over 70% of Fortune 100 companies are adopting some form of emotional AI.</w:t>
      </w:r>
    </w:p>
    <w:p w14:paraId="7F7C766B"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Market is globally distributed (NA, Europe, APAC); China’s Big Tech is investing in emotional AI for surveillance, customer service, and healthcare, expanding domestic and international reach.</w:t>
      </w:r>
    </w:p>
    <w:p w14:paraId="64D7D371"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b/>
          <w:bCs/>
        </w:rPr>
        <w:t>Key risks for investors: emotional surveillance, regulatory backlash, algorithmic bias, psychological dependence</w:t>
      </w:r>
      <w:r w:rsidRPr="00BE64AF">
        <w:rPr>
          <w:rFonts w:ascii="Arial" w:hAnsi="Arial" w:cs="Arial"/>
        </w:rPr>
        <w:t>, and potential erosion of human emotional intelligence through prolonged AI exposure.</w:t>
      </w:r>
    </w:p>
    <w:p w14:paraId="46D77788" w14:textId="77777777" w:rsidR="00BE64AF" w:rsidRPr="00BE64AF" w:rsidRDefault="00BE64AF" w:rsidP="00DC685C">
      <w:pPr>
        <w:numPr>
          <w:ilvl w:val="0"/>
          <w:numId w:val="1"/>
        </w:numPr>
        <w:tabs>
          <w:tab w:val="clear" w:pos="720"/>
          <w:tab w:val="num" w:pos="360"/>
        </w:tabs>
        <w:spacing w:after="0"/>
        <w:ind w:left="360"/>
        <w:rPr>
          <w:rFonts w:ascii="Arial" w:hAnsi="Arial" w:cs="Arial"/>
        </w:rPr>
      </w:pPr>
      <w:r w:rsidRPr="00BE64AF">
        <w:rPr>
          <w:rFonts w:ascii="Arial" w:hAnsi="Arial" w:cs="Arial"/>
        </w:rPr>
        <w:t>Social impact themes include AI-driven companionship, mental-health support (AI-therapies with documented clinical outcomes), and tools for workplace wellbeing and remote learning.</w:t>
      </w:r>
    </w:p>
    <w:p w14:paraId="487CDF0F" w14:textId="77777777" w:rsidR="00136222" w:rsidRDefault="00BE64AF" w:rsidP="00136222">
      <w:pPr>
        <w:numPr>
          <w:ilvl w:val="0"/>
          <w:numId w:val="1"/>
        </w:numPr>
        <w:tabs>
          <w:tab w:val="clear" w:pos="720"/>
          <w:tab w:val="num" w:pos="360"/>
        </w:tabs>
        <w:spacing w:after="0"/>
        <w:ind w:left="360"/>
        <w:rPr>
          <w:rFonts w:ascii="Arial" w:hAnsi="Arial" w:cs="Arial"/>
        </w:rPr>
      </w:pPr>
      <w:r w:rsidRPr="00BE64AF">
        <w:rPr>
          <w:rFonts w:ascii="Arial" w:hAnsi="Arial" w:cs="Arial"/>
        </w:rPr>
        <w:t>Convergence themes: AGI, Metaverse, brain-computer interfaces, cybersecurity, post-quantum cryptography, humanoids, and longevity technologies.</w:t>
      </w:r>
    </w:p>
    <w:p w14:paraId="2912249B" w14:textId="36ED92B7" w:rsidR="00136222" w:rsidRPr="00BE64AF" w:rsidRDefault="00136222" w:rsidP="00136222">
      <w:pPr>
        <w:numPr>
          <w:ilvl w:val="0"/>
          <w:numId w:val="1"/>
        </w:numPr>
        <w:tabs>
          <w:tab w:val="clear" w:pos="720"/>
          <w:tab w:val="num" w:pos="360"/>
        </w:tabs>
        <w:spacing w:after="0"/>
        <w:ind w:left="360"/>
        <w:rPr>
          <w:rFonts w:ascii="Arial" w:hAnsi="Arial" w:cs="Arial"/>
        </w:rPr>
      </w:pPr>
      <w:r w:rsidRPr="00BE64AF">
        <w:rPr>
          <w:rFonts w:ascii="Arial" w:hAnsi="Arial" w:cs="Arial"/>
        </w:rPr>
        <w:t>ETFs include Global X AI &amp; Technology, ARK Autonomous Technology &amp; Robotics, First Trust NASDAQ AI, iShares Robotics &amp; Artificial Intelligence Multisector.</w:t>
      </w:r>
    </w:p>
    <w:p w14:paraId="1F68AFD1" w14:textId="77777777" w:rsidR="00BE64AF" w:rsidRDefault="00BE64AF" w:rsidP="00DC685C">
      <w:pPr>
        <w:spacing w:after="0"/>
        <w:rPr>
          <w:rFonts w:ascii="Arial" w:hAnsi="Arial" w:cs="Arial"/>
        </w:rPr>
      </w:pPr>
    </w:p>
    <w:p w14:paraId="590F6F67" w14:textId="79420304" w:rsidR="00324BEF" w:rsidRPr="00544309" w:rsidRDefault="00BE64AF" w:rsidP="00324BEF">
      <w:pPr>
        <w:spacing w:after="0"/>
        <w:rPr>
          <w:rFonts w:ascii="Arial" w:hAnsi="Arial" w:cs="Arial"/>
        </w:rPr>
      </w:pPr>
      <w:r w:rsidRPr="00BE64AF">
        <w:rPr>
          <w:rFonts w:ascii="Arial" w:hAnsi="Arial" w:cs="Arial"/>
          <w:b/>
          <w:bCs/>
        </w:rPr>
        <w:t xml:space="preserve">Cape Capital assessment: Weighted score 43/65, </w:t>
      </w:r>
      <w:r w:rsidRPr="00BE64AF">
        <w:rPr>
          <w:rFonts w:ascii="Arial" w:hAnsi="Arial" w:cs="Arial"/>
        </w:rPr>
        <w:t>strong growth and adoption potential but moderated by regulatory uncertainty</w:t>
      </w:r>
      <w:r w:rsidR="00324BEF" w:rsidRPr="00324BEF">
        <w:rPr>
          <w:rFonts w:ascii="Arial" w:hAnsi="Arial" w:cs="Arial"/>
        </w:rPr>
        <w:t>.</w:t>
      </w:r>
    </w:p>
    <w:p w14:paraId="6015E028" w14:textId="5C57E64B" w:rsidR="002C5B50" w:rsidRPr="005E7B7E" w:rsidRDefault="00DC685C" w:rsidP="00BE64AF">
      <w:pPr>
        <w:spacing w:after="0"/>
        <w:rPr>
          <w:rFonts w:ascii="Arial" w:hAnsi="Arial" w:cs="Arial"/>
          <w:b/>
          <w:bCs/>
        </w:rPr>
      </w:pPr>
      <w:r w:rsidRPr="005E7B7E">
        <w:rPr>
          <w:rFonts w:ascii="Arial" w:hAnsi="Arial" w:cs="Arial"/>
          <w:b/>
          <w:bCs/>
        </w:rPr>
        <w:t xml:space="preserve">Rank: </w:t>
      </w:r>
      <w:r w:rsidR="005E7B7E" w:rsidRPr="005E7B7E">
        <w:rPr>
          <w:rFonts w:ascii="Arial" w:hAnsi="Arial" w:cs="Arial"/>
          <w:b/>
          <w:bCs/>
        </w:rPr>
        <w:t>22</w:t>
      </w:r>
      <w:r w:rsidR="00927CFC">
        <w:rPr>
          <w:rFonts w:ascii="Arial" w:hAnsi="Arial" w:cs="Arial"/>
          <w:b/>
          <w:bCs/>
        </w:rPr>
        <w:t>th</w:t>
      </w:r>
      <w:r w:rsidR="005E7B7E" w:rsidRPr="005E7B7E">
        <w:rPr>
          <w:rFonts w:ascii="Arial" w:hAnsi="Arial" w:cs="Arial"/>
          <w:b/>
          <w:bCs/>
        </w:rPr>
        <w:t xml:space="preserve"> out of 48</w:t>
      </w:r>
      <w:r w:rsidR="005E7B7E" w:rsidRPr="005E7B7E">
        <w:rPr>
          <w:rFonts w:ascii="Arial" w:hAnsi="Arial" w:cs="Arial"/>
          <w:b/>
          <w:bCs/>
        </w:rPr>
        <w:br/>
        <w:t>Convergence ranking: 14 out of 48 (high convergence score)</w:t>
      </w:r>
    </w:p>
    <w:sectPr w:rsidR="002C5B50" w:rsidRPr="005E7B7E">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6B4D" w14:textId="77777777" w:rsidR="00781952" w:rsidRDefault="00781952" w:rsidP="00BE64AF">
      <w:pPr>
        <w:spacing w:after="0" w:line="240" w:lineRule="auto"/>
      </w:pPr>
      <w:r>
        <w:separator/>
      </w:r>
    </w:p>
  </w:endnote>
  <w:endnote w:type="continuationSeparator" w:id="0">
    <w:p w14:paraId="06A66133" w14:textId="77777777" w:rsidR="00781952" w:rsidRDefault="00781952" w:rsidP="00BE6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B4EB" w14:textId="77777777" w:rsidR="00BE64AF" w:rsidRDefault="00BE6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368F" w14:textId="77777777" w:rsidR="00BE64AF" w:rsidRDefault="00BE64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AA93" w14:textId="77777777" w:rsidR="00BE64AF" w:rsidRDefault="00BE6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1D42" w14:textId="77777777" w:rsidR="00781952" w:rsidRDefault="00781952" w:rsidP="00BE64AF">
      <w:pPr>
        <w:spacing w:after="0" w:line="240" w:lineRule="auto"/>
      </w:pPr>
      <w:r>
        <w:separator/>
      </w:r>
    </w:p>
  </w:footnote>
  <w:footnote w:type="continuationSeparator" w:id="0">
    <w:p w14:paraId="5CE6CCA0" w14:textId="77777777" w:rsidR="00781952" w:rsidRDefault="00781952" w:rsidP="00BE6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A114" w14:textId="77777777" w:rsidR="00BE64AF" w:rsidRDefault="00BE6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A59C" w14:textId="77777777" w:rsidR="00BE64AF" w:rsidRDefault="00BE64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06C3" w14:textId="77777777" w:rsidR="00BE64AF" w:rsidRDefault="00BE64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0CD7"/>
    <w:multiLevelType w:val="multilevel"/>
    <w:tmpl w:val="705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811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E64AF"/>
    <w:rsid w:val="00136222"/>
    <w:rsid w:val="002C5B50"/>
    <w:rsid w:val="00324BEF"/>
    <w:rsid w:val="0039565D"/>
    <w:rsid w:val="00544309"/>
    <w:rsid w:val="005E7B7E"/>
    <w:rsid w:val="00781952"/>
    <w:rsid w:val="007911E1"/>
    <w:rsid w:val="00792256"/>
    <w:rsid w:val="0083149C"/>
    <w:rsid w:val="00927CFC"/>
    <w:rsid w:val="00BE64AF"/>
    <w:rsid w:val="00C414EA"/>
    <w:rsid w:val="00DC68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7510"/>
  <w15:chartTrackingRefBased/>
  <w15:docId w15:val="{9C370A12-ACF4-4DAB-A3EF-C03C0357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4AF"/>
  </w:style>
  <w:style w:type="paragraph" w:styleId="Heading1">
    <w:name w:val="heading 1"/>
    <w:basedOn w:val="Normal"/>
    <w:next w:val="Normal"/>
    <w:link w:val="Heading1Char"/>
    <w:uiPriority w:val="9"/>
    <w:qFormat/>
    <w:rsid w:val="0039565D"/>
    <w:pPr>
      <w:keepNext/>
      <w:keepLines/>
      <w:spacing w:before="240" w:after="0"/>
      <w:outlineLvl w:val="0"/>
    </w:pPr>
    <w:rPr>
      <w:rFonts w:ascii="Aptos" w:eastAsiaTheme="majorEastAsia" w:hAnsi="Aptos" w:cstheme="majorBidi"/>
      <w:b/>
      <w:color w:val="000000" w:themeColor="text1"/>
      <w:sz w:val="32"/>
      <w:szCs w:val="32"/>
    </w:rPr>
  </w:style>
  <w:style w:type="paragraph" w:styleId="Heading2">
    <w:name w:val="heading 2"/>
    <w:basedOn w:val="Normal"/>
    <w:next w:val="Normal"/>
    <w:link w:val="Heading2Char"/>
    <w:uiPriority w:val="9"/>
    <w:semiHidden/>
    <w:unhideWhenUsed/>
    <w:qFormat/>
    <w:rsid w:val="00BE6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5D"/>
    <w:rPr>
      <w:rFonts w:ascii="Aptos" w:eastAsiaTheme="majorEastAsia" w:hAnsi="Aptos" w:cstheme="majorBidi"/>
      <w:b/>
      <w:color w:val="000000" w:themeColor="text1"/>
      <w:sz w:val="32"/>
      <w:szCs w:val="32"/>
    </w:rPr>
  </w:style>
  <w:style w:type="character" w:customStyle="1" w:styleId="Heading2Char">
    <w:name w:val="Heading 2 Char"/>
    <w:basedOn w:val="DefaultParagraphFont"/>
    <w:link w:val="Heading2"/>
    <w:uiPriority w:val="9"/>
    <w:semiHidden/>
    <w:rsid w:val="00BE6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4AF"/>
    <w:rPr>
      <w:rFonts w:eastAsiaTheme="majorEastAsia" w:cstheme="majorBidi"/>
      <w:color w:val="272727" w:themeColor="text1" w:themeTint="D8"/>
    </w:rPr>
  </w:style>
  <w:style w:type="paragraph" w:styleId="Title">
    <w:name w:val="Title"/>
    <w:basedOn w:val="Normal"/>
    <w:next w:val="Normal"/>
    <w:link w:val="TitleChar"/>
    <w:uiPriority w:val="10"/>
    <w:qFormat/>
    <w:rsid w:val="00BE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4AF"/>
    <w:pPr>
      <w:spacing w:before="160"/>
      <w:jc w:val="center"/>
    </w:pPr>
    <w:rPr>
      <w:i/>
      <w:iCs/>
      <w:color w:val="404040" w:themeColor="text1" w:themeTint="BF"/>
    </w:rPr>
  </w:style>
  <w:style w:type="character" w:customStyle="1" w:styleId="QuoteChar">
    <w:name w:val="Quote Char"/>
    <w:basedOn w:val="DefaultParagraphFont"/>
    <w:link w:val="Quote"/>
    <w:uiPriority w:val="29"/>
    <w:rsid w:val="00BE64AF"/>
    <w:rPr>
      <w:i/>
      <w:iCs/>
      <w:color w:val="404040" w:themeColor="text1" w:themeTint="BF"/>
    </w:rPr>
  </w:style>
  <w:style w:type="paragraph" w:styleId="ListParagraph">
    <w:name w:val="List Paragraph"/>
    <w:basedOn w:val="Normal"/>
    <w:uiPriority w:val="34"/>
    <w:qFormat/>
    <w:rsid w:val="00BE64AF"/>
    <w:pPr>
      <w:ind w:left="720"/>
      <w:contextualSpacing/>
    </w:pPr>
  </w:style>
  <w:style w:type="character" w:styleId="IntenseEmphasis">
    <w:name w:val="Intense Emphasis"/>
    <w:basedOn w:val="DefaultParagraphFont"/>
    <w:uiPriority w:val="21"/>
    <w:qFormat/>
    <w:rsid w:val="00BE64AF"/>
    <w:rPr>
      <w:i/>
      <w:iCs/>
      <w:color w:val="0F4761" w:themeColor="accent1" w:themeShade="BF"/>
    </w:rPr>
  </w:style>
  <w:style w:type="paragraph" w:styleId="IntenseQuote">
    <w:name w:val="Intense Quote"/>
    <w:basedOn w:val="Normal"/>
    <w:next w:val="Normal"/>
    <w:link w:val="IntenseQuoteChar"/>
    <w:uiPriority w:val="30"/>
    <w:qFormat/>
    <w:rsid w:val="00BE6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4AF"/>
    <w:rPr>
      <w:i/>
      <w:iCs/>
      <w:color w:val="0F4761" w:themeColor="accent1" w:themeShade="BF"/>
    </w:rPr>
  </w:style>
  <w:style w:type="character" w:styleId="IntenseReference">
    <w:name w:val="Intense Reference"/>
    <w:basedOn w:val="DefaultParagraphFont"/>
    <w:uiPriority w:val="32"/>
    <w:qFormat/>
    <w:rsid w:val="00BE64AF"/>
    <w:rPr>
      <w:b/>
      <w:bCs/>
      <w:smallCaps/>
      <w:color w:val="0F4761" w:themeColor="accent1" w:themeShade="BF"/>
      <w:spacing w:val="5"/>
    </w:rPr>
  </w:style>
  <w:style w:type="paragraph" w:styleId="Header">
    <w:name w:val="header"/>
    <w:basedOn w:val="Normal"/>
    <w:link w:val="HeaderChar"/>
    <w:uiPriority w:val="99"/>
    <w:unhideWhenUsed/>
    <w:rsid w:val="00BE64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64AF"/>
  </w:style>
  <w:style w:type="paragraph" w:styleId="Footer">
    <w:name w:val="footer"/>
    <w:basedOn w:val="Normal"/>
    <w:link w:val="FooterChar"/>
    <w:uiPriority w:val="99"/>
    <w:unhideWhenUsed/>
    <w:rsid w:val="00BE64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4AF"/>
  </w:style>
  <w:style w:type="character" w:styleId="Hyperlink">
    <w:name w:val="Hyperlink"/>
    <w:basedOn w:val="DefaultParagraphFont"/>
    <w:uiPriority w:val="99"/>
    <w:unhideWhenUsed/>
    <w:rsid w:val="00BE64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ecapital.sharepoint.com/sites/InvestmentSolutions/Cape%20Weekly/Forms/AllItems.aspx?id=%2Fsites%2FInvestmentSolutions%2FCape%20Weekly&amp;viewid=0d493cf1%2Db6da%2D46f6%2D8f0b%2D3cf2209e7060&amp;ovuser=118cdc05%2Dcb02%2D4000%2D9284%2Dfd6884ef7d04%2Cwilliam%2Eraynar%40capecapital%2Ecom&amp;OR=Teams%2DHL&amp;CT=1758009434307&amp;clickparams=eyJBcHBOYW1lIjoiVGVhbXMtRGVza3RvcCIsIkFwcFZlcnNpb24iOiI0OS8yNTA4MTUwMDcxNyIsIkhhc0ZlZGVyYXRlZFVzZXIiOmZhbHNlfQ%3D%3D"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pecapital.sharepoint.com/sites/InvestmentSolutions/Research/Forms/AllItems.aspx?viewid=ec517e21%2D430e%2D4052%2D99dc%2Dde3c32a23c87&amp;ovuser=118cdc05%2Dcb02%2D4000%2D9284%2Dfd6884ef7d04%2Cwilliam%2Eraynar%40capecapital%2Ecom&amp;OR=Teams%2DHL&amp;CT=1759218300468&amp;clickparams=eyJBcHBOYW1lIjoiVGVhbXMtRGVza3RvcCIsIkFwcFZlcnNpb24iOiI0OS8yNTA4MjgxNzkxMiIsIkhhc0ZlZGVyYXRlZFVzZXIiOmZhbHNlfQ%3D%3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499</Words>
  <Characters>3477</Characters>
  <Application>Microsoft Office Word</Application>
  <DocSecurity>0</DocSecurity>
  <Lines>63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raynar</dc:creator>
  <cp:keywords/>
  <dc:description/>
  <cp:lastModifiedBy>william raynar</cp:lastModifiedBy>
  <cp:revision>8</cp:revision>
  <dcterms:created xsi:type="dcterms:W3CDTF">2025-10-14T07:59:00Z</dcterms:created>
  <dcterms:modified xsi:type="dcterms:W3CDTF">2025-10-14T08:41:00Z</dcterms:modified>
</cp:coreProperties>
</file>