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B3A11" w14:textId="43B7091A" w:rsidR="001F14E3" w:rsidRDefault="001F14E3" w:rsidP="001F14E3">
      <w:pPr>
        <w:jc w:val="both"/>
      </w:pPr>
      <w:r w:rsidRPr="001F14E3">
        <w:br/>
      </w:r>
      <w:r w:rsidRPr="001F14E3">
        <w:br/>
      </w:r>
      <w:r w:rsidRPr="001F14E3">
        <w:drawing>
          <wp:inline distT="0" distB="0" distL="0" distR="0" wp14:anchorId="5FE4FDFD" wp14:editId="231614FE">
            <wp:extent cx="5731510" cy="3234690"/>
            <wp:effectExtent l="0" t="0" r="2540" b="3810"/>
            <wp:docPr id="222140349" name="Picture 1" descr="A person wearing gog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40349" name="Picture 1" descr="A person wearing goggles&#10;&#10;AI-generated content may be incorrect."/>
                    <pic:cNvPicPr/>
                  </pic:nvPicPr>
                  <pic:blipFill>
                    <a:blip r:embed="rId7"/>
                    <a:stretch>
                      <a:fillRect/>
                    </a:stretch>
                  </pic:blipFill>
                  <pic:spPr>
                    <a:xfrm>
                      <a:off x="0" y="0"/>
                      <a:ext cx="5731510" cy="3234690"/>
                    </a:xfrm>
                    <a:prstGeom prst="rect">
                      <a:avLst/>
                    </a:prstGeom>
                  </pic:spPr>
                </pic:pic>
              </a:graphicData>
            </a:graphic>
          </wp:inline>
        </w:drawing>
      </w:r>
    </w:p>
    <w:p w14:paraId="0070C547" w14:textId="77777777" w:rsidR="00C1325D" w:rsidRPr="00C1325D" w:rsidRDefault="00C1325D" w:rsidP="001F14E3">
      <w:pPr>
        <w:jc w:val="both"/>
        <w:rPr>
          <w:b/>
          <w:bCs/>
        </w:rPr>
      </w:pPr>
      <w:r>
        <w:br/>
      </w:r>
      <w:r w:rsidRPr="00C1325D">
        <w:rPr>
          <w:b/>
          <w:bCs/>
        </w:rPr>
        <w:t>Interfaces and immersive tech / Metaverse</w:t>
      </w:r>
    </w:p>
    <w:p w14:paraId="3C6BF770" w14:textId="014CDB76" w:rsidR="001F14E3" w:rsidRDefault="00C1325D" w:rsidP="001F14E3">
      <w:pPr>
        <w:jc w:val="both"/>
      </w:pPr>
      <w:r w:rsidRPr="00C1325D">
        <w:t xml:space="preserve">Presentation has been added to the </w:t>
      </w:r>
      <w:hyperlink r:id="rId8" w:tgtFrame="_blank" w:tooltip="https://capecapital.sharepoint.com/sites/investmentsolutions/cape%20weekly/forms/allitems.aspx?viewid=0d493cf1%2db6da%2d46f6%2d8f0b%2d3cf2209e7060&amp;xsdata=mdv8mdj8fgzjy2jjnzkyztqxyzq2ntqxmwe3mdhkzti2oda1nzmwfdexognkyza1y2iwmjqwmda5mjg0zmq2odg0zwy3zda0fdb8mhw2mzg5ota1mjk3otm2mjy1mzv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ek5evtjnvgm0twprmhw4n2fmothlndy5ztm0mzyzmtfhnza4zguynjgwntczmhxkmdi4n2e2nzczyzk0ndi2ogzhyjc5zdrkntqzzjqxoa%3d%3d&amp;sdata=qitivhrydtaxsjrsagrlclk1agzzdzjyv2tzutjnzkjjy2dkbk9mrk9zdz0%3d&amp;ovuser=118cdc05-cb02-4000-9284-fd6884ef7d04%2cwilliam.raynar%40capecapital.com" w:history="1">
        <w:r w:rsidRPr="00C1325D">
          <w:rPr>
            <w:rStyle w:val="Hyperlink"/>
          </w:rPr>
          <w:t>usual folder (pdf)</w:t>
        </w:r>
      </w:hyperlink>
      <w:r w:rsidRPr="00C1325D">
        <w:t xml:space="preserve"> and to the </w:t>
      </w:r>
      <w:hyperlink r:id="rId9" w:tgtFrame="_blank" w:tooltip="https://capecapital.sharepoint.com/sites/investmentsolutions/research/forms/by%20creation%20date.aspx?xsdata=mdv8mdj8fgzjy2jjnzkyztqxyzq2ntqxmwe3mdhkzti2oda1nzmwfdexognkyza1y2iwmjqwmda5mjg0zmq2odg0zwy3zda0fdb8mhw2mzg5ota1mjk3otm2mjy1mzv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ek5evtjnvgm0twprmhw4n2fmothlndy5ztm0mzyzmtfhnza4zguynjgwntczmhxkmdi4n2e2nzczyzk0ndi2ogzhyjc5zdrkntqzzjqxoa%3d%3d&amp;sdata=cmlzru00t0npv3d4rnnqbflkqlnzbdjwn1dzb3ppyjhzufnpugewdmvodz0%3d&amp;ovuser=118cdc05-cb02-4000-9284-fd6884ef7d04%2cwilliam.raynar%40capecapital.com" w:history="1">
        <w:r w:rsidRPr="00C1325D">
          <w:rPr>
            <w:rStyle w:val="Hyperlink"/>
          </w:rPr>
          <w:t>Moonshot folder (ppt).</w:t>
        </w:r>
      </w:hyperlink>
    </w:p>
    <w:p w14:paraId="0D555414" w14:textId="2F1E6741" w:rsidR="001F14E3" w:rsidRPr="001F14E3" w:rsidRDefault="001F14E3" w:rsidP="001F14E3">
      <w:pPr>
        <w:jc w:val="both"/>
      </w:pPr>
      <w:r w:rsidRPr="001F14E3">
        <w:t>Metaverse infrastructure represents potential displacement of USD 29.46tn e-commerce, USD 600bn advertising, and education markets</w:t>
      </w:r>
    </w:p>
    <w:p w14:paraId="1D873DC9" w14:textId="7C2894D4" w:rsidR="001F14E3" w:rsidRPr="001F14E3" w:rsidRDefault="001F14E3" w:rsidP="001F14E3">
      <w:pPr>
        <w:numPr>
          <w:ilvl w:val="0"/>
          <w:numId w:val="1"/>
        </w:numPr>
        <w:jc w:val="both"/>
        <w:rPr>
          <w:b/>
          <w:bCs/>
        </w:rPr>
      </w:pPr>
      <w:r w:rsidRPr="001F14E3">
        <w:rPr>
          <w:b/>
          <w:bCs/>
        </w:rPr>
        <w:t>Metaverse market projections vary wildly</w:t>
      </w:r>
      <w:r w:rsidRPr="001F14E3">
        <w:t xml:space="preserve"> (USD 518bn-7.6tn by 2030-2034; CAGR 18.7%-46.4%) due to definition challenges: tomorrow's A</w:t>
      </w:r>
      <w:r>
        <w:t>ugmented Reality (AR)</w:t>
      </w:r>
      <w:r w:rsidRPr="001F14E3">
        <w:t xml:space="preserve"> e-commerce isn't net-new revenue</w:t>
      </w:r>
      <w:r>
        <w:t xml:space="preserve">, </w:t>
      </w:r>
      <w:r w:rsidRPr="001F14E3">
        <w:rPr>
          <w:b/>
          <w:bCs/>
        </w:rPr>
        <w:t xml:space="preserve">it's interface transformation of the existing </w:t>
      </w:r>
      <w:r w:rsidRPr="001F14E3">
        <w:rPr>
          <w:b/>
          <w:bCs/>
          <w:color w:val="C00000"/>
        </w:rPr>
        <w:t>USD 29.46tn e-commerce market</w:t>
      </w:r>
      <w:r w:rsidRPr="001F14E3">
        <w:rPr>
          <w:b/>
          <w:bCs/>
        </w:rPr>
        <w:t>.</w:t>
      </w:r>
    </w:p>
    <w:p w14:paraId="685A1C89" w14:textId="77777777" w:rsidR="001F14E3" w:rsidRPr="001F14E3" w:rsidRDefault="001F14E3" w:rsidP="001F14E3">
      <w:pPr>
        <w:numPr>
          <w:ilvl w:val="0"/>
          <w:numId w:val="1"/>
        </w:numPr>
        <w:jc w:val="both"/>
      </w:pPr>
      <w:r w:rsidRPr="001F14E3">
        <w:rPr>
          <w:b/>
          <w:bCs/>
        </w:rPr>
        <w:t xml:space="preserve">The 2021-2022 boom-bust cycle: The Sandbox token fell 98% </w:t>
      </w:r>
      <w:r w:rsidRPr="001F14E3">
        <w:t xml:space="preserve">(USD 7.40 to USD 0.38); monthly trading volume collapsed 96%; metaverse land prices crashed 90%; 50% staff </w:t>
      </w:r>
      <w:proofErr w:type="gramStart"/>
      <w:r w:rsidRPr="001F14E3">
        <w:t>cuts</w:t>
      </w:r>
      <w:proofErr w:type="gramEnd"/>
      <w:r w:rsidRPr="001F14E3">
        <w:t xml:space="preserve"> across platforms as "investment opportunity" pivoted to "blockchain gaming ecosystem."</w:t>
      </w:r>
    </w:p>
    <w:p w14:paraId="6405AFC6" w14:textId="4F28D93C" w:rsidR="001F14E3" w:rsidRPr="001F14E3" w:rsidRDefault="001F14E3" w:rsidP="001F14E3">
      <w:pPr>
        <w:numPr>
          <w:ilvl w:val="0"/>
          <w:numId w:val="1"/>
        </w:numPr>
        <w:jc w:val="both"/>
      </w:pPr>
      <w:r w:rsidRPr="001F14E3">
        <w:t xml:space="preserve">Hardware maturation accelerating: Apple Vision Pro (February 2024, USD 3,499); Samsung Galaxy XR (October 2025, USD 1,799); </w:t>
      </w:r>
      <w:r w:rsidRPr="001F14E3">
        <w:rPr>
          <w:b/>
          <w:bCs/>
        </w:rPr>
        <w:t xml:space="preserve">Meta Reality Labs accumulated USD 60bn+ cumulative </w:t>
      </w:r>
      <w:r w:rsidRPr="001F14E3">
        <w:rPr>
          <w:b/>
          <w:bCs/>
        </w:rPr>
        <w:t>losses,</w:t>
      </w:r>
      <w:r w:rsidRPr="001F14E3">
        <w:rPr>
          <w:b/>
          <w:bCs/>
        </w:rPr>
        <w:t xml:space="preserve"> but Ray-Ban Meta glasses hit 2m units</w:t>
      </w:r>
      <w:r w:rsidRPr="001F14E3">
        <w:t xml:space="preserve"> (October 2023-present), H1 2025 revenue tripled YoY, production scaling to 10m units annually by 2026. Meta recently announced deep cuts to metaverse efforts (December 4, 2025).</w:t>
      </w:r>
    </w:p>
    <w:p w14:paraId="64A1EA77" w14:textId="742375EA" w:rsidR="001F14E3" w:rsidRPr="001F14E3" w:rsidRDefault="001F14E3" w:rsidP="001F14E3">
      <w:pPr>
        <w:numPr>
          <w:ilvl w:val="0"/>
          <w:numId w:val="1"/>
        </w:numPr>
        <w:jc w:val="both"/>
        <w:rPr>
          <w:b/>
          <w:bCs/>
        </w:rPr>
      </w:pPr>
      <w:r w:rsidRPr="001F14E3">
        <w:rPr>
          <w:b/>
          <w:bCs/>
        </w:rPr>
        <w:t xml:space="preserve">Spatial computing </w:t>
      </w:r>
      <w:r w:rsidRPr="001F14E3">
        <w:rPr>
          <w:b/>
          <w:bCs/>
        </w:rPr>
        <w:t>and</w:t>
      </w:r>
      <w:r w:rsidRPr="001F14E3">
        <w:rPr>
          <w:b/>
          <w:bCs/>
        </w:rPr>
        <w:t xml:space="preserve"> digital twins: Nvidia Omniverse platform supports 300,000+ downloads, 252+ enterprise deployments across manufacturing</w:t>
      </w:r>
      <w:r>
        <w:rPr>
          <w:b/>
          <w:bCs/>
        </w:rPr>
        <w:t xml:space="preserve"> </w:t>
      </w:r>
      <w:r w:rsidRPr="001F14E3">
        <w:rPr>
          <w:b/>
          <w:bCs/>
        </w:rPr>
        <w:t>/</w:t>
      </w:r>
      <w:r>
        <w:rPr>
          <w:b/>
          <w:bCs/>
        </w:rPr>
        <w:t xml:space="preserve"> </w:t>
      </w:r>
      <w:r w:rsidRPr="001F14E3">
        <w:rPr>
          <w:b/>
          <w:bCs/>
        </w:rPr>
        <w:t>automotive</w:t>
      </w:r>
      <w:r>
        <w:rPr>
          <w:b/>
          <w:bCs/>
        </w:rPr>
        <w:t xml:space="preserve"> </w:t>
      </w:r>
      <w:r w:rsidRPr="001F14E3">
        <w:rPr>
          <w:b/>
          <w:bCs/>
        </w:rPr>
        <w:t>/</w:t>
      </w:r>
      <w:r>
        <w:rPr>
          <w:b/>
          <w:bCs/>
        </w:rPr>
        <w:t xml:space="preserve"> </w:t>
      </w:r>
      <w:r w:rsidRPr="001F14E3">
        <w:rPr>
          <w:b/>
          <w:bCs/>
        </w:rPr>
        <w:t>robotics for real-time physics-accurate simulation.</w:t>
      </w:r>
    </w:p>
    <w:p w14:paraId="188D8681" w14:textId="37AE300C" w:rsidR="001F14E3" w:rsidRPr="001F14E3" w:rsidRDefault="001F14E3" w:rsidP="001F14E3">
      <w:pPr>
        <w:numPr>
          <w:ilvl w:val="0"/>
          <w:numId w:val="1"/>
        </w:numPr>
        <w:jc w:val="both"/>
      </w:pPr>
      <w:r w:rsidRPr="001F14E3">
        <w:t>World Models critical to AGI: Yann LeCun (</w:t>
      </w:r>
      <w:r>
        <w:t>ex-</w:t>
      </w:r>
      <w:r w:rsidRPr="001F14E3">
        <w:t xml:space="preserve">Meta) and Fei-Fei Li (World Labs) champion </w:t>
      </w:r>
      <w:r w:rsidRPr="001F14E3">
        <w:rPr>
          <w:b/>
          <w:bCs/>
          <w:color w:val="C00000"/>
        </w:rPr>
        <w:t xml:space="preserve">world models </w:t>
      </w:r>
      <w:r w:rsidRPr="001F14E3">
        <w:rPr>
          <w:b/>
          <w:bCs/>
        </w:rPr>
        <w:t>as AGI's missing piece</w:t>
      </w:r>
      <w:r w:rsidRPr="001F14E3">
        <w:rPr>
          <w:b/>
          <w:bCs/>
        </w:rPr>
        <w:t xml:space="preserve">; </w:t>
      </w:r>
      <w:r w:rsidRPr="001F14E3">
        <w:rPr>
          <w:b/>
          <w:bCs/>
        </w:rPr>
        <w:t>spatial intelligence enabling machines to understand 3D reality, predict outcomes, and interact physically</w:t>
      </w:r>
      <w:r w:rsidRPr="001F14E3">
        <w:t xml:space="preserve">. LeCun predicts </w:t>
      </w:r>
      <w:r w:rsidRPr="001F14E3">
        <w:lastRenderedPageBreak/>
        <w:t>embodied AGI prototype within 10 years; current LLMs "will be obsolete in 3-5 years" without spatial understanding.</w:t>
      </w:r>
    </w:p>
    <w:p w14:paraId="086DBC1D" w14:textId="77777777" w:rsidR="001F14E3" w:rsidRPr="001F14E3" w:rsidRDefault="001F14E3" w:rsidP="001F14E3">
      <w:pPr>
        <w:numPr>
          <w:ilvl w:val="0"/>
          <w:numId w:val="1"/>
        </w:numPr>
        <w:jc w:val="both"/>
      </w:pPr>
      <w:r w:rsidRPr="001F14E3">
        <w:t xml:space="preserve">Enterprise adoption: Osso VR-trained medical students 20% faster with 38% higher accuracy; </w:t>
      </w:r>
      <w:r w:rsidRPr="001F14E3">
        <w:rPr>
          <w:b/>
          <w:bCs/>
        </w:rPr>
        <w:t>Accenture built metaverse campus for 150,000 employees</w:t>
      </w:r>
      <w:r w:rsidRPr="001F14E3">
        <w:t>; IKEA Place AR drove 90% cart-to-view ratio, 60% larger basket sizes.</w:t>
      </w:r>
    </w:p>
    <w:p w14:paraId="74D64F51" w14:textId="77777777" w:rsidR="001F14E3" w:rsidRPr="001F14E3" w:rsidRDefault="001F14E3" w:rsidP="001F14E3">
      <w:pPr>
        <w:numPr>
          <w:ilvl w:val="0"/>
          <w:numId w:val="1"/>
        </w:numPr>
        <w:jc w:val="both"/>
      </w:pPr>
      <w:r w:rsidRPr="001F14E3">
        <w:t>Magic Leap (see-through AR for manufacturing/healthcare/field service) and Varjo (XR-4 Series, 70 pixels per degree for military training/aviation) lead B2B enterprise segment.</w:t>
      </w:r>
    </w:p>
    <w:p w14:paraId="5CADCBC3" w14:textId="77777777" w:rsidR="001F14E3" w:rsidRPr="001F14E3" w:rsidRDefault="001F14E3" w:rsidP="001F14E3">
      <w:pPr>
        <w:numPr>
          <w:ilvl w:val="0"/>
          <w:numId w:val="1"/>
        </w:numPr>
        <w:jc w:val="both"/>
      </w:pPr>
      <w:r w:rsidRPr="001F14E3">
        <w:rPr>
          <w:b/>
          <w:bCs/>
        </w:rPr>
        <w:t>Market concentration: Meta Platforms, Roblox, Microsoft, Tencent, Epic Games dominate</w:t>
      </w:r>
      <w:r w:rsidRPr="001F14E3">
        <w:t>; Mordor Intelligence classifies as "consolidated market" (1-5 major players). USD 165.57bn (2025) projected to USD 950.23bn (2030), CAGR 41.83%.</w:t>
      </w:r>
    </w:p>
    <w:p w14:paraId="126EE311" w14:textId="77777777" w:rsidR="001F14E3" w:rsidRPr="001F14E3" w:rsidRDefault="001F14E3" w:rsidP="001F14E3">
      <w:pPr>
        <w:numPr>
          <w:ilvl w:val="0"/>
          <w:numId w:val="1"/>
        </w:numPr>
        <w:jc w:val="both"/>
      </w:pPr>
      <w:r w:rsidRPr="001F14E3">
        <w:rPr>
          <w:b/>
          <w:bCs/>
        </w:rPr>
        <w:t>Gaming remains most established immersive use case</w:t>
      </w:r>
      <w:r w:rsidRPr="001F14E3">
        <w:t>; broader adoption hinges on continued hardware cost decline, expanding software ecosystems, and migration of retail/training/collaboration into immersive platforms.</w:t>
      </w:r>
    </w:p>
    <w:p w14:paraId="4309B3E1" w14:textId="57594AE1" w:rsidR="001F14E3" w:rsidRDefault="001F14E3" w:rsidP="001F14E3">
      <w:pPr>
        <w:jc w:val="both"/>
      </w:pPr>
      <w:r w:rsidRPr="001F14E3">
        <w:t>C</w:t>
      </w:r>
      <w:r>
        <w:t>onclusion</w:t>
      </w:r>
      <w:r w:rsidRPr="001F14E3">
        <w:t>: Ray-Ban Meta's unexpected success (2m units, tripling revenue) signals consumer appetite for lightweight AR over bulky headsets. World Models (spatial intelligence) may unlock AGI breakthroughs and redefine how machines interact with physical reality</w:t>
      </w:r>
      <w:r>
        <w:t xml:space="preserve">, </w:t>
      </w:r>
      <w:r w:rsidRPr="001F14E3">
        <w:t>transforming e-commerce, robotics, autonomous systems, and digital twins.</w:t>
      </w:r>
    </w:p>
    <w:p w14:paraId="1DFC8232" w14:textId="1E242C3F" w:rsidR="001F14E3" w:rsidRPr="001F14E3" w:rsidRDefault="001F14E3" w:rsidP="00C1325D">
      <w:pPr>
        <w:rPr>
          <w:b/>
          <w:bCs/>
        </w:rPr>
      </w:pPr>
      <w:r w:rsidRPr="00C1325D">
        <w:rPr>
          <w:b/>
          <w:bCs/>
        </w:rPr>
        <w:t>Moonshot ranking: 2</w:t>
      </w:r>
      <w:r w:rsidR="00C1325D" w:rsidRPr="00C1325D">
        <w:rPr>
          <w:b/>
          <w:bCs/>
        </w:rPr>
        <w:br/>
      </w:r>
      <w:r w:rsidRPr="00C1325D">
        <w:rPr>
          <w:b/>
          <w:bCs/>
        </w:rPr>
        <w:t>Moonshot score: 83</w:t>
      </w:r>
    </w:p>
    <w:p w14:paraId="3949BD2C" w14:textId="66469B1F" w:rsidR="002C5B50" w:rsidRPr="001F14E3" w:rsidRDefault="002C5B50"/>
    <w:sectPr w:rsidR="002C5B50" w:rsidRPr="001F14E3">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37E85" w14:textId="77777777" w:rsidR="001F14E3" w:rsidRDefault="001F14E3" w:rsidP="001F14E3">
      <w:pPr>
        <w:spacing w:after="0" w:line="240" w:lineRule="auto"/>
      </w:pPr>
      <w:r>
        <w:separator/>
      </w:r>
    </w:p>
  </w:endnote>
  <w:endnote w:type="continuationSeparator" w:id="0">
    <w:p w14:paraId="509E26FA" w14:textId="77777777" w:rsidR="001F14E3" w:rsidRDefault="001F14E3" w:rsidP="001F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138" w14:textId="77777777" w:rsidR="001F14E3" w:rsidRDefault="001F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1D65" w14:textId="77777777" w:rsidR="001F14E3" w:rsidRDefault="001F1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DE6BE" w14:textId="77777777" w:rsidR="001F14E3" w:rsidRDefault="001F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81214" w14:textId="77777777" w:rsidR="001F14E3" w:rsidRDefault="001F14E3" w:rsidP="001F14E3">
      <w:pPr>
        <w:spacing w:after="0" w:line="240" w:lineRule="auto"/>
      </w:pPr>
      <w:r>
        <w:separator/>
      </w:r>
    </w:p>
  </w:footnote>
  <w:footnote w:type="continuationSeparator" w:id="0">
    <w:p w14:paraId="6B5A2A68" w14:textId="77777777" w:rsidR="001F14E3" w:rsidRDefault="001F14E3" w:rsidP="001F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612A" w14:textId="77777777" w:rsidR="001F14E3" w:rsidRDefault="001F1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5E98" w14:textId="77777777" w:rsidR="001F14E3" w:rsidRDefault="001F1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FA3F" w14:textId="77777777" w:rsidR="001F14E3" w:rsidRDefault="001F14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7B3DDE"/>
    <w:multiLevelType w:val="multilevel"/>
    <w:tmpl w:val="47D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517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1F14E3"/>
    <w:rsid w:val="001F14E3"/>
    <w:rsid w:val="002C5B50"/>
    <w:rsid w:val="003419E7"/>
    <w:rsid w:val="0039565D"/>
    <w:rsid w:val="00792256"/>
    <w:rsid w:val="00C1325D"/>
    <w:rsid w:val="00DF3E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BC5E"/>
  <w15:chartTrackingRefBased/>
  <w15:docId w15:val="{D3A51BB9-ACD5-4837-B4EC-8C99A81B9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65D"/>
    <w:pPr>
      <w:keepNext/>
      <w:keepLines/>
      <w:spacing w:before="240" w:after="0"/>
      <w:outlineLvl w:val="0"/>
    </w:pPr>
    <w:rPr>
      <w:rFonts w:ascii="Aptos" w:eastAsiaTheme="majorEastAsia" w:hAnsi="Aptos" w:cstheme="majorBidi"/>
      <w:b/>
      <w:color w:val="000000" w:themeColor="text1"/>
      <w:sz w:val="32"/>
      <w:szCs w:val="32"/>
    </w:rPr>
  </w:style>
  <w:style w:type="paragraph" w:styleId="Heading2">
    <w:name w:val="heading 2"/>
    <w:basedOn w:val="Normal"/>
    <w:next w:val="Normal"/>
    <w:link w:val="Heading2Char"/>
    <w:uiPriority w:val="9"/>
    <w:unhideWhenUsed/>
    <w:qFormat/>
    <w:rsid w:val="00DF3E3F"/>
    <w:pPr>
      <w:keepNext/>
      <w:keepLines/>
      <w:spacing w:before="120" w:after="60" w:line="240" w:lineRule="auto"/>
      <w:outlineLvl w:val="1"/>
    </w:pPr>
    <w:rPr>
      <w:rFonts w:ascii="Arial" w:eastAsiaTheme="majorEastAsia" w:hAnsi="Arial" w:cstheme="majorBidi"/>
      <w:b/>
      <w:sz w:val="24"/>
      <w:szCs w:val="32"/>
    </w:rPr>
  </w:style>
  <w:style w:type="paragraph" w:styleId="Heading3">
    <w:name w:val="heading 3"/>
    <w:basedOn w:val="Normal"/>
    <w:next w:val="Normal"/>
    <w:link w:val="Heading3Char"/>
    <w:uiPriority w:val="9"/>
    <w:semiHidden/>
    <w:unhideWhenUsed/>
    <w:qFormat/>
    <w:rsid w:val="001F14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4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4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5D"/>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rsid w:val="00DF3E3F"/>
    <w:rPr>
      <w:rFonts w:ascii="Arial" w:eastAsiaTheme="majorEastAsia" w:hAnsi="Arial" w:cstheme="majorBidi"/>
      <w:b/>
      <w:sz w:val="24"/>
      <w:szCs w:val="32"/>
    </w:rPr>
  </w:style>
  <w:style w:type="character" w:customStyle="1" w:styleId="Heading3Char">
    <w:name w:val="Heading 3 Char"/>
    <w:basedOn w:val="DefaultParagraphFont"/>
    <w:link w:val="Heading3"/>
    <w:uiPriority w:val="9"/>
    <w:semiHidden/>
    <w:rsid w:val="001F14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4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4E3"/>
    <w:rPr>
      <w:rFonts w:eastAsiaTheme="majorEastAsia" w:cstheme="majorBidi"/>
      <w:color w:val="272727" w:themeColor="text1" w:themeTint="D8"/>
    </w:rPr>
  </w:style>
  <w:style w:type="paragraph" w:styleId="Title">
    <w:name w:val="Title"/>
    <w:basedOn w:val="Normal"/>
    <w:next w:val="Normal"/>
    <w:link w:val="TitleChar"/>
    <w:uiPriority w:val="10"/>
    <w:qFormat/>
    <w:rsid w:val="001F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4E3"/>
    <w:pPr>
      <w:spacing w:before="160"/>
      <w:jc w:val="center"/>
    </w:pPr>
    <w:rPr>
      <w:i/>
      <w:iCs/>
      <w:color w:val="404040" w:themeColor="text1" w:themeTint="BF"/>
    </w:rPr>
  </w:style>
  <w:style w:type="character" w:customStyle="1" w:styleId="QuoteChar">
    <w:name w:val="Quote Char"/>
    <w:basedOn w:val="DefaultParagraphFont"/>
    <w:link w:val="Quote"/>
    <w:uiPriority w:val="29"/>
    <w:rsid w:val="001F14E3"/>
    <w:rPr>
      <w:i/>
      <w:iCs/>
      <w:color w:val="404040" w:themeColor="text1" w:themeTint="BF"/>
    </w:rPr>
  </w:style>
  <w:style w:type="paragraph" w:styleId="ListParagraph">
    <w:name w:val="List Paragraph"/>
    <w:basedOn w:val="Normal"/>
    <w:uiPriority w:val="34"/>
    <w:qFormat/>
    <w:rsid w:val="001F14E3"/>
    <w:pPr>
      <w:ind w:left="720"/>
      <w:contextualSpacing/>
    </w:pPr>
  </w:style>
  <w:style w:type="character" w:styleId="IntenseEmphasis">
    <w:name w:val="Intense Emphasis"/>
    <w:basedOn w:val="DefaultParagraphFont"/>
    <w:uiPriority w:val="21"/>
    <w:qFormat/>
    <w:rsid w:val="001F14E3"/>
    <w:rPr>
      <w:i/>
      <w:iCs/>
      <w:color w:val="0F4761" w:themeColor="accent1" w:themeShade="BF"/>
    </w:rPr>
  </w:style>
  <w:style w:type="paragraph" w:styleId="IntenseQuote">
    <w:name w:val="Intense Quote"/>
    <w:basedOn w:val="Normal"/>
    <w:next w:val="Normal"/>
    <w:link w:val="IntenseQuoteChar"/>
    <w:uiPriority w:val="30"/>
    <w:qFormat/>
    <w:rsid w:val="001F1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4E3"/>
    <w:rPr>
      <w:i/>
      <w:iCs/>
      <w:color w:val="0F4761" w:themeColor="accent1" w:themeShade="BF"/>
    </w:rPr>
  </w:style>
  <w:style w:type="character" w:styleId="IntenseReference">
    <w:name w:val="Intense Reference"/>
    <w:basedOn w:val="DefaultParagraphFont"/>
    <w:uiPriority w:val="32"/>
    <w:qFormat/>
    <w:rsid w:val="001F14E3"/>
    <w:rPr>
      <w:b/>
      <w:bCs/>
      <w:smallCaps/>
      <w:color w:val="0F4761" w:themeColor="accent1" w:themeShade="BF"/>
      <w:spacing w:val="5"/>
    </w:rPr>
  </w:style>
  <w:style w:type="paragraph" w:styleId="Header">
    <w:name w:val="header"/>
    <w:basedOn w:val="Normal"/>
    <w:link w:val="HeaderChar"/>
    <w:uiPriority w:val="99"/>
    <w:unhideWhenUsed/>
    <w:rsid w:val="001F14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14E3"/>
  </w:style>
  <w:style w:type="paragraph" w:styleId="Footer">
    <w:name w:val="footer"/>
    <w:basedOn w:val="Normal"/>
    <w:link w:val="FooterChar"/>
    <w:uiPriority w:val="99"/>
    <w:unhideWhenUsed/>
    <w:rsid w:val="001F14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14E3"/>
  </w:style>
  <w:style w:type="character" w:styleId="Hyperlink">
    <w:name w:val="Hyperlink"/>
    <w:basedOn w:val="DefaultParagraphFont"/>
    <w:uiPriority w:val="99"/>
    <w:unhideWhenUsed/>
    <w:rsid w:val="00C1325D"/>
    <w:rPr>
      <w:color w:val="467886" w:themeColor="hyperlink"/>
      <w:u w:val="single"/>
    </w:rPr>
  </w:style>
  <w:style w:type="character" w:styleId="UnresolvedMention">
    <w:name w:val="Unresolved Mention"/>
    <w:basedOn w:val="DefaultParagraphFont"/>
    <w:uiPriority w:val="99"/>
    <w:semiHidden/>
    <w:unhideWhenUsed/>
    <w:rsid w:val="00C13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capital.sharepoint.com/sites/InvestmentSolutions/Cape%20Weekly/Forms/AllItems.aspx?viewid=0d493cf1%2Db6da%2D46f6%2D8f0b%2D3cf2209e7060&amp;xsdata=MDV8MDJ8fGZjY2JjNzkyZTQxYzQ2NTQxMWE3MDhkZTI2ODA1NzMwfDExOGNkYzA1Y2IwMjQwMDA5Mjg0ZmQ2ODg0ZWY3ZDA0fDB8MHw2Mzg5OTA1Mjk3OTM2MjY1MzV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ek5EVTJNVGM0TWprMHw4N2FmOThlNDY5ZTM0MzYzMTFhNzA4ZGUyNjgwNTczMHxkMDI4N2E2NzczYzk0NDI2OGZhYjc5ZDRkNTQzZjQxOA%3D%3D&amp;sdata=QitIVHRYdTAxSjRSaGRlclk1aGZZdzJyV2tZUTJNZkJJY2dkbk9MRk9Zdz0%3D&amp;ovuser=118cdc05-cb02-4000-9284-fd6884ef7d04%2Cwilliam.raynar%40capecapita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apecapital.sharepoint.com/sites/InvestmentSolutions/Research/Forms/By%20creation%20date.aspx?xsdata=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%3D%3D&amp;sdata=cmlZRU00T0NpV3d4RnNqbFlkQlNzbDJwN1dZb3ppYjhzUFNPUGEwdmVodz0%3D&amp;ovuser=118cdc05-cb02-4000-9284-fd6884ef7d04%2Cwilliam.raynar%40capecapita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852</Words>
  <Characters>5519</Characters>
  <Application>Microsoft Office Word</Application>
  <DocSecurity>0</DocSecurity>
  <Lines>134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raynar</dc:creator>
  <cp:keywords/>
  <dc:description/>
  <cp:lastModifiedBy>william raynar</cp:lastModifiedBy>
  <cp:revision>1</cp:revision>
  <dcterms:created xsi:type="dcterms:W3CDTF">2025-12-09T08:34:00Z</dcterms:created>
  <dcterms:modified xsi:type="dcterms:W3CDTF">2025-12-09T08:47:00Z</dcterms:modified>
</cp:coreProperties>
</file>