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A860" w14:textId="77777777" w:rsidR="002C5B50" w:rsidRDefault="002C5B50">
      <w:pPr>
        <w:rPr>
          <w:lang w:val="fr-CH"/>
        </w:rPr>
      </w:pPr>
    </w:p>
    <w:p w14:paraId="0F53ECD6" w14:textId="77777777" w:rsidR="00724323" w:rsidRDefault="00724323">
      <w:pPr>
        <w:rPr>
          <w:lang w:val="fr-CH"/>
        </w:rPr>
      </w:pPr>
    </w:p>
    <w:p w14:paraId="6438E976" w14:textId="415A8343" w:rsidR="00724323" w:rsidRPr="00724323" w:rsidRDefault="00724323" w:rsidP="00724323">
      <w:r w:rsidRPr="00724323">
        <w:drawing>
          <wp:inline distT="0" distB="0" distL="0" distR="0" wp14:anchorId="486A6A52" wp14:editId="5FC8F8A4">
            <wp:extent cx="5731510" cy="3248660"/>
            <wp:effectExtent l="0" t="0" r="2540" b="8890"/>
            <wp:docPr id="156116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6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24323">
        <w:rPr>
          <w:b/>
          <w:bCs/>
        </w:rPr>
        <w:t>Water</w:t>
      </w:r>
      <w:r w:rsidRPr="00724323">
        <w:t> – Presentation has been added to the usual folder (pdf):</w:t>
      </w:r>
      <w:r w:rsidRPr="00724323">
        <w:br/>
      </w:r>
      <w:hyperlink r:id="rId8" w:tgtFrame="_blank" w:history="1">
        <w:r w:rsidRPr="00724323">
          <w:rPr>
            <w:rStyle w:val="Hyperlink"/>
            <w:b/>
            <w:bCs/>
          </w:rPr>
          <w:t>Investment Sol</w:t>
        </w:r>
        <w:r w:rsidRPr="00724323">
          <w:rPr>
            <w:rStyle w:val="Hyperlink"/>
            <w:b/>
            <w:bCs/>
          </w:rPr>
          <w:t>u</w:t>
        </w:r>
        <w:r w:rsidRPr="00724323">
          <w:rPr>
            <w:rStyle w:val="Hyperlink"/>
            <w:b/>
            <w:bCs/>
          </w:rPr>
          <w:t>tions - Cape newsletters - Gallery view</w:t>
        </w:r>
      </w:hyperlink>
      <w:r w:rsidRPr="00724323">
        <w:br/>
        <w:t>And to the Moonshot folder (ppt):</w:t>
      </w:r>
      <w:r w:rsidRPr="00724323">
        <w:br/>
      </w:r>
      <w:hyperlink r:id="rId9" w:tgtFrame="_blank" w:history="1">
        <w:r w:rsidRPr="00724323">
          <w:rPr>
            <w:rStyle w:val="Hyperlink"/>
            <w:b/>
            <w:bCs/>
          </w:rPr>
          <w:t>Investment Solutions - Theme</w:t>
        </w:r>
        <w:r w:rsidRPr="00724323">
          <w:rPr>
            <w:rStyle w:val="Hyperlink"/>
            <w:b/>
            <w:bCs/>
          </w:rPr>
          <w:t>s</w:t>
        </w:r>
        <w:r w:rsidRPr="00724323">
          <w:rPr>
            <w:rStyle w:val="Hyperlink"/>
            <w:b/>
            <w:bCs/>
          </w:rPr>
          <w:t xml:space="preserve"> and moonshots - All Documents</w:t>
        </w:r>
      </w:hyperlink>
    </w:p>
    <w:p w14:paraId="76612DA1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t>Within five years, global freshwater demand will exceed supply by 40%, creating a structural imbalance that cannot be solved through efficiency alone. This represents a civilization-level threat requiring transformation.</w:t>
      </w:r>
    </w:p>
    <w:p w14:paraId="09206A8F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2 billion people lack access to clean, safe drinking water</w:t>
      </w:r>
      <w:r w:rsidRPr="00724323">
        <w:t>. Agriculture accounts for nearly 70% of global water withdrawals, and water conflicts surged from 27 in 2013 to 71 in 2017.</w:t>
      </w:r>
    </w:p>
    <w:p w14:paraId="3BA4A72C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Water scarcity threatens USD 70 trillion (31% of global GDP) by 2050, up from USD 15 trillion in 2010</w:t>
      </w:r>
      <w:r w:rsidRPr="00724323">
        <w:t>. Vulnerable regions could see GDP reductions of 6-14%, reaching 15% in lowest-income countries.</w:t>
      </w:r>
    </w:p>
    <w:p w14:paraId="36AE17CE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The sector faces a USD 6.7 trillion financing gap by 2030</w:t>
      </w:r>
      <w:r w:rsidRPr="00724323">
        <w:t> (USD 22.6 trillion by 2050), requiring annual spending increases from USD 165 billion to USD 296-306 billion in developing countries alone.</w:t>
      </w:r>
    </w:p>
    <w:p w14:paraId="4FD404FD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New industries are water-intensive: Data centres</w:t>
      </w:r>
      <w:r w:rsidRPr="00724323">
        <w:t xml:space="preserve"> consumed 17 billion gallons in 2023 (projected to double or quadruple by 2028); </w:t>
      </w:r>
      <w:r w:rsidRPr="00724323">
        <w:rPr>
          <w:b/>
          <w:bCs/>
        </w:rPr>
        <w:t>lithium</w:t>
      </w:r>
      <w:r w:rsidRPr="00724323">
        <w:t xml:space="preserve"> production requires evaporating 500,000 litres of brine per ton. Most water networks in developed nations are 50-75 years old and reaching end-of-life.</w:t>
      </w:r>
    </w:p>
    <w:p w14:paraId="13D03EDF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t xml:space="preserve">Global water market accelerating: Water and wastewater treatment market projected to grow from USD 347 billion (2024) to USD 639 billion by 2033 (CAGR 7.02%). Smart water </w:t>
      </w:r>
      <w:r w:rsidRPr="00724323">
        <w:lastRenderedPageBreak/>
        <w:t>management will reach USD 44 billion by 2030 (CAGR 13%). Desalination market doubling from USD 18 billion to USD 40 billion by 2033.</w:t>
      </w:r>
    </w:p>
    <w:p w14:paraId="3708A623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15 investable moonshot technologies led by smart water management, desalination, and precision agriculture</w:t>
      </w:r>
      <w:r w:rsidRPr="00724323">
        <w:t>. Platform economics emerging with adoption acceleration from 30% to 60% penetration by 2030. Xylem Vue platform serving 300+ utilities demonstrates winner-take-most dynamics.</w:t>
      </w:r>
    </w:p>
    <w:p w14:paraId="61DA5E3C" w14:textId="77777777" w:rsidR="00724323" w:rsidRPr="00724323" w:rsidRDefault="00724323" w:rsidP="00724323">
      <w:pPr>
        <w:numPr>
          <w:ilvl w:val="0"/>
          <w:numId w:val="1"/>
        </w:numPr>
      </w:pPr>
      <w:r w:rsidRPr="00724323">
        <w:rPr>
          <w:b/>
          <w:bCs/>
        </w:rPr>
        <w:t>Water-themed investment fund assets grew 60% to USD 94 billion</w:t>
      </w:r>
      <w:r w:rsidRPr="00724323">
        <w:t>. Private equity sponsors (KKR, Bain) building water platforms. The 2025-2035 decade represents the critical intervention window before irreversible tipping points.</w:t>
      </w:r>
    </w:p>
    <w:p w14:paraId="115E159E" w14:textId="77777777" w:rsidR="00724323" w:rsidRPr="00724323" w:rsidRDefault="00724323" w:rsidP="00724323">
      <w:pPr>
        <w:numPr>
          <w:ilvl w:val="0"/>
          <w:numId w:val="1"/>
        </w:numPr>
        <w:rPr>
          <w:b/>
          <w:bCs/>
        </w:rPr>
      </w:pPr>
      <w:r w:rsidRPr="00724323">
        <w:rPr>
          <w:b/>
          <w:bCs/>
        </w:rPr>
        <w:t>Key risks include high capital intensity (USD 194 billion annually in US infrastructure alone), energy-intensive desalination processes, regulatory fragmentation, and tariff exposure for equipment manufacturers.</w:t>
      </w:r>
    </w:p>
    <w:p w14:paraId="06C06C56" w14:textId="77777777" w:rsidR="00724323" w:rsidRDefault="00724323"/>
    <w:p w14:paraId="22E87E7C" w14:textId="57C39F3B" w:rsidR="00724323" w:rsidRPr="00724323" w:rsidRDefault="00724323">
      <w:pPr>
        <w:rPr>
          <w:b/>
          <w:bCs/>
        </w:rPr>
      </w:pPr>
      <w:r w:rsidRPr="00724323">
        <w:rPr>
          <w:b/>
          <w:bCs/>
        </w:rPr>
        <w:t>Rank: 19</w:t>
      </w:r>
      <w:r w:rsidRPr="00724323">
        <w:rPr>
          <w:b/>
          <w:bCs/>
        </w:rPr>
        <w:br/>
        <w:t>Score: 45</w:t>
      </w:r>
      <w:r w:rsidRPr="00724323">
        <w:rPr>
          <w:b/>
          <w:bCs/>
        </w:rPr>
        <w:br/>
        <w:t>Convergence rank: 10</w:t>
      </w:r>
      <w:r w:rsidRPr="00724323">
        <w:rPr>
          <w:b/>
          <w:bCs/>
        </w:rPr>
        <w:br/>
        <w:t>Convergence score: 51</w:t>
      </w:r>
    </w:p>
    <w:sectPr w:rsidR="00724323" w:rsidRPr="007243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0950" w14:textId="77777777" w:rsidR="00724323" w:rsidRDefault="00724323" w:rsidP="00724323">
      <w:pPr>
        <w:spacing w:after="0" w:line="240" w:lineRule="auto"/>
      </w:pPr>
      <w:r>
        <w:separator/>
      </w:r>
    </w:p>
  </w:endnote>
  <w:endnote w:type="continuationSeparator" w:id="0">
    <w:p w14:paraId="70C327D3" w14:textId="77777777" w:rsidR="00724323" w:rsidRDefault="00724323" w:rsidP="00724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7A31" w14:textId="77777777" w:rsidR="00724323" w:rsidRDefault="007243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704C" w14:textId="77777777" w:rsidR="00724323" w:rsidRDefault="007243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155" w14:textId="77777777" w:rsidR="00724323" w:rsidRDefault="00724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C3BCB" w14:textId="77777777" w:rsidR="00724323" w:rsidRDefault="00724323" w:rsidP="00724323">
      <w:pPr>
        <w:spacing w:after="0" w:line="240" w:lineRule="auto"/>
      </w:pPr>
      <w:r>
        <w:separator/>
      </w:r>
    </w:p>
  </w:footnote>
  <w:footnote w:type="continuationSeparator" w:id="0">
    <w:p w14:paraId="5A40F8D0" w14:textId="77777777" w:rsidR="00724323" w:rsidRDefault="00724323" w:rsidP="00724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462DF" w14:textId="77777777" w:rsidR="00724323" w:rsidRDefault="007243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D748" w14:textId="77777777" w:rsidR="00724323" w:rsidRDefault="007243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5E60" w14:textId="77777777" w:rsidR="00724323" w:rsidRDefault="007243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74A7D"/>
    <w:multiLevelType w:val="multilevel"/>
    <w:tmpl w:val="A9EA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52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724323"/>
    <w:rsid w:val="002C5B50"/>
    <w:rsid w:val="0039565D"/>
    <w:rsid w:val="00724323"/>
    <w:rsid w:val="00792256"/>
    <w:rsid w:val="00BD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37BA"/>
  <w15:chartTrackingRefBased/>
  <w15:docId w15:val="{2B48E638-8766-4961-80A9-A5ECF5CC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5D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5D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323"/>
  </w:style>
  <w:style w:type="paragraph" w:styleId="Footer">
    <w:name w:val="footer"/>
    <w:basedOn w:val="Normal"/>
    <w:link w:val="FooterChar"/>
    <w:uiPriority w:val="99"/>
    <w:unhideWhenUsed/>
    <w:rsid w:val="0072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323"/>
  </w:style>
  <w:style w:type="character" w:styleId="Hyperlink">
    <w:name w:val="Hyperlink"/>
    <w:basedOn w:val="DefaultParagraphFont"/>
    <w:uiPriority w:val="99"/>
    <w:unhideWhenUsed/>
    <w:rsid w:val="00724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3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43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capital.sharepoint.com/sites/InvestmentSolutions/Cape%20Weekly/Forms/AllItems.aspx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apecapital.sharepoint.com/sites/InvestmentSolutions/Research/Forms/AllItems.asp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230</Words>
  <Characters>2403</Characters>
  <Application>Microsoft Office Word</Application>
  <DocSecurity>0</DocSecurity>
  <Lines>200</Lines>
  <Paragraphs>164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raynar</dc:creator>
  <cp:keywords/>
  <dc:description/>
  <cp:lastModifiedBy>william raynar</cp:lastModifiedBy>
  <cp:revision>1</cp:revision>
  <dcterms:created xsi:type="dcterms:W3CDTF">2025-11-04T08:06:00Z</dcterms:created>
  <dcterms:modified xsi:type="dcterms:W3CDTF">2025-11-04T08:22:00Z</dcterms:modified>
</cp:coreProperties>
</file>