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A1A2E"/>
          <w:sz w:val="44"/>
          <w:szCs w:val="44"/>
        </w:rPr>
        <w:t xml:space="preserve">OUTPUT MENU</w:t>
      </w:r>
    </w:p>
    <w:p>
      <w:pPr>
        <w:spacing w:after="60" w:before="0"/>
      </w:pPr>
      <w:r>
        <w:rPr>
          <w:rFonts w:ascii="Arial" w:cs="Arial" w:eastAsia="Arial" w:hAnsi="Arial"/>
          <w:i/>
          <w:iCs/>
          <w:color w:val="2E5FA3"/>
          <w:sz w:val="28"/>
          <w:szCs w:val="28"/>
        </w:rPr>
        <w:t xml:space="preserve">AI Operating System — Module 3</w:t>
      </w:r>
    </w:p>
    <w:p>
      <w:pPr>
        <w:spacing w:after="40" w:before="40"/>
      </w:pPr>
      <w:r>
        <w:rPr>
          <w:rFonts w:ascii="Arial" w:cs="Arial" w:eastAsia="Arial" w:hAnsi="Arial"/>
          <w:i/>
          <w:iCs/>
          <w:color w:val="888888"/>
          <w:sz w:val="18"/>
          <w:szCs w:val="18"/>
        </w:rPr>
        <w:t xml:space="preserve">Version: 1.0   |   Owner: William Bowdler-Raynar   |   Last updated: 2026-03-10</w:t>
      </w:r>
    </w:p>
    <w:p>
      <w:pPr>
        <w:spacing w:after="40" w:before="40"/>
      </w:pPr>
      <w:r>
        <w:t xml:space="preserve"/>
      </w:r>
    </w:p>
    <w:p>
      <w:pPr>
        <w:spacing w:after="60" w:before="60"/>
      </w:pPr>
      <w:r>
        <w:rPr>
          <w:rFonts w:ascii="Arial" w:cs="Arial" w:eastAsia="Arial" w:hAnsi="Arial"/>
          <w:color w:val="1A1A2E"/>
          <w:sz w:val="21"/>
          <w:szCs w:val="21"/>
        </w:rPr>
        <w:t xml:space="preserve">This module defines how research is converted into specific deliverable formats. Load alongside the Research Operating Playbook when producing any output.</w:t>
      </w:r>
    </w:p>
    <w:p>
      <w:pPr>
        <w:spacing w:after="80" w:before="80"/>
      </w:pPr>
      <w:r>
        <w:t xml:space="preserve"/>
      </w:r>
    </w:p>
    <w:p>
      <w:pPr>
        <w:pStyle w:val="Heading1"/>
        <w:pBdr>
          <w:bottom w:val="single" w:color="2E5FA3" w:sz="4" w:space="6"/>
        </w:pBdr>
        <w:spacing w:after="120" w:before="400"/>
      </w:pPr>
      <w:r>
        <w:rPr>
          <w:rFonts w:ascii="Arial" w:cs="Arial" w:eastAsia="Arial" w:hAnsi="Arial"/>
          <w:b/>
          <w:bCs/>
          <w:color w:val="1A1A2E"/>
          <w:sz w:val="26"/>
          <w:szCs w:val="26"/>
        </w:rPr>
        <w:t xml:space="preserve">OUTPUT A — POWERPOINT PRESENTATION</w:t>
      </w:r>
    </w:p>
    <w:p>
      <w:pPr>
        <w:pStyle w:val="Heading2"/>
        <w:spacing w:after="80" w:before="280"/>
      </w:pPr>
      <w:r>
        <w:rPr>
          <w:rFonts w:ascii="Arial" w:cs="Arial" w:eastAsia="Arial" w:hAnsi="Arial"/>
          <w:b/>
          <w:bCs/>
          <w:color w:val="2E5FA3"/>
          <w:sz w:val="23"/>
          <w:szCs w:val="23"/>
        </w:rPr>
        <w:t xml:space="preserve">Purpose and when to use</w:t>
      </w:r>
    </w:p>
    <w:p>
      <w:pPr>
        <w:pStyle w:val="ListParagraph"/>
        <w:numPr>
          <w:ilvl w:val="0"/>
          <w:numId w:val="2"/>
        </w:numPr>
        <w:spacing w:after="40" w:before="40"/>
      </w:pPr>
      <w:r>
        <w:rPr>
          <w:rFonts w:ascii="Arial" w:cs="Arial" w:eastAsia="Arial" w:hAnsi="Arial"/>
          <w:b w:val="false"/>
          <w:bCs w:val="false"/>
          <w:color w:val="1A1A2E"/>
          <w:sz w:val="21"/>
          <w:szCs w:val="21"/>
        </w:rPr>
        <w:t xml:space="preserve">Presenting a theme to CAPE Capital (internal weekly).</w:t>
      </w:r>
    </w:p>
    <w:p>
      <w:pPr>
        <w:pStyle w:val="ListParagraph"/>
        <w:numPr>
          <w:ilvl w:val="0"/>
          <w:numId w:val="2"/>
        </w:numPr>
        <w:spacing w:after="40" w:before="40"/>
      </w:pPr>
      <w:r>
        <w:rPr>
          <w:rFonts w:ascii="Arial" w:cs="Arial" w:eastAsia="Arial" w:hAnsi="Arial"/>
          <w:b w:val="false"/>
          <w:bCs w:val="false"/>
          <w:color w:val="1A1A2E"/>
          <w:sz w:val="21"/>
          <w:szCs w:val="21"/>
        </w:rPr>
        <w:t xml:space="preserve">Pitching an investment idea.</w:t>
      </w:r>
    </w:p>
    <w:p>
      <w:pPr>
        <w:pStyle w:val="ListParagraph"/>
        <w:numPr>
          <w:ilvl w:val="0"/>
          <w:numId w:val="2"/>
        </w:numPr>
        <w:spacing w:after="40" w:before="40"/>
      </w:pPr>
      <w:r>
        <w:rPr>
          <w:rFonts w:ascii="Arial" w:cs="Arial" w:eastAsia="Arial" w:hAnsi="Arial"/>
          <w:b w:val="false"/>
          <w:bCs w:val="false"/>
          <w:color w:val="1A1A2E"/>
          <w:sz w:val="21"/>
          <w:szCs w:val="21"/>
        </w:rPr>
        <w:t xml:space="preserve">Briefing colleagues or clients.</w:t>
      </w:r>
    </w:p>
    <w:p>
      <w:pPr>
        <w:pStyle w:val="ListParagraph"/>
        <w:numPr>
          <w:ilvl w:val="0"/>
          <w:numId w:val="2"/>
        </w:numPr>
        <w:spacing w:after="40" w:before="40"/>
      </w:pPr>
      <w:r>
        <w:rPr>
          <w:rFonts w:ascii="Arial" w:cs="Arial" w:eastAsia="Arial" w:hAnsi="Arial"/>
          <w:b w:val="false"/>
          <w:bCs w:val="false"/>
          <w:color w:val="1A1A2E"/>
          <w:sz w:val="21"/>
          <w:szCs w:val="21"/>
        </w:rPr>
        <w:t xml:space="preserve">Structuring a discussion around a portfolio or macro view.</w:t>
      </w:r>
    </w:p>
    <w:p>
      <w:pPr>
        <w:spacing w:after="60" w:before="60"/>
      </w:pPr>
      <w:r>
        <w:t xml:space="preserve"/>
      </w:r>
    </w:p>
    <w:p>
      <w:pPr>
        <w:pBdr>
          <w:left w:val="single" w:color="C9A84C" w:sz="6" w:space="8"/>
        </w:pBdr>
        <w:spacing w:after="60" w:before="60"/>
        <w:ind w:left="480"/>
      </w:pPr>
      <w:r>
        <w:rPr>
          <w:rFonts w:ascii="Arial" w:cs="Arial" w:eastAsia="Arial" w:hAnsi="Arial"/>
          <w:i/>
          <w:iCs/>
          <w:color w:val="1A1A2E"/>
          <w:sz w:val="20"/>
          <w:szCs w:val="20"/>
        </w:rPr>
        <w:t xml:space="preserve">CAPE weekly audience has varied levels of financial knowledge. Always frame the theme before diving into the argument. Do not assume prior familiarity with the subject.</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Cowork workflow</w:t>
      </w:r>
    </w:p>
    <w:p>
      <w:pPr>
        <w:spacing w:after="60" w:before="60"/>
      </w:pPr>
      <w:r>
        <w:rPr>
          <w:rFonts w:ascii="Arial" w:cs="Arial" w:eastAsia="Arial" w:hAnsi="Arial"/>
          <w:color w:val="1A1A2E"/>
          <w:sz w:val="21"/>
          <w:szCs w:val="21"/>
        </w:rPr>
        <w:t xml:space="preserve">The workflow runs in two steps. The visual sourcing is the only external step.</w:t>
      </w:r>
    </w:p>
    <w:p>
      <w:pPr>
        <w:spacing w:after="60" w:before="60"/>
      </w:pPr>
      <w:r>
        <w:t xml:space="preserve"/>
      </w:r>
    </w:p>
    <w:p>
      <w:pPr>
        <w:spacing w:after="60" w:before="200"/>
      </w:pPr>
      <w:r>
        <w:rPr>
          <w:rFonts w:ascii="Arial" w:cs="Arial" w:eastAsia="Arial" w:hAnsi="Arial"/>
          <w:b/>
          <w:bCs/>
          <w:color w:val="1A1A2E"/>
          <w:sz w:val="22"/>
          <w:szCs w:val="22"/>
        </w:rPr>
        <w:t xml:space="preserve">Step 1 — Generate and run the Perplexity visual sourcing prompt</w:t>
      </w:r>
    </w:p>
    <w:p>
      <w:pPr>
        <w:spacing w:after="60" w:before="60"/>
      </w:pPr>
      <w:r>
        <w:rPr>
          <w:rFonts w:ascii="Arial" w:cs="Arial" w:eastAsia="Arial" w:hAnsi="Arial"/>
          <w:color w:val="1A1A2E"/>
          <w:sz w:val="21"/>
          <w:szCs w:val="21"/>
        </w:rPr>
        <w:t xml:space="preserve">At the start of every presentation task, Claude generates the Perplexity prompt below, filled in for the specific theme. William runs it in Perplexity Deep Research and returns the output containing image URLs and attribution lines.</w:t>
      </w:r>
    </w:p>
    <w:p>
      <w:pPr>
        <w:spacing w:after="80" w:before="80"/>
      </w:pPr>
      <w:r>
        <w:t xml:space="preserve"/>
      </w:r>
    </w:p>
    <w:p>
      <w:pPr>
        <w:spacing w:after="60" w:before="200"/>
      </w:pPr>
      <w:r>
        <w:rPr>
          <w:rFonts w:ascii="Arial" w:cs="Arial" w:eastAsia="Arial" w:hAnsi="Arial"/>
          <w:b/>
          <w:bCs/>
          <w:color w:val="1A1A2E"/>
          <w:sz w:val="22"/>
          <w:szCs w:val="22"/>
        </w:rPr>
        <w:t xml:space="preserve">Step 2 — Build the deck in Cowork</w:t>
      </w:r>
    </w:p>
    <w:p>
      <w:pPr>
        <w:spacing w:after="60" w:before="60"/>
      </w:pPr>
      <w:r>
        <w:rPr>
          <w:rFonts w:ascii="Arial" w:cs="Arial" w:eastAsia="Arial" w:hAnsi="Arial"/>
          <w:color w:val="1A1A2E"/>
          <w:sz w:val="21"/>
          <w:szCs w:val="21"/>
        </w:rPr>
        <w:t xml:space="preserve">Once the Perplexity visual output is returned, Claude builds the full PPTX directly using the CAPE format and slide structure below. Image URLs and attribution lines are embedded per slide. No add-in required.</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Perplexity visual sourcing prompt template</w:t>
      </w:r>
    </w:p>
    <w:p>
      <w:pPr>
        <w:spacing w:after="40" w:before="40"/>
      </w:pPr>
      <w:r>
        <w:t xml:space="preserve"/>
      </w:r>
    </w:p>
    <w:p>
      <w:pPr>
        <w:spacing w:after="36" w:before="36"/>
        <w:ind w:left="480"/>
      </w:pPr>
      <w:r>
        <w:rPr>
          <w:rFonts w:ascii="Courier New" w:cs="Courier New" w:eastAsia="Courier New" w:hAnsi="Courier New"/>
          <w:color w:val="2E5FA3"/>
          <w:sz w:val="18"/>
          <w:szCs w:val="18"/>
        </w:rPr>
        <w:t xml:space="preserve">PERPLEXITY VISUAL SOURCING PROMPT — [THEME NAME]</w:t>
      </w:r>
    </w:p>
    <w:p>
      <w:pPr>
        <w:spacing w:after="36" w:before="36"/>
        <w:ind w:left="480"/>
      </w:pPr>
      <w:r>
        <w:rPr>
          <w:rFonts w:ascii="Courier New" w:cs="Courier New" w:eastAsia="Courier New" w:hAnsi="Courier New"/>
          <w:color w:val="2E5FA3"/>
          <w:sz w:val="18"/>
          <w:szCs w:val="18"/>
        </w:rPr>
        <w:t xml:space="preserve">Reference date: [today's date]</w:t>
      </w:r>
    </w:p>
    <w:p>
      <w:pPr>
        <w:spacing w:after="36" w:before="36"/>
        <w:ind w:left="480"/>
      </w:pPr>
      <w:r>
        <w:rPr>
          <w:rFonts w:ascii="Courier New" w:cs="Courier New" w:eastAsia="Courier New" w:hAnsi="Courier New"/>
          <w:color w:val="2E5FA3"/>
          <w:sz w:val="18"/>
          <w:szCs w:val="18"/>
        </w:rPr>
        <w:t xml:space="preserve"/>
      </w:r>
    </w:p>
    <w:p>
      <w:pPr>
        <w:spacing w:after="36" w:before="36"/>
        <w:ind w:left="480"/>
      </w:pPr>
      <w:r>
        <w:rPr>
          <w:rFonts w:ascii="Courier New" w:cs="Courier New" w:eastAsia="Courier New" w:hAnsi="Courier New"/>
          <w:color w:val="2E5FA3"/>
          <w:sz w:val="18"/>
          <w:szCs w:val="18"/>
        </w:rPr>
        <w:t xml:space="preserve">Find the 20 best available visuals (charts, tables, maps, graphs)</w:t>
      </w:r>
    </w:p>
    <w:p>
      <w:pPr>
        <w:spacing w:after="36" w:before="36"/>
        <w:ind w:left="480"/>
      </w:pPr>
      <w:r>
        <w:rPr>
          <w:rFonts w:ascii="Courier New" w:cs="Courier New" w:eastAsia="Courier New" w:hAnsi="Courier New"/>
          <w:color w:val="2E5FA3"/>
          <w:sz w:val="18"/>
          <w:szCs w:val="18"/>
        </w:rPr>
        <w:t xml:space="preserve">related to this theme. Recency target: within the last 12 months</w:t>
      </w:r>
    </w:p>
    <w:p>
      <w:pPr>
        <w:spacing w:after="36" w:before="36"/>
        <w:ind w:left="480"/>
      </w:pPr>
      <w:r>
        <w:rPr>
          <w:rFonts w:ascii="Courier New" w:cs="Courier New" w:eastAsia="Courier New" w:hAnsi="Courier New"/>
          <w:color w:val="2E5FA3"/>
          <w:sz w:val="18"/>
          <w:szCs w:val="18"/>
        </w:rPr>
        <w:t xml:space="preserve">where possible.</w:t>
      </w:r>
    </w:p>
    <w:p>
      <w:pPr>
        <w:spacing w:after="36" w:before="36"/>
        <w:ind w:left="480"/>
      </w:pPr>
      <w:r>
        <w:rPr>
          <w:rFonts w:ascii="Courier New" w:cs="Courier New" w:eastAsia="Courier New" w:hAnsi="Courier New"/>
          <w:color w:val="2E5FA3"/>
          <w:sz w:val="18"/>
          <w:szCs w:val="18"/>
        </w:rPr>
        <w:t xml:space="preserve"/>
      </w:r>
    </w:p>
    <w:p>
      <w:pPr>
        <w:spacing w:after="36" w:before="36"/>
        <w:ind w:left="480"/>
      </w:pPr>
      <w:r>
        <w:rPr>
          <w:rFonts w:ascii="Courier New" w:cs="Courier New" w:eastAsia="Courier New" w:hAnsi="Courier New"/>
          <w:color w:val="2E5FA3"/>
          <w:sz w:val="18"/>
          <w:szCs w:val="18"/>
        </w:rPr>
        <w:t xml:space="preserve">For each visual return:</w:t>
      </w:r>
    </w:p>
    <w:p>
      <w:pPr>
        <w:spacing w:after="36" w:before="36"/>
        <w:ind w:left="480"/>
      </w:pPr>
      <w:r>
        <w:rPr>
          <w:rFonts w:ascii="Courier New" w:cs="Courier New" w:eastAsia="Courier New" w:hAnsi="Courier New"/>
          <w:color w:val="2E5FA3"/>
          <w:sz w:val="18"/>
          <w:szCs w:val="18"/>
        </w:rPr>
        <w:t xml:space="preserve">- The image, chart, or table (screenshot or image format)</w:t>
      </w:r>
    </w:p>
    <w:p>
      <w:pPr>
        <w:spacing w:after="36" w:before="36"/>
        <w:ind w:left="480"/>
      </w:pPr>
      <w:r>
        <w:rPr>
          <w:rFonts w:ascii="Courier New" w:cs="Courier New" w:eastAsia="Courier New" w:hAnsi="Courier New"/>
          <w:color w:val="2E5FA3"/>
          <w:sz w:val="18"/>
          <w:szCs w:val="18"/>
        </w:rPr>
        <w:t xml:space="preserve">- Direct URL to the image or page containing it</w:t>
      </w:r>
    </w:p>
    <w:p>
      <w:pPr>
        <w:spacing w:after="36" w:before="36"/>
        <w:ind w:left="480"/>
      </w:pPr>
      <w:r>
        <w:rPr>
          <w:rFonts w:ascii="Courier New" w:cs="Courier New" w:eastAsia="Courier New" w:hAnsi="Courier New"/>
          <w:color w:val="2E5FA3"/>
          <w:sz w:val="18"/>
          <w:szCs w:val="18"/>
        </w:rPr>
        <w:t xml:space="preserve">- File format if determinable (jpg, png, pdf page, chart)</w:t>
      </w:r>
    </w:p>
    <w:p>
      <w:pPr>
        <w:spacing w:after="36" w:before="36"/>
        <w:ind w:left="480"/>
      </w:pPr>
      <w:r>
        <w:rPr>
          <w:rFonts w:ascii="Courier New" w:cs="Courier New" w:eastAsia="Courier New" w:hAnsi="Courier New"/>
          <w:color w:val="2E5FA3"/>
          <w:sz w:val="18"/>
          <w:szCs w:val="18"/>
        </w:rPr>
        <w:t xml:space="preserve">- Source name (IMF, Goldman Sachs, Bloomberg, IEA, McKinsey...)</w:t>
      </w:r>
    </w:p>
    <w:p>
      <w:pPr>
        <w:spacing w:after="36" w:before="36"/>
        <w:ind w:left="480"/>
      </w:pPr>
      <w:r>
        <w:rPr>
          <w:rFonts w:ascii="Courier New" w:cs="Courier New" w:eastAsia="Courier New" w:hAnsi="Courier New"/>
          <w:color w:val="2E5FA3"/>
          <w:sz w:val="18"/>
          <w:szCs w:val="18"/>
        </w:rPr>
        <w:t xml:space="preserve">- Publication date</w:t>
      </w:r>
    </w:p>
    <w:p>
      <w:pPr>
        <w:spacing w:after="36" w:before="36"/>
        <w:ind w:left="480"/>
      </w:pPr>
      <w:r>
        <w:rPr>
          <w:rFonts w:ascii="Courier New" w:cs="Courier New" w:eastAsia="Courier New" w:hAnsi="Courier New"/>
          <w:color w:val="2E5FA3"/>
          <w:sz w:val="18"/>
          <w:szCs w:val="18"/>
        </w:rPr>
        <w:t xml:space="preserve">- One-sentence description of what the visual shows</w:t>
      </w:r>
    </w:p>
    <w:p>
      <w:pPr>
        <w:spacing w:after="36" w:before="36"/>
        <w:ind w:left="480"/>
      </w:pPr>
      <w:r>
        <w:rPr>
          <w:rFonts w:ascii="Courier New" w:cs="Courier New" w:eastAsia="Courier New" w:hAnsi="Courier New"/>
          <w:color w:val="2E5FA3"/>
          <w:sz w:val="18"/>
          <w:szCs w:val="18"/>
        </w:rPr>
        <w:t xml:space="preserve">- Attribution line for slide footer:</w:t>
      </w:r>
    </w:p>
    <w:p>
      <w:pPr>
        <w:spacing w:after="36" w:before="36"/>
        <w:ind w:left="480"/>
      </w:pPr>
      <w:r>
        <w:rPr>
          <w:rFonts w:ascii="Courier New" w:cs="Courier New" w:eastAsia="Courier New" w:hAnsi="Courier New"/>
          <w:color w:val="2E5FA3"/>
          <w:sz w:val="18"/>
          <w:szCs w:val="18"/>
        </w:rPr>
        <w:t xml:space="preserve">  Source: [Organisation] · [Publication Title] · [Month Year]</w:t>
      </w:r>
    </w:p>
    <w:p>
      <w:pPr>
        <w:spacing w:after="36" w:before="36"/>
        <w:ind w:left="480"/>
      </w:pPr>
      <w:r>
        <w:rPr>
          <w:rFonts w:ascii="Courier New" w:cs="Courier New" w:eastAsia="Courier New" w:hAnsi="Courier New"/>
          <w:color w:val="2E5FA3"/>
          <w:sz w:val="18"/>
          <w:szCs w:val="18"/>
        </w:rPr>
        <w:t xml:space="preserve"/>
      </w:r>
    </w:p>
    <w:p>
      <w:pPr>
        <w:spacing w:after="36" w:before="36"/>
        <w:ind w:left="480"/>
      </w:pPr>
      <w:r>
        <w:rPr>
          <w:rFonts w:ascii="Courier New" w:cs="Courier New" w:eastAsia="Courier New" w:hAnsi="Courier New"/>
          <w:color w:val="2E5FA3"/>
          <w:sz w:val="18"/>
          <w:szCs w:val="18"/>
        </w:rPr>
        <w:t xml:space="preserve">Source quality hierarchy:</w:t>
      </w:r>
    </w:p>
    <w:p>
      <w:pPr>
        <w:spacing w:after="36" w:before="36"/>
        <w:ind w:left="480"/>
      </w:pPr>
      <w:r>
        <w:rPr>
          <w:rFonts w:ascii="Courier New" w:cs="Courier New" w:eastAsia="Courier New" w:hAnsi="Courier New"/>
          <w:color w:val="2E5FA3"/>
          <w:sz w:val="18"/>
          <w:szCs w:val="18"/>
        </w:rPr>
        <w:t xml:space="preserve">Tier 1: IMF, World Bank, BIS, central banks, IEA, OECD</w:t>
      </w:r>
    </w:p>
    <w:p>
      <w:pPr>
        <w:spacing w:after="36" w:before="36"/>
        <w:ind w:left="480"/>
      </w:pPr>
      <w:r>
        <w:rPr>
          <w:rFonts w:ascii="Courier New" w:cs="Courier New" w:eastAsia="Courier New" w:hAnsi="Courier New"/>
          <w:color w:val="2E5FA3"/>
          <w:sz w:val="18"/>
          <w:szCs w:val="18"/>
        </w:rPr>
        <w:t xml:space="preserve">Tier 2: Goldman Sachs, Morgan Stanley, McKinsey, BCG,</w:t>
      </w:r>
    </w:p>
    <w:p>
      <w:pPr>
        <w:spacing w:after="36" w:before="36"/>
        <w:ind w:left="480"/>
      </w:pPr>
      <w:r>
        <w:rPr>
          <w:rFonts w:ascii="Courier New" w:cs="Courier New" w:eastAsia="Courier New" w:hAnsi="Courier New"/>
          <w:color w:val="2E5FA3"/>
          <w:sz w:val="18"/>
          <w:szCs w:val="18"/>
        </w:rPr>
        <w:t xml:space="preserve">         Bloomberg Intelligence</w:t>
      </w:r>
    </w:p>
    <w:p>
      <w:pPr>
        <w:spacing w:after="36" w:before="36"/>
        <w:ind w:left="480"/>
      </w:pPr>
      <w:r>
        <w:rPr>
          <w:rFonts w:ascii="Courier New" w:cs="Courier New" w:eastAsia="Courier New" w:hAnsi="Courier New"/>
          <w:color w:val="2E5FA3"/>
          <w:sz w:val="18"/>
          <w:szCs w:val="18"/>
        </w:rPr>
        <w:t xml:space="preserve">Tier 3: CB Insights, PitchBook, Statista, ARK, Refinitiv/LSEG</w:t>
      </w:r>
    </w:p>
    <w:p>
      <w:pPr>
        <w:spacing w:after="36" w:before="36"/>
        <w:ind w:left="480"/>
      </w:pPr>
      <w:r>
        <w:rPr>
          <w:rFonts w:ascii="Courier New" w:cs="Courier New" w:eastAsia="Courier New" w:hAnsi="Courier New"/>
          <w:color w:val="2E5FA3"/>
          <w:sz w:val="18"/>
          <w:szCs w:val="18"/>
        </w:rPr>
        <w:t xml:space="preserve">Tier 4: FT, WSJ, Reuters, Bloomberg News</w:t>
      </w:r>
    </w:p>
    <w:p>
      <w:pPr>
        <w:spacing w:after="36" w:before="36"/>
        <w:ind w:left="480"/>
      </w:pPr>
      <w:r>
        <w:rPr>
          <w:rFonts w:ascii="Courier New" w:cs="Courier New" w:eastAsia="Courier New" w:hAnsi="Courier New"/>
          <w:color w:val="2E5FA3"/>
          <w:sz w:val="18"/>
          <w:szCs w:val="18"/>
        </w:rPr>
        <w:t xml:space="preserve">Tier 5: social media, blogs, unattributed — avoid where possible</w:t>
      </w:r>
    </w:p>
    <w:p>
      <w:pPr>
        <w:spacing w:after="36" w:before="36"/>
        <w:ind w:left="480"/>
      </w:pPr>
      <w:r>
        <w:rPr>
          <w:rFonts w:ascii="Courier New" w:cs="Courier New" w:eastAsia="Courier New" w:hAnsi="Courier New"/>
          <w:color w:val="2E5FA3"/>
          <w:sz w:val="18"/>
          <w:szCs w:val="18"/>
        </w:rPr>
        <w:t xml:space="preserve"/>
      </w:r>
    </w:p>
    <w:p>
      <w:pPr>
        <w:spacing w:after="36" w:before="36"/>
        <w:ind w:left="480"/>
      </w:pPr>
      <w:r>
        <w:rPr>
          <w:rFonts w:ascii="Courier New" w:cs="Courier New" w:eastAsia="Courier New" w:hAnsi="Courier New"/>
          <w:color w:val="2E5FA3"/>
          <w:sz w:val="18"/>
          <w:szCs w:val="18"/>
        </w:rPr>
        <w:t xml:space="preserve">Return all 20 results with full attribution before</w:t>
      </w:r>
    </w:p>
    <w:p>
      <w:pPr>
        <w:spacing w:after="36" w:before="36"/>
        <w:ind w:left="480"/>
      </w:pPr>
      <w:r>
        <w:rPr>
          <w:rFonts w:ascii="Courier New" w:cs="Courier New" w:eastAsia="Courier New" w:hAnsi="Courier New"/>
          <w:color w:val="2E5FA3"/>
          <w:sz w:val="18"/>
          <w:szCs w:val="18"/>
        </w:rPr>
        <w:t xml:space="preserve">summarising anything.</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Slide structure</w:t>
      </w:r>
    </w:p>
    <w:p>
      <w:pPr>
        <w:spacing w:after="60" w:before="60"/>
      </w:pPr>
      <w:r>
        <w:rPr>
          <w:rFonts w:ascii="Arial" w:cs="Arial" w:eastAsia="Arial" w:hAnsi="Arial"/>
          <w:color w:val="1A1A2E"/>
          <w:sz w:val="21"/>
          <w:szCs w:val="21"/>
        </w:rPr>
        <w:t xml:space="preserve">Adapt the number of slides to the material. The sequence below is required; not every section needs a dedicated slide if the content is thin.</w:t>
      </w:r>
    </w:p>
    <w:p>
      <w:pPr>
        <w:spacing w:after="60" w:before="60"/>
      </w:pPr>
      <w:r>
        <w:t xml:space="preserve"/>
      </w:r>
    </w:p>
    <w:p>
      <w:pPr>
        <w:pStyle w:val="ListParagraph"/>
        <w:numPr>
          <w:ilvl w:val="0"/>
          <w:numId w:val="2"/>
        </w:numPr>
        <w:spacing w:after="40" w:before="40"/>
      </w:pPr>
      <w:r>
        <w:rPr>
          <w:rFonts w:ascii="Arial" w:cs="Arial" w:eastAsia="Arial" w:hAnsi="Arial"/>
          <w:b/>
          <w:bCs/>
          <w:color w:val="1A1A2E"/>
          <w:sz w:val="21"/>
          <w:szCs w:val="21"/>
        </w:rPr>
        <w:t xml:space="preserve">Cover</w:t>
      </w:r>
      <w:r>
        <w:rPr>
          <w:rFonts w:ascii="Arial" w:cs="Arial" w:eastAsia="Arial" w:hAnsi="Arial"/>
          <w:color w:val="1A1A2E"/>
          <w:sz w:val="21"/>
          <w:szCs w:val="21"/>
        </w:rPr>
        <w:t xml:space="preserve"> — theme name; key message as subtitle; date; presenter.</w:t>
      </w:r>
    </w:p>
    <w:p>
      <w:pPr>
        <w:pStyle w:val="ListParagraph"/>
        <w:numPr>
          <w:ilvl w:val="0"/>
          <w:numId w:val="2"/>
        </w:numPr>
        <w:spacing w:after="40" w:before="40"/>
      </w:pPr>
      <w:r>
        <w:rPr>
          <w:rFonts w:ascii="Arial" w:cs="Arial" w:eastAsia="Arial" w:hAnsi="Arial"/>
          <w:b/>
          <w:bCs/>
          <w:color w:val="1A1A2E"/>
          <w:sz w:val="21"/>
          <w:szCs w:val="21"/>
        </w:rPr>
        <w:t xml:space="preserve">Context / Why Now</w:t>
      </w:r>
      <w:r>
        <w:rPr>
          <w:rFonts w:ascii="Arial" w:cs="Arial" w:eastAsia="Arial" w:hAnsi="Arial"/>
          <w:color w:val="1A1A2E"/>
          <w:sz w:val="21"/>
          <w:szCs w:val="21"/>
        </w:rPr>
        <w:t xml:space="preserve"> — frame the theme for a mixed-knowledge audience; one or two sentences on why this matters today.</w:t>
      </w:r>
    </w:p>
    <w:p>
      <w:pPr>
        <w:pStyle w:val="ListParagraph"/>
        <w:numPr>
          <w:ilvl w:val="0"/>
          <w:numId w:val="2"/>
        </w:numPr>
        <w:spacing w:after="40" w:before="40"/>
      </w:pPr>
      <w:r>
        <w:rPr>
          <w:rFonts w:ascii="Arial" w:cs="Arial" w:eastAsia="Arial" w:hAnsi="Arial"/>
          <w:b/>
          <w:bCs/>
          <w:color w:val="1A1A2E"/>
          <w:sz w:val="21"/>
          <w:szCs w:val="21"/>
        </w:rPr>
        <w:t xml:space="preserve">Core Thesis</w:t>
      </w:r>
      <w:r>
        <w:rPr>
          <w:rFonts w:ascii="Arial" w:cs="Arial" w:eastAsia="Arial" w:hAnsi="Arial"/>
          <w:color w:val="1A1A2E"/>
          <w:sz w:val="21"/>
          <w:szCs w:val="21"/>
        </w:rPr>
        <w:t xml:space="preserve"> — the central argument in plain language; what the market may be missing.</w:t>
      </w:r>
    </w:p>
    <w:p>
      <w:pPr>
        <w:pStyle w:val="ListParagraph"/>
        <w:numPr>
          <w:ilvl w:val="0"/>
          <w:numId w:val="2"/>
        </w:numPr>
        <w:spacing w:after="40" w:before="40"/>
      </w:pPr>
      <w:r>
        <w:rPr>
          <w:rFonts w:ascii="Arial" w:cs="Arial" w:eastAsia="Arial" w:hAnsi="Arial"/>
          <w:b/>
          <w:bCs/>
          <w:color w:val="1A1A2E"/>
          <w:sz w:val="21"/>
          <w:szCs w:val="21"/>
        </w:rPr>
        <w:t xml:space="preserve">System Map or Value Chain</w:t>
      </w:r>
      <w:r>
        <w:rPr>
          <w:rFonts w:ascii="Arial" w:cs="Arial" w:eastAsia="Arial" w:hAnsi="Arial"/>
          <w:color w:val="1A1A2E"/>
          <w:sz w:val="21"/>
          <w:szCs w:val="21"/>
        </w:rPr>
        <w:t xml:space="preserve"> — sector structure, key actors, margin pools, chokepoints.</w:t>
      </w:r>
    </w:p>
    <w:p>
      <w:pPr>
        <w:pStyle w:val="ListParagraph"/>
        <w:numPr>
          <w:ilvl w:val="0"/>
          <w:numId w:val="2"/>
        </w:numPr>
        <w:spacing w:after="40" w:before="40"/>
      </w:pPr>
      <w:r>
        <w:rPr>
          <w:rFonts w:ascii="Arial" w:cs="Arial" w:eastAsia="Arial" w:hAnsi="Arial"/>
          <w:b/>
          <w:bCs/>
          <w:color w:val="1A1A2E"/>
          <w:sz w:val="21"/>
          <w:szCs w:val="21"/>
        </w:rPr>
        <w:t xml:space="preserve">Evidence and Market Logic</w:t>
      </w:r>
      <w:r>
        <w:rPr>
          <w:rFonts w:ascii="Arial" w:cs="Arial" w:eastAsia="Arial" w:hAnsi="Arial"/>
          <w:color w:val="1A1A2E"/>
          <w:sz w:val="21"/>
          <w:szCs w:val="21"/>
        </w:rPr>
        <w:t xml:space="preserve"> — demand drivers, supply dynamics, pricing, adoption, policy effects.</w:t>
      </w:r>
    </w:p>
    <w:p>
      <w:pPr>
        <w:pStyle w:val="ListParagraph"/>
        <w:numPr>
          <w:ilvl w:val="0"/>
          <w:numId w:val="2"/>
        </w:numPr>
        <w:spacing w:after="40" w:before="40"/>
      </w:pPr>
      <w:r>
        <w:rPr>
          <w:rFonts w:ascii="Arial" w:cs="Arial" w:eastAsia="Arial" w:hAnsi="Arial"/>
          <w:b/>
          <w:bCs/>
          <w:color w:val="1A1A2E"/>
          <w:sz w:val="21"/>
          <w:szCs w:val="21"/>
        </w:rPr>
        <w:t xml:space="preserve">Investable Implications</w:t>
      </w:r>
      <w:r>
        <w:rPr>
          <w:rFonts w:ascii="Arial" w:cs="Arial" w:eastAsia="Arial" w:hAnsi="Arial"/>
          <w:color w:val="1A1A2E"/>
          <w:sz w:val="21"/>
          <w:szCs w:val="21"/>
        </w:rPr>
        <w:t xml:space="preserve"> — listed beneficiaries, indirect exposure, what to avoid, timing.</w:t>
      </w:r>
    </w:p>
    <w:p>
      <w:pPr>
        <w:pStyle w:val="ListParagraph"/>
        <w:numPr>
          <w:ilvl w:val="0"/>
          <w:numId w:val="2"/>
        </w:numPr>
        <w:spacing w:after="40" w:before="40"/>
      </w:pPr>
      <w:r>
        <w:rPr>
          <w:rFonts w:ascii="Arial" w:cs="Arial" w:eastAsia="Arial" w:hAnsi="Arial"/>
          <w:b/>
          <w:bCs/>
          <w:color w:val="1A1A2E"/>
          <w:sz w:val="21"/>
          <w:szCs w:val="21"/>
        </w:rPr>
        <w:t xml:space="preserve">Risks and Debate</w:t>
      </w:r>
      <w:r>
        <w:rPr>
          <w:rFonts w:ascii="Arial" w:cs="Arial" w:eastAsia="Arial" w:hAnsi="Arial"/>
          <w:color w:val="1A1A2E"/>
          <w:sz w:val="21"/>
          <w:szCs w:val="21"/>
        </w:rPr>
        <w:t xml:space="preserve"> — key risks ranked; strongest alternative interpretation.</w:t>
      </w:r>
    </w:p>
    <w:p>
      <w:pPr>
        <w:pStyle w:val="ListParagraph"/>
        <w:numPr>
          <w:ilvl w:val="0"/>
          <w:numId w:val="2"/>
        </w:numPr>
        <w:spacing w:after="40" w:before="40"/>
      </w:pPr>
      <w:r>
        <w:rPr>
          <w:rFonts w:ascii="Arial" w:cs="Arial" w:eastAsia="Arial" w:hAnsi="Arial"/>
          <w:b/>
          <w:bCs/>
          <w:color w:val="1A1A2E"/>
          <w:sz w:val="21"/>
          <w:szCs w:val="21"/>
        </w:rPr>
        <w:t xml:space="preserve">Conclusion and Highlight</w:t>
      </w:r>
      <w:r>
        <w:rPr>
          <w:rFonts w:ascii="Arial" w:cs="Arial" w:eastAsia="Arial" w:hAnsi="Arial"/>
          <w:color w:val="1A1A2E"/>
          <w:sz w:val="21"/>
          <w:szCs w:val="21"/>
        </w:rPr>
        <w:t xml:space="preserve"> — end on a forward-looking point worth remembering. Never leave the audience on a low note.</w:t>
      </w:r>
    </w:p>
    <w:p>
      <w:pPr>
        <w:pStyle w:val="ListParagraph"/>
        <w:numPr>
          <w:ilvl w:val="0"/>
          <w:numId w:val="2"/>
        </w:numPr>
        <w:spacing w:after="40" w:before="40"/>
      </w:pPr>
      <w:r>
        <w:rPr>
          <w:rFonts w:ascii="Arial" w:cs="Arial" w:eastAsia="Arial" w:hAnsi="Arial"/>
          <w:b/>
          <w:bCs/>
          <w:color w:val="1A1A2E"/>
          <w:sz w:val="21"/>
          <w:szCs w:val="21"/>
        </w:rPr>
        <w:t xml:space="preserve">Appendix / Sources</w:t>
      </w:r>
      <w:r>
        <w:rPr>
          <w:rFonts w:ascii="Arial" w:cs="Arial" w:eastAsia="Arial" w:hAnsi="Arial"/>
          <w:color w:val="1A1A2E"/>
          <w:sz w:val="21"/>
          <w:szCs w:val="21"/>
        </w:rPr>
        <w:t xml:space="preserve"> — full source list and attribution lines.</w:t>
      </w:r>
    </w:p>
    <w:p>
      <w:pPr>
        <w:spacing w:after="60" w:before="60"/>
      </w:pPr>
      <w:r>
        <w:t xml:space="preserve"/>
      </w:r>
    </w:p>
    <w:p>
      <w:pPr>
        <w:spacing w:after="60" w:before="60"/>
      </w:pPr>
      <w:r>
        <w:rPr>
          <w:rFonts w:ascii="Arial" w:cs="Arial" w:eastAsia="Arial" w:hAnsi="Arial"/>
          <w:color w:val="1A1A2E"/>
          <w:sz w:val="21"/>
          <w:szCs w:val="21"/>
        </w:rPr>
        <w:t xml:space="preserve">Agenda slide: include only if the deck is long enough to require navigation (more than 8 content slides).</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CAPE format specification</w:t>
      </w:r>
    </w:p>
    <w:p>
      <w:pPr>
        <w:pStyle w:val="ListParagraph"/>
        <w:numPr>
          <w:ilvl w:val="0"/>
          <w:numId w:val="2"/>
        </w:numPr>
        <w:spacing w:after="40" w:before="40"/>
      </w:pPr>
      <w:r>
        <w:rPr>
          <w:rFonts w:ascii="Arial" w:cs="Arial" w:eastAsia="Arial" w:hAnsi="Arial"/>
          <w:b w:val="false"/>
          <w:bCs w:val="false"/>
          <w:color w:val="1A1A2E"/>
          <w:sz w:val="21"/>
          <w:szCs w:val="21"/>
        </w:rPr>
        <w:t xml:space="preserve">Palette: dark navy (#0A1628) background, gold (#C9A84C) accents, white text.</w:t>
      </w:r>
    </w:p>
    <w:p>
      <w:pPr>
        <w:pStyle w:val="ListParagraph"/>
        <w:numPr>
          <w:ilvl w:val="0"/>
          <w:numId w:val="2"/>
        </w:numPr>
        <w:spacing w:after="40" w:before="40"/>
      </w:pPr>
      <w:r>
        <w:rPr>
          <w:rFonts w:ascii="Arial" w:cs="Arial" w:eastAsia="Arial" w:hAnsi="Arial"/>
          <w:b w:val="false"/>
          <w:bCs w:val="false"/>
          <w:color w:val="1A1A2E"/>
          <w:sz w:val="21"/>
          <w:szCs w:val="21"/>
        </w:rPr>
        <w:t xml:space="preserve">Font: Arial throughout; minimum 18pt body text.</w:t>
      </w:r>
    </w:p>
    <w:p>
      <w:pPr>
        <w:pStyle w:val="ListParagraph"/>
        <w:numPr>
          <w:ilvl w:val="0"/>
          <w:numId w:val="2"/>
        </w:numPr>
        <w:spacing w:after="40" w:before="40"/>
      </w:pPr>
      <w:r>
        <w:rPr>
          <w:rFonts w:ascii="Arial" w:cs="Arial" w:eastAsia="Arial" w:hAnsi="Arial"/>
          <w:b w:val="false"/>
          <w:bCs w:val="false"/>
          <w:color w:val="1A1A2E"/>
          <w:sz w:val="21"/>
          <w:szCs w:val="21"/>
        </w:rPr>
        <w:t xml:space="preserve">One core idea per slide.</w:t>
      </w:r>
    </w:p>
    <w:p>
      <w:pPr>
        <w:pStyle w:val="ListParagraph"/>
        <w:numPr>
          <w:ilvl w:val="0"/>
          <w:numId w:val="2"/>
        </w:numPr>
        <w:spacing w:after="40" w:before="40"/>
      </w:pPr>
      <w:r>
        <w:rPr>
          <w:rFonts w:ascii="Arial" w:cs="Arial" w:eastAsia="Arial" w:hAnsi="Arial"/>
          <w:b w:val="false"/>
          <w:bCs w:val="false"/>
          <w:color w:val="1A1A2E"/>
          <w:sz w:val="21"/>
          <w:szCs w:val="21"/>
        </w:rPr>
        <w:t xml:space="preserve">Headlines carry the argument — they are not labels.</w:t>
      </w:r>
    </w:p>
    <w:p>
      <w:pPr>
        <w:pStyle w:val="ListParagraph"/>
        <w:numPr>
          <w:ilvl w:val="0"/>
          <w:numId w:val="2"/>
        </w:numPr>
        <w:spacing w:after="40" w:before="40"/>
      </w:pPr>
      <w:r>
        <w:rPr>
          <w:rFonts w:ascii="Arial" w:cs="Arial" w:eastAsia="Arial" w:hAnsi="Arial"/>
          <w:b w:val="false"/>
          <w:bCs w:val="false"/>
          <w:color w:val="1A1A2E"/>
          <w:sz w:val="21"/>
          <w:szCs w:val="21"/>
        </w:rPr>
        <w:t xml:space="preserve">No walls of text; maximum 4 bullets per slide.</w:t>
      </w:r>
    </w:p>
    <w:p>
      <w:pPr>
        <w:pStyle w:val="ListParagraph"/>
        <w:numPr>
          <w:ilvl w:val="0"/>
          <w:numId w:val="2"/>
        </w:numPr>
        <w:spacing w:after="40" w:before="40"/>
      </w:pPr>
      <w:r>
        <w:rPr>
          <w:rFonts w:ascii="Arial" w:cs="Arial" w:eastAsia="Arial" w:hAnsi="Arial"/>
          <w:b w:val="false"/>
          <w:bCs w:val="false"/>
          <w:color w:val="1A1A2E"/>
          <w:sz w:val="21"/>
          <w:szCs w:val="21"/>
        </w:rPr>
        <w:t xml:space="preserve">Charts and visuals clarify the point; they do not decorate.</w:t>
      </w:r>
    </w:p>
    <w:p>
      <w:pPr>
        <w:pStyle w:val="ListParagraph"/>
        <w:numPr>
          <w:ilvl w:val="0"/>
          <w:numId w:val="2"/>
        </w:numPr>
        <w:spacing w:after="40" w:before="40"/>
      </w:pPr>
      <w:r>
        <w:rPr>
          <w:rFonts w:ascii="Arial" w:cs="Arial" w:eastAsia="Arial" w:hAnsi="Arial"/>
          <w:b w:val="false"/>
          <w:bCs w:val="false"/>
          <w:color w:val="1A1A2E"/>
          <w:sz w:val="21"/>
          <w:szCs w:val="21"/>
        </w:rPr>
        <w:t xml:space="preserve">Attribution line in footer for every sourced visual: Source: [Organisation] · [Publication Title] · [Month Year]</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Quality bar</w:t>
      </w:r>
    </w:p>
    <w:p>
      <w:pPr>
        <w:pStyle w:val="ListParagraph"/>
        <w:numPr>
          <w:ilvl w:val="0"/>
          <w:numId w:val="2"/>
        </w:numPr>
        <w:spacing w:after="40" w:before="40"/>
      </w:pPr>
      <w:r>
        <w:rPr>
          <w:rFonts w:ascii="Arial" w:cs="Arial" w:eastAsia="Arial" w:hAnsi="Arial"/>
          <w:b w:val="false"/>
          <w:bCs w:val="false"/>
          <w:color w:val="1A1A2E"/>
          <w:sz w:val="21"/>
          <w:szCs w:val="21"/>
        </w:rPr>
        <w:t xml:space="preserve">The deck has narrative flow from first to last slide.</w:t>
      </w:r>
    </w:p>
    <w:p>
      <w:pPr>
        <w:pStyle w:val="ListParagraph"/>
        <w:numPr>
          <w:ilvl w:val="0"/>
          <w:numId w:val="2"/>
        </w:numPr>
        <w:spacing w:after="40" w:before="40"/>
      </w:pPr>
      <w:r>
        <w:rPr>
          <w:rFonts w:ascii="Arial" w:cs="Arial" w:eastAsia="Arial" w:hAnsi="Arial"/>
          <w:b w:val="false"/>
          <w:bCs w:val="false"/>
          <w:color w:val="1A1A2E"/>
          <w:sz w:val="21"/>
          <w:szCs w:val="21"/>
        </w:rPr>
        <w:t xml:space="preserve">It is speakable — written for a presenter, not a reader.</w:t>
      </w:r>
    </w:p>
    <w:p>
      <w:pPr>
        <w:pStyle w:val="ListParagraph"/>
        <w:numPr>
          <w:ilvl w:val="0"/>
          <w:numId w:val="2"/>
        </w:numPr>
        <w:spacing w:after="40" w:before="40"/>
      </w:pPr>
      <w:r>
        <w:rPr>
          <w:rFonts w:ascii="Arial" w:cs="Arial" w:eastAsia="Arial" w:hAnsi="Arial"/>
          <w:b w:val="false"/>
          <w:bCs w:val="false"/>
          <w:color w:val="1A1A2E"/>
          <w:sz w:val="21"/>
          <w:szCs w:val="21"/>
        </w:rPr>
        <w:t xml:space="preserve">The audience does not have to decode the point themselves.</w:t>
      </w:r>
    </w:p>
    <w:p>
      <w:pPr>
        <w:pStyle w:val="ListParagraph"/>
        <w:numPr>
          <w:ilvl w:val="0"/>
          <w:numId w:val="2"/>
        </w:numPr>
        <w:spacing w:after="40" w:before="40"/>
      </w:pPr>
      <w:r>
        <w:rPr>
          <w:rFonts w:ascii="Arial" w:cs="Arial" w:eastAsia="Arial" w:hAnsi="Arial"/>
          <w:b w:val="false"/>
          <w:bCs w:val="false"/>
          <w:color w:val="1A1A2E"/>
          <w:sz w:val="21"/>
          <w:szCs w:val="21"/>
        </w:rPr>
        <w:t xml:space="preserve">The conclusion slide leaves the room with something worth remembering.</w:t>
      </w:r>
    </w:p>
    <w:p>
      <w:pPr>
        <w:spacing w:after="80" w:before="80"/>
      </w:pPr>
      <w:r>
        <w:t xml:space="preserve"/>
      </w:r>
    </w:p>
    <w:p>
      <w:r>
        <w:br w:type="page"/>
      </w:r>
    </w:p>
    <w:p>
      <w:pPr>
        <w:pStyle w:val="Heading1"/>
        <w:pBdr>
          <w:bottom w:val="single" w:color="2E5FA3" w:sz="4" w:space="6"/>
        </w:pBdr>
        <w:spacing w:after="120" w:before="400"/>
      </w:pPr>
      <w:r>
        <w:rPr>
          <w:rFonts w:ascii="Arial" w:cs="Arial" w:eastAsia="Arial" w:hAnsi="Arial"/>
          <w:b/>
          <w:bCs/>
          <w:color w:val="1A1A2E"/>
          <w:sz w:val="26"/>
          <w:szCs w:val="26"/>
        </w:rPr>
        <w:t xml:space="preserve">OUTPUT B — 1-PAGER</w:t>
      </w:r>
    </w:p>
    <w:p>
      <w:pPr>
        <w:pStyle w:val="Heading2"/>
        <w:spacing w:after="80" w:before="280"/>
      </w:pPr>
      <w:r>
        <w:rPr>
          <w:rFonts w:ascii="Arial" w:cs="Arial" w:eastAsia="Arial" w:hAnsi="Arial"/>
          <w:b/>
          <w:bCs/>
          <w:color w:val="2E5FA3"/>
          <w:sz w:val="23"/>
          <w:szCs w:val="23"/>
        </w:rPr>
        <w:t xml:space="preserve">Purpose and when to use</w:t>
      </w:r>
    </w:p>
    <w:p>
      <w:pPr>
        <w:pStyle w:val="ListParagraph"/>
        <w:numPr>
          <w:ilvl w:val="0"/>
          <w:numId w:val="2"/>
        </w:numPr>
        <w:spacing w:after="40" w:before="40"/>
      </w:pPr>
      <w:r>
        <w:rPr>
          <w:rFonts w:ascii="Arial" w:cs="Arial" w:eastAsia="Arial" w:hAnsi="Arial"/>
          <w:b w:val="false"/>
          <w:bCs w:val="false"/>
          <w:color w:val="1A1A2E"/>
          <w:sz w:val="21"/>
          <w:szCs w:val="21"/>
        </w:rPr>
        <w:t xml:space="preserve">After a presentation has been completed — derives from the deck.</w:t>
      </w:r>
    </w:p>
    <w:p>
      <w:pPr>
        <w:pStyle w:val="ListParagraph"/>
        <w:numPr>
          <w:ilvl w:val="0"/>
          <w:numId w:val="2"/>
        </w:numPr>
        <w:spacing w:after="40" w:before="40"/>
      </w:pPr>
      <w:r>
        <w:rPr>
          <w:rFonts w:ascii="Arial" w:cs="Arial" w:eastAsia="Arial" w:hAnsi="Arial"/>
          <w:b w:val="false"/>
          <w:bCs w:val="false"/>
          <w:color w:val="1A1A2E"/>
          <w:sz w:val="21"/>
          <w:szCs w:val="21"/>
        </w:rPr>
        <w:t xml:space="preserve">As a standalone summary for internal CAPE circulation.</w:t>
      </w:r>
    </w:p>
    <w:p>
      <w:pPr>
        <w:pStyle w:val="ListParagraph"/>
        <w:numPr>
          <w:ilvl w:val="0"/>
          <w:numId w:val="2"/>
        </w:numPr>
        <w:spacing w:after="40" w:before="40"/>
      </w:pPr>
      <w:r>
        <w:rPr>
          <w:rFonts w:ascii="Arial" w:cs="Arial" w:eastAsia="Arial" w:hAnsi="Arial"/>
          <w:b w:val="false"/>
          <w:bCs w:val="false"/>
          <w:color w:val="1A1A2E"/>
          <w:sz w:val="21"/>
          <w:szCs w:val="21"/>
        </w:rPr>
        <w:t xml:space="preserve">As a filing note for the CAPE thematic research folder.</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Format specification</w:t>
      </w:r>
    </w:p>
    <w:p>
      <w:pPr>
        <w:spacing w:after="60" w:before="60"/>
      </w:pPr>
      <w:r>
        <w:rPr>
          <w:rFonts w:ascii="Arial" w:cs="Arial" w:eastAsia="Arial" w:hAnsi="Arial"/>
          <w:color w:val="1A1A2E"/>
          <w:sz w:val="21"/>
          <w:szCs w:val="21"/>
        </w:rPr>
        <w:t xml:space="preserve">Based on William's established format (Iran explained, Proteins, Stablecoins, Humans vs AI).</w:t>
      </w:r>
    </w:p>
    <w:p>
      <w:pPr>
        <w:spacing w:after="60" w:before="60"/>
      </w:pPr>
      <w:r>
        <w:t xml:space="preserve"/>
      </w:r>
    </w:p>
    <w:p>
      <w:pPr>
        <w:spacing w:after="60" w:before="200"/>
      </w:pPr>
      <w:r>
        <w:rPr>
          <w:rFonts w:ascii="Arial" w:cs="Arial" w:eastAsia="Arial" w:hAnsi="Arial"/>
          <w:b/>
          <w:bCs/>
          <w:color w:val="1A1A2E"/>
          <w:sz w:val="22"/>
          <w:szCs w:val="22"/>
        </w:rPr>
        <w:t xml:space="preserve">Structure</w:t>
      </w:r>
    </w:p>
    <w:p>
      <w:pPr>
        <w:spacing w:after="40" w:before="40"/>
      </w:pPr>
      <w:r>
        <w:t xml:space="preserve"/>
      </w:r>
    </w:p>
    <w:p>
      <w:pPr>
        <w:spacing w:after="36" w:before="36"/>
        <w:ind w:left="480"/>
      </w:pPr>
      <w:r>
        <w:rPr>
          <w:rFonts w:ascii="Courier New" w:cs="Courier New" w:eastAsia="Courier New" w:hAnsi="Courier New"/>
          <w:color w:val="2E5FA3"/>
          <w:sz w:val="18"/>
          <w:szCs w:val="18"/>
        </w:rPr>
        <w:t xml:space="preserve">[THEME NAME] — Summary</w:t>
      </w:r>
    </w:p>
    <w:p>
      <w:pPr>
        <w:spacing w:after="36" w:before="36"/>
        <w:ind w:left="480"/>
      </w:pPr>
      <w:r>
        <w:rPr>
          <w:rFonts w:ascii="Courier New" w:cs="Courier New" w:eastAsia="Courier New" w:hAnsi="Courier New"/>
          <w:color w:val="2E5FA3"/>
          <w:sz w:val="18"/>
          <w:szCs w:val="18"/>
        </w:rPr>
        <w:t xml:space="preserve"/>
      </w:r>
    </w:p>
    <w:p>
      <w:pPr>
        <w:spacing w:after="36" w:before="36"/>
        <w:ind w:left="480"/>
      </w:pPr>
      <w:r>
        <w:rPr>
          <w:rFonts w:ascii="Courier New" w:cs="Courier New" w:eastAsia="Courier New" w:hAnsi="Courier New"/>
          <w:color w:val="2E5FA3"/>
          <w:sz w:val="18"/>
          <w:szCs w:val="18"/>
        </w:rPr>
        <w:t xml:space="preserve">[Theme] -- Presentation has been added to the usual folder</w:t>
      </w:r>
    </w:p>
    <w:p>
      <w:pPr>
        <w:spacing w:after="36" w:before="36"/>
        <w:ind w:left="480"/>
      </w:pPr>
      <w:r>
        <w:rPr>
          <w:rFonts w:ascii="Courier New" w:cs="Courier New" w:eastAsia="Courier New" w:hAnsi="Courier New"/>
          <w:color w:val="2E5FA3"/>
          <w:sz w:val="18"/>
          <w:szCs w:val="18"/>
        </w:rPr>
        <w:t xml:space="preserve">(in pptx and in pdf): [SharePoint link]</w:t>
      </w:r>
    </w:p>
    <w:p>
      <w:pPr>
        <w:spacing w:after="36" w:before="36"/>
        <w:ind w:left="480"/>
      </w:pPr>
      <w:r>
        <w:rPr>
          <w:rFonts w:ascii="Courier New" w:cs="Courier New" w:eastAsia="Courier New" w:hAnsi="Courier New"/>
          <w:color w:val="2E5FA3"/>
          <w:sz w:val="18"/>
          <w:szCs w:val="18"/>
        </w:rPr>
        <w:t xml:space="preserve">This one pager can be found [SharePoint link]</w:t>
      </w:r>
    </w:p>
    <w:p>
      <w:pPr>
        <w:spacing w:after="36" w:before="36"/>
        <w:ind w:left="480"/>
      </w:pPr>
      <w:r>
        <w:rPr>
          <w:rFonts w:ascii="Courier New" w:cs="Courier New" w:eastAsia="Courier New" w:hAnsi="Courier New"/>
          <w:color w:val="2E5FA3"/>
          <w:sz w:val="18"/>
          <w:szCs w:val="18"/>
        </w:rPr>
        <w:t xml:space="preserve"/>
      </w:r>
    </w:p>
    <w:p>
      <w:pPr>
        <w:spacing w:after="36" w:before="36"/>
        <w:ind w:left="480"/>
      </w:pPr>
      <w:r>
        <w:rPr>
          <w:rFonts w:ascii="Courier New" w:cs="Courier New" w:eastAsia="Courier New" w:hAnsi="Courier New"/>
          <w:color w:val="2E5FA3"/>
          <w:sz w:val="18"/>
          <w:szCs w:val="18"/>
        </w:rPr>
        <w:t xml:space="preserve">• [Bold label]: [Concise, data-rich sentence. Real numbers.]</w:t>
      </w:r>
    </w:p>
    <w:p>
      <w:pPr>
        <w:spacing w:after="36" w:before="36"/>
        <w:ind w:left="480"/>
      </w:pPr>
      <w:r>
        <w:rPr>
          <w:rFonts w:ascii="Courier New" w:cs="Courier New" w:eastAsia="Courier New" w:hAnsi="Courier New"/>
          <w:color w:val="2E5FA3"/>
          <w:sz w:val="18"/>
          <w:szCs w:val="18"/>
        </w:rPr>
        <w:t xml:space="preserve">• [Bold label]: [Concise, data-rich sentence.]</w:t>
      </w:r>
    </w:p>
    <w:p>
      <w:pPr>
        <w:spacing w:after="36" w:before="36"/>
        <w:ind w:left="480"/>
      </w:pPr>
      <w:r>
        <w:rPr>
          <w:rFonts w:ascii="Courier New" w:cs="Courier New" w:eastAsia="Courier New" w:hAnsi="Courier New"/>
          <w:color w:val="2E5FA3"/>
          <w:sz w:val="18"/>
          <w:szCs w:val="18"/>
        </w:rPr>
        <w:t xml:space="preserve">• [Bold label]: [Concise, data-rich sentence.]</w:t>
      </w:r>
    </w:p>
    <w:p>
      <w:pPr>
        <w:spacing w:after="36" w:before="36"/>
        <w:ind w:left="480"/>
      </w:pPr>
      <w:r>
        <w:rPr>
          <w:rFonts w:ascii="Courier New" w:cs="Courier New" w:eastAsia="Courier New" w:hAnsi="Courier New"/>
          <w:color w:val="2E5FA3"/>
          <w:sz w:val="18"/>
          <w:szCs w:val="18"/>
        </w:rPr>
        <w:t xml:space="preserve">  [... 8-12 bullets total ...]</w:t>
      </w:r>
    </w:p>
    <w:p>
      <w:pPr>
        <w:spacing w:after="36" w:before="36"/>
        <w:ind w:left="480"/>
      </w:pPr>
      <w:r>
        <w:rPr>
          <w:rFonts w:ascii="Courier New" w:cs="Courier New" w:eastAsia="Courier New" w:hAnsi="Courier New"/>
          <w:color w:val="2E5FA3"/>
          <w:sz w:val="18"/>
          <w:szCs w:val="18"/>
        </w:rPr>
        <w:t xml:space="preserve">• [Final bullet — forward-looking or upside scenario]:</w:t>
      </w:r>
    </w:p>
    <w:p>
      <w:pPr>
        <w:spacing w:after="36" w:before="36"/>
        <w:ind w:left="480"/>
      </w:pPr>
      <w:r>
        <w:rPr>
          <w:rFonts w:ascii="Courier New" w:cs="Courier New" w:eastAsia="Courier New" w:hAnsi="Courier New"/>
          <w:color w:val="2E5FA3"/>
          <w:sz w:val="18"/>
          <w:szCs w:val="18"/>
        </w:rPr>
        <w:t xml:space="preserve">  [The highlight. End on a note worth remembering.]</w:t>
      </w:r>
    </w:p>
    <w:p>
      <w:pPr>
        <w:spacing w:after="80" w:before="80"/>
      </w:pPr>
      <w:r>
        <w:t xml:space="preserve"/>
      </w:r>
    </w:p>
    <w:p>
      <w:pPr>
        <w:spacing w:after="60" w:before="200"/>
      </w:pPr>
      <w:r>
        <w:rPr>
          <w:rFonts w:ascii="Arial" w:cs="Arial" w:eastAsia="Arial" w:hAnsi="Arial"/>
          <w:b/>
          <w:bCs/>
          <w:color w:val="1A1A2E"/>
          <w:sz w:val="22"/>
          <w:szCs w:val="22"/>
        </w:rPr>
        <w:t xml:space="preserve">Rules</w:t>
      </w:r>
    </w:p>
    <w:p>
      <w:pPr>
        <w:pStyle w:val="ListParagraph"/>
        <w:numPr>
          <w:ilvl w:val="0"/>
          <w:numId w:val="2"/>
        </w:numPr>
        <w:spacing w:after="40" w:before="40"/>
      </w:pPr>
      <w:r>
        <w:rPr>
          <w:rFonts w:ascii="Arial" w:cs="Arial" w:eastAsia="Arial" w:hAnsi="Arial"/>
          <w:b w:val="false"/>
          <w:bCs w:val="false"/>
          <w:color w:val="1A1A2E"/>
          <w:sz w:val="21"/>
          <w:szCs w:val="21"/>
        </w:rPr>
        <w:t xml:space="preserve">Bold label + colon + data-rich content. Not general description — actual figures, named actors, specific mechanisms.</w:t>
      </w:r>
    </w:p>
    <w:p>
      <w:pPr>
        <w:pStyle w:val="ListParagraph"/>
        <w:numPr>
          <w:ilvl w:val="0"/>
          <w:numId w:val="2"/>
        </w:numPr>
        <w:spacing w:after="40" w:before="40"/>
      </w:pPr>
      <w:r>
        <w:rPr>
          <w:rFonts w:ascii="Arial" w:cs="Arial" w:eastAsia="Arial" w:hAnsi="Arial"/>
          <w:b w:val="false"/>
          <w:bCs w:val="false"/>
          <w:color w:val="1A1A2E"/>
          <w:sz w:val="21"/>
          <w:szCs w:val="21"/>
        </w:rPr>
        <w:t xml:space="preserve">8–12 bullets. No more.</w:t>
      </w:r>
    </w:p>
    <w:p>
      <w:pPr>
        <w:pStyle w:val="ListParagraph"/>
        <w:numPr>
          <w:ilvl w:val="0"/>
          <w:numId w:val="2"/>
        </w:numPr>
        <w:spacing w:after="40" w:before="40"/>
      </w:pPr>
      <w:r>
        <w:rPr>
          <w:rFonts w:ascii="Arial" w:cs="Arial" w:eastAsia="Arial" w:hAnsi="Arial"/>
          <w:b w:val="false"/>
          <w:bCs w:val="false"/>
          <w:color w:val="1A1A2E"/>
          <w:sz w:val="21"/>
          <w:szCs w:val="21"/>
        </w:rPr>
        <w:t xml:space="preserve">No paragraphs or narrative text anywhere in the document.</w:t>
      </w:r>
    </w:p>
    <w:p>
      <w:pPr>
        <w:pStyle w:val="ListParagraph"/>
        <w:numPr>
          <w:ilvl w:val="0"/>
          <w:numId w:val="2"/>
        </w:numPr>
        <w:spacing w:after="40" w:before="40"/>
      </w:pPr>
      <w:r>
        <w:rPr>
          <w:rFonts w:ascii="Arial" w:cs="Arial" w:eastAsia="Arial" w:hAnsi="Arial"/>
          <w:b w:val="false"/>
          <w:bCs w:val="false"/>
          <w:color w:val="1A1A2E"/>
          <w:sz w:val="21"/>
          <w:szCs w:val="21"/>
        </w:rPr>
        <w:t xml:space="preserve">Final bullet is always forward-looking or scenario-based. It is the note the reader carries away. Set it apart visually (bold or colour).</w:t>
      </w:r>
    </w:p>
    <w:p>
      <w:pPr>
        <w:pStyle w:val="ListParagraph"/>
        <w:numPr>
          <w:ilvl w:val="0"/>
          <w:numId w:val="2"/>
        </w:numPr>
        <w:spacing w:after="40" w:before="40"/>
      </w:pPr>
      <w:r>
        <w:rPr>
          <w:rFonts w:ascii="Arial" w:cs="Arial" w:eastAsia="Arial" w:hAnsi="Arial"/>
          <w:b w:val="false"/>
          <w:bCs w:val="false"/>
          <w:color w:val="1A1A2E"/>
          <w:sz w:val="21"/>
          <w:szCs w:val="21"/>
        </w:rPr>
        <w:t xml:space="preserve">Total length: approximately half a page in Word; 200–250 words maximum.</w:t>
      </w:r>
    </w:p>
    <w:p>
      <w:pPr>
        <w:pStyle w:val="ListParagraph"/>
        <w:numPr>
          <w:ilvl w:val="0"/>
          <w:numId w:val="2"/>
        </w:numPr>
        <w:spacing w:after="40" w:before="40"/>
      </w:pPr>
      <w:r>
        <w:rPr>
          <w:rFonts w:ascii="Arial" w:cs="Arial" w:eastAsia="Arial" w:hAnsi="Arial"/>
          <w:b w:val="false"/>
          <w:bCs w:val="false"/>
          <w:color w:val="1A1A2E"/>
          <w:sz w:val="21"/>
          <w:szCs w:val="21"/>
        </w:rPr>
        <w:t xml:space="preserve">Language: concise, professional, readable by an intelligent non-specialist.</w:t>
      </w:r>
    </w:p>
    <w:p>
      <w:pPr>
        <w:pStyle w:val="ListParagraph"/>
        <w:numPr>
          <w:ilvl w:val="0"/>
          <w:numId w:val="2"/>
        </w:numPr>
        <w:spacing w:after="40" w:before="40"/>
      </w:pPr>
      <w:r>
        <w:rPr>
          <w:rFonts w:ascii="Arial" w:cs="Arial" w:eastAsia="Arial" w:hAnsi="Arial"/>
          <w:b w:val="false"/>
          <w:bCs w:val="false"/>
          <w:color w:val="1A1A2E"/>
          <w:sz w:val="21"/>
          <w:szCs w:val="21"/>
        </w:rPr>
        <w:t xml:space="preserve">File format: .docx (primary) and .md (portable version).</w:t>
      </w:r>
    </w:p>
    <w:p>
      <w:pPr>
        <w:spacing w:after="80" w:before="80"/>
      </w:pPr>
      <w:r>
        <w:t xml:space="preserve"/>
      </w:r>
    </w:p>
    <w:p>
      <w:pPr>
        <w:pStyle w:val="Heading2"/>
        <w:spacing w:after="80" w:before="280"/>
      </w:pPr>
      <w:r>
        <w:rPr>
          <w:rFonts w:ascii="Arial" w:cs="Arial" w:eastAsia="Arial" w:hAnsi="Arial"/>
          <w:b/>
          <w:bCs/>
          <w:color w:val="2E5FA3"/>
          <w:sz w:val="23"/>
          <w:szCs w:val="23"/>
        </w:rPr>
        <w:t xml:space="preserve">Prompt pattern</w:t>
      </w:r>
    </w:p>
    <w:p>
      <w:pPr>
        <w:spacing w:after="60" w:before="60"/>
      </w:pPr>
      <w:r>
        <w:rPr>
          <w:rFonts w:ascii="Arial" w:cs="Arial" w:eastAsia="Arial" w:hAnsi="Arial"/>
          <w:color w:val="1A1A2E"/>
          <w:sz w:val="21"/>
          <w:szCs w:val="21"/>
        </w:rPr>
        <w:t xml:space="preserve">Use this when deriving the 1-pager from a completed presentation:</w:t>
      </w:r>
    </w:p>
    <w:p>
      <w:pPr>
        <w:spacing w:after="40" w:before="40"/>
      </w:pPr>
      <w:r>
        <w:t xml:space="preserve"/>
      </w:r>
    </w:p>
    <w:p>
      <w:pPr>
        <w:spacing w:after="36" w:before="36"/>
        <w:ind w:left="480"/>
      </w:pPr>
      <w:r>
        <w:rPr>
          <w:rFonts w:ascii="Courier New" w:cs="Courier New" w:eastAsia="Courier New" w:hAnsi="Courier New"/>
          <w:color w:val="2E5FA3"/>
          <w:sz w:val="18"/>
          <w:szCs w:val="18"/>
        </w:rPr>
        <w:t xml:space="preserve">Read the attached [THEME] presentation.</w:t>
      </w:r>
    </w:p>
    <w:p>
      <w:pPr>
        <w:spacing w:after="36" w:before="36"/>
        <w:ind w:left="480"/>
      </w:pPr>
      <w:r>
        <w:rPr>
          <w:rFonts w:ascii="Courier New" w:cs="Courier New" w:eastAsia="Courier New" w:hAnsi="Courier New"/>
          <w:color w:val="2E5FA3"/>
          <w:sz w:val="18"/>
          <w:szCs w:val="18"/>
        </w:rPr>
        <w:t xml:space="preserve"/>
      </w:r>
    </w:p>
    <w:p>
      <w:pPr>
        <w:spacing w:after="36" w:before="36"/>
        <w:ind w:left="480"/>
      </w:pPr>
      <w:r>
        <w:rPr>
          <w:rFonts w:ascii="Courier New" w:cs="Courier New" w:eastAsia="Courier New" w:hAnsi="Courier New"/>
          <w:color w:val="2E5FA3"/>
          <w:sz w:val="18"/>
          <w:szCs w:val="18"/>
        </w:rPr>
        <w:t xml:space="preserve">Produce a 1-pager in William's investment note format:</w:t>
      </w:r>
    </w:p>
    <w:p>
      <w:pPr>
        <w:spacing w:after="36" w:before="36"/>
        <w:ind w:left="480"/>
      </w:pPr>
      <w:r>
        <w:rPr>
          <w:rFonts w:ascii="Courier New" w:cs="Courier New" w:eastAsia="Courier New" w:hAnsi="Courier New"/>
          <w:color w:val="2E5FA3"/>
          <w:sz w:val="18"/>
          <w:szCs w:val="18"/>
        </w:rPr>
        <w:t xml:space="preserve">- Header: '[THEME] — Summary'</w:t>
      </w:r>
    </w:p>
    <w:p>
      <w:pPr>
        <w:spacing w:after="36" w:before="36"/>
        <w:ind w:left="480"/>
      </w:pPr>
      <w:r>
        <w:rPr>
          <w:rFonts w:ascii="Courier New" w:cs="Courier New" w:eastAsia="Courier New" w:hAnsi="Courier New"/>
          <w:color w:val="2E5FA3"/>
          <w:sz w:val="18"/>
          <w:szCs w:val="18"/>
        </w:rPr>
        <w:t xml:space="preserve">- Filing line referencing the usual CAPE folder</w:t>
      </w:r>
    </w:p>
    <w:p>
      <w:pPr>
        <w:spacing w:after="36" w:before="36"/>
        <w:ind w:left="480"/>
      </w:pPr>
      <w:r>
        <w:rPr>
          <w:rFonts w:ascii="Courier New" w:cs="Courier New" w:eastAsia="Courier New" w:hAnsi="Courier New"/>
          <w:color w:val="2E5FA3"/>
          <w:sz w:val="18"/>
          <w:szCs w:val="18"/>
        </w:rPr>
        <w:t xml:space="preserve">- 8-12 bullets using: **Bold label**: [data-rich sentence]</w:t>
      </w:r>
    </w:p>
    <w:p>
      <w:pPr>
        <w:spacing w:after="36" w:before="36"/>
        <w:ind w:left="480"/>
      </w:pPr>
      <w:r>
        <w:rPr>
          <w:rFonts w:ascii="Courier New" w:cs="Courier New" w:eastAsia="Courier New" w:hAnsi="Courier New"/>
          <w:color w:val="2E5FA3"/>
          <w:sz w:val="18"/>
          <w:szCs w:val="18"/>
        </w:rPr>
        <w:t xml:space="preserve">- Each bullet must contain real figures, named actors,</w:t>
      </w:r>
    </w:p>
    <w:p>
      <w:pPr>
        <w:spacing w:after="36" w:before="36"/>
        <w:ind w:left="480"/>
      </w:pPr>
      <w:r>
        <w:rPr>
          <w:rFonts w:ascii="Courier New" w:cs="Courier New" w:eastAsia="Courier New" w:hAnsi="Courier New"/>
          <w:color w:val="2E5FA3"/>
          <w:sz w:val="18"/>
          <w:szCs w:val="18"/>
        </w:rPr>
        <w:t xml:space="preserve">  or specific mechanisms — not general description</w:t>
      </w:r>
    </w:p>
    <w:p>
      <w:pPr>
        <w:spacing w:after="36" w:before="36"/>
        <w:ind w:left="480"/>
      </w:pPr>
      <w:r>
        <w:rPr>
          <w:rFonts w:ascii="Courier New" w:cs="Courier New" w:eastAsia="Courier New" w:hAnsi="Courier New"/>
          <w:color w:val="2E5FA3"/>
          <w:sz w:val="18"/>
          <w:szCs w:val="18"/>
        </w:rPr>
        <w:t xml:space="preserve">- Final bullet: forward-looking or upside scenario,</w:t>
      </w:r>
    </w:p>
    <w:p>
      <w:pPr>
        <w:spacing w:after="36" w:before="36"/>
        <w:ind w:left="480"/>
      </w:pPr>
      <w:r>
        <w:rPr>
          <w:rFonts w:ascii="Courier New" w:cs="Courier New" w:eastAsia="Courier New" w:hAnsi="Courier New"/>
          <w:color w:val="2E5FA3"/>
          <w:sz w:val="18"/>
          <w:szCs w:val="18"/>
        </w:rPr>
        <w:t xml:space="preserve">  set apart as the highlight</w:t>
      </w:r>
    </w:p>
    <w:p>
      <w:pPr>
        <w:spacing w:after="36" w:before="36"/>
        <w:ind w:left="480"/>
      </w:pPr>
      <w:r>
        <w:rPr>
          <w:rFonts w:ascii="Courier New" w:cs="Courier New" w:eastAsia="Courier New" w:hAnsi="Courier New"/>
          <w:color w:val="2E5FA3"/>
          <w:sz w:val="18"/>
          <w:szCs w:val="18"/>
        </w:rPr>
        <w:t xml:space="preserve">- No paragraphs, no narrative, no commentary outside bullets</w:t>
      </w:r>
    </w:p>
    <w:p>
      <w:pPr>
        <w:spacing w:after="36" w:before="36"/>
        <w:ind w:left="480"/>
      </w:pPr>
      <w:r>
        <w:rPr>
          <w:rFonts w:ascii="Courier New" w:cs="Courier New" w:eastAsia="Courier New" w:hAnsi="Courier New"/>
          <w:color w:val="2E5FA3"/>
          <w:sz w:val="18"/>
          <w:szCs w:val="18"/>
        </w:rPr>
        <w:t xml:space="preserve">- Total: 200-250 words maximum</w:t>
      </w:r>
    </w:p>
    <w:p>
      <w:pPr>
        <w:spacing w:after="36" w:before="36"/>
        <w:ind w:left="480"/>
      </w:pPr>
      <w:r>
        <w:rPr>
          <w:rFonts w:ascii="Courier New" w:cs="Courier New" w:eastAsia="Courier New" w:hAnsi="Courier New"/>
          <w:color w:val="2E5FA3"/>
          <w:sz w:val="18"/>
          <w:szCs w:val="18"/>
        </w:rPr>
        <w:t xml:space="preserve">- Output as .docx file</w:t>
      </w:r>
    </w:p>
    <w:p>
      <w:pPr>
        <w:spacing w:after="36" w:before="36"/>
        <w:ind w:left="480"/>
      </w:pPr>
      <w:r>
        <w:rPr>
          <w:rFonts w:ascii="Courier New" w:cs="Courier New" w:eastAsia="Courier New" w:hAnsi="Courier New"/>
          <w:color w:val="2E5FA3"/>
          <w:sz w:val="18"/>
          <w:szCs w:val="18"/>
        </w:rPr>
        <w:t xml:space="preserve"/>
      </w:r>
    </w:p>
    <w:p>
      <w:pPr>
        <w:spacing w:after="36" w:before="36"/>
        <w:ind w:left="480"/>
      </w:pPr>
      <w:r>
        <w:rPr>
          <w:rFonts w:ascii="Courier New" w:cs="Courier New" w:eastAsia="Courier New" w:hAnsi="Courier New"/>
          <w:color w:val="2E5FA3"/>
          <w:sz w:val="18"/>
          <w:szCs w:val="18"/>
        </w:rPr>
        <w:t xml:space="preserve">Do not summarise the slides.</w:t>
      </w:r>
    </w:p>
    <w:p>
      <w:pPr>
        <w:spacing w:after="36" w:before="36"/>
        <w:ind w:left="480"/>
      </w:pPr>
      <w:r>
        <w:rPr>
          <w:rFonts w:ascii="Courier New" w:cs="Courier New" w:eastAsia="Courier New" w:hAnsi="Courier New"/>
          <w:color w:val="2E5FA3"/>
          <w:sz w:val="18"/>
          <w:szCs w:val="18"/>
        </w:rPr>
        <w:t xml:space="preserve">Extract the investment-relevant facts.</w:t>
      </w:r>
    </w:p>
    <w:p>
      <w:pPr>
        <w:spacing w:after="80" w:before="80"/>
      </w:pPr>
      <w:r>
        <w:t xml:space="preserve"/>
      </w:r>
    </w:p>
    <w:p>
      <w:pPr>
        <w:pStyle w:val="Heading1"/>
        <w:pBdr>
          <w:bottom w:val="single" w:color="2E5FA3" w:sz="4" w:space="6"/>
        </w:pBdr>
        <w:spacing w:after="120" w:before="400"/>
      </w:pPr>
      <w:r>
        <w:rPr>
          <w:rFonts w:ascii="Arial" w:cs="Arial" w:eastAsia="Arial" w:hAnsi="Arial"/>
          <w:b/>
          <w:bCs/>
          <w:color w:val="1A1A2E"/>
          <w:sz w:val="26"/>
          <w:szCs w:val="26"/>
        </w:rPr>
        <w:t xml:space="preserve">OUTPUT C — FURTHER FORMATS</w:t>
      </w:r>
    </w:p>
    <w:p>
      <w:pPr>
        <w:spacing w:after="60" w:before="60"/>
      </w:pPr>
      <w:r>
        <w:rPr>
          <w:rFonts w:ascii="Arial" w:cs="Arial" w:eastAsia="Arial" w:hAnsi="Arial"/>
          <w:color w:val="1A1A2E"/>
          <w:sz w:val="21"/>
          <w:szCs w:val="21"/>
        </w:rPr>
        <w:t xml:space="preserve">To be developed. Placeholder sections:</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A1A2E"/>
          <w:sz w:val="21"/>
          <w:szCs w:val="21"/>
        </w:rPr>
        <w:t xml:space="preserve">Newsletter draft (B-R &amp; H).</w:t>
      </w:r>
    </w:p>
    <w:p>
      <w:pPr>
        <w:pStyle w:val="ListParagraph"/>
        <w:numPr>
          <w:ilvl w:val="0"/>
          <w:numId w:val="2"/>
        </w:numPr>
        <w:spacing w:after="40" w:before="40"/>
      </w:pPr>
      <w:r>
        <w:rPr>
          <w:rFonts w:ascii="Arial" w:cs="Arial" w:eastAsia="Arial" w:hAnsi="Arial"/>
          <w:b w:val="false"/>
          <w:bCs w:val="false"/>
          <w:color w:val="1A1A2E"/>
          <w:sz w:val="21"/>
          <w:szCs w:val="21"/>
        </w:rPr>
        <w:t xml:space="preserve">LinkedIn post.</w:t>
      </w:r>
    </w:p>
    <w:p>
      <w:pPr>
        <w:pStyle w:val="ListParagraph"/>
        <w:numPr>
          <w:ilvl w:val="0"/>
          <w:numId w:val="2"/>
        </w:numPr>
        <w:spacing w:after="40" w:before="40"/>
      </w:pPr>
      <w:r>
        <w:rPr>
          <w:rFonts w:ascii="Arial" w:cs="Arial" w:eastAsia="Arial" w:hAnsi="Arial"/>
          <w:b w:val="false"/>
          <w:bCs w:val="false"/>
          <w:color w:val="1A1A2E"/>
          <w:sz w:val="21"/>
          <w:szCs w:val="21"/>
        </w:rPr>
        <w:t xml:space="preserve">Podcast preparation / speech notes.</w:t>
      </w:r>
    </w:p>
    <w:p>
      <w:pPr>
        <w:pStyle w:val="ListParagraph"/>
        <w:numPr>
          <w:ilvl w:val="0"/>
          <w:numId w:val="2"/>
        </w:numPr>
        <w:spacing w:after="40" w:before="40"/>
      </w:pPr>
      <w:r>
        <w:rPr>
          <w:rFonts w:ascii="Arial" w:cs="Arial" w:eastAsia="Arial" w:hAnsi="Arial"/>
          <w:b w:val="false"/>
          <w:bCs w:val="false"/>
          <w:color w:val="1A1A2E"/>
          <w:sz w:val="21"/>
          <w:szCs w:val="21"/>
        </w:rPr>
        <w:t xml:space="preserve">Portfolio debate / devil's advocate note.</w:t>
      </w:r>
    </w:p>
    <w:p>
      <w:pPr>
        <w:pStyle w:val="ListParagraph"/>
        <w:numPr>
          <w:ilvl w:val="0"/>
          <w:numId w:val="2"/>
        </w:numPr>
        <w:spacing w:after="40" w:before="40"/>
      </w:pPr>
      <w:r>
        <w:rPr>
          <w:rFonts w:ascii="Arial" w:cs="Arial" w:eastAsia="Arial" w:hAnsi="Arial"/>
          <w:b w:val="false"/>
          <w:bCs w:val="false"/>
          <w:color w:val="1A1A2E"/>
          <w:sz w:val="21"/>
          <w:szCs w:val="21"/>
        </w:rPr>
        <w:t xml:space="preserve">Company due diligence note.</w:t>
      </w:r>
    </w:p>
    <w:p>
      <w:pPr>
        <w:pStyle w:val="ListParagraph"/>
        <w:numPr>
          <w:ilvl w:val="0"/>
          <w:numId w:val="2"/>
        </w:numPr>
        <w:spacing w:after="40" w:before="40"/>
      </w:pPr>
      <w:r>
        <w:rPr>
          <w:rFonts w:ascii="Arial" w:cs="Arial" w:eastAsia="Arial" w:hAnsi="Arial"/>
          <w:b w:val="false"/>
          <w:bCs w:val="false"/>
          <w:color w:val="1A1A2E"/>
          <w:sz w:val="21"/>
          <w:szCs w:val="21"/>
        </w:rPr>
        <w:t xml:space="preserve">Follow-up email.</w:t>
      </w:r>
    </w:p>
    <w:p>
      <w:pPr>
        <w:spacing w:after="60" w:before="60"/>
      </w:pPr>
      <w:r>
        <w:t xml:space="preserve"/>
      </w:r>
    </w:p>
    <w:p>
      <w:pPr>
        <w:spacing w:after="60" w:before="60"/>
      </w:pPr>
      <w:r>
        <w:rPr>
          <w:rFonts w:ascii="Arial" w:cs="Arial" w:eastAsia="Arial" w:hAnsi="Arial"/>
          <w:color w:val="1A1A2E"/>
          <w:sz w:val="21"/>
          <w:szCs w:val="21"/>
        </w:rPr>
        <w:t xml:space="preserve">These will be added as separate sections when William is ready to develop them.</w:t>
      </w:r>
    </w:p>
    <w:p>
      <w:pPr>
        <w:spacing w:after="80" w:before="80"/>
      </w:pPr>
      <w:r>
        <w:t xml:space="preserve"/>
      </w:r>
    </w:p>
    <w:p>
      <w:pPr>
        <w:pBdr>
          <w:bottom w:val="single" w:color="DDDDDD" w:sz="2" w:space="4"/>
        </w:pBdr>
        <w:spacing w:after="40" w:before="40"/>
      </w:pPr>
      <w:r>
        <w:t xml:space="preserve"/>
      </w:r>
    </w:p>
    <w:p>
      <w:pPr>
        <w:spacing w:after="40" w:before="40"/>
      </w:pPr>
      <w:r>
        <w:t xml:space="preserve"/>
      </w:r>
    </w:p>
    <w:p>
      <w:pPr>
        <w:spacing w:after="40" w:before="40"/>
      </w:pPr>
      <w:r>
        <w:rPr>
          <w:rFonts w:ascii="Arial" w:cs="Arial" w:eastAsia="Arial" w:hAnsi="Arial"/>
          <w:i/>
          <w:iCs/>
          <w:color w:val="888888"/>
          <w:sz w:val="18"/>
          <w:szCs w:val="18"/>
        </w:rPr>
        <w:t xml:space="preserve">This document is Module 3 of the AI Operating System.</w:t>
      </w:r>
    </w:p>
    <w:p>
      <w:pPr>
        <w:spacing w:after="40" w:before="40"/>
      </w:pPr>
      <w:r>
        <w:rPr>
          <w:rFonts w:ascii="Arial" w:cs="Arial" w:eastAsia="Arial" w:hAnsi="Arial"/>
          <w:i/>
          <w:iCs/>
          <w:color w:val="888888"/>
          <w:sz w:val="18"/>
          <w:szCs w:val="18"/>
        </w:rPr>
        <w:t xml:space="preserve">Pairs with: Core Profile (Module 1), Research Operating Playbook (Module 2), Business Overlays (Module 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6"/>
      </w:pBdr>
      <w:tabs>
        <w:tab w:val="right" w:pos="9026"/>
      </w:tabs>
    </w:pPr>
    <w:r>
      <w:rPr>
        <w:rFonts w:ascii="Arial" w:cs="Arial" w:eastAsia="Arial" w:hAnsi="Arial"/>
        <w:color w:val="888888"/>
        <w:sz w:val="16"/>
        <w:szCs w:val="16"/>
      </w:rPr>
      <w:t xml:space="preserve">v1.0  |  Confidential  |  Part of the AI Operating System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6"/>
      </w:pBdr>
      <w:tabs>
        <w:tab w:val="right" w:pos="9026"/>
      </w:tabs>
    </w:pPr>
    <w:r>
      <w:rPr>
        <w:rFonts w:ascii="Arial" w:cs="Arial" w:eastAsia="Arial" w:hAnsi="Arial"/>
        <w:b/>
        <w:bCs/>
        <w:color w:val="2E5FA3"/>
        <w:sz w:val="18"/>
        <w:szCs w:val="18"/>
      </w:rPr>
      <w:t xml:space="preserve">OUTPUT MENU</w:t>
    </w:r>
    <w:r>
      <w:rPr>
        <w:rFonts w:ascii="Arial" w:cs="Arial" w:eastAsia="Arial" w:hAnsi="Arial"/>
        <w:color w:val="888888"/>
        <w:sz w:val="18"/>
        <w:szCs w:val="18"/>
      </w:rPr>
      <w:t xml:space="preserve">	William Bowdler-Raynar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26"/>
      <w:szCs w:val="26"/>
    </w:rPr>
  </w:style>
  <w:style w:type="paragraph" w:styleId="Heading2">
    <w:name w:val="Heading 2"/>
    <w:basedOn w:val="Normal"/>
    <w:next w:val="Normal"/>
    <w:qFormat/>
    <w:pPr>
      <w:spacing w:after="80" w:before="280"/>
      <w:outlineLvl w:val="1"/>
    </w:pPr>
    <w:rPr>
      <w:rFonts w:ascii="Arial" w:cs="Arial" w:eastAsia="Arial" w:hAnsi="Arial"/>
      <w:b/>
      <w:bCs/>
      <w:color w:val="2E5FA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2026-03-10T14:00:44.277Z</dcterms:created>
  <dcterms:modified xsi:type="dcterms:W3CDTF">2026-03-10T14:00:44.277Z</dcterms:modified>
</cp:coreProperties>
</file>

<file path=docProps/custom.xml><?xml version="1.0" encoding="utf-8"?>
<Properties xmlns="http://schemas.openxmlformats.org/officeDocument/2006/custom-properties" xmlns:vt="http://schemas.openxmlformats.org/officeDocument/2006/docPropsVTypes"/>
</file>