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E840B" w14:textId="77777777" w:rsidR="00D472DE" w:rsidRDefault="003B41D9">
      <w:r>
        <w:rPr>
          <w:b/>
          <w:color w:val="831011"/>
          <w:sz w:val="32"/>
        </w:rPr>
        <w:t>Hormuz Strait Closure — Beneficiaries — ChatGPT Prompt A</w:t>
      </w:r>
    </w:p>
    <w:p w14:paraId="7E7C41EE" w14:textId="77777777" w:rsidR="00D472DE" w:rsidRDefault="003B41D9">
      <w:r>
        <w:rPr>
          <w:color w:val="606060"/>
          <w:sz w:val="20"/>
        </w:rPr>
        <w:t>Prompt A Output    |    18 March 2026</w:t>
      </w:r>
    </w:p>
    <w:p w14:paraId="7FFA408B" w14:textId="77777777" w:rsidR="00D472DE" w:rsidRDefault="00D472DE">
      <w:pPr>
        <w:pBdr>
          <w:bottom w:val="single" w:sz="6" w:space="1" w:color="831011"/>
        </w:pBdr>
        <w:spacing w:before="80" w:after="80"/>
      </w:pPr>
    </w:p>
    <w:p w14:paraId="3E8A3376" w14:textId="77777777" w:rsidR="00F32DDC" w:rsidRPr="00F32DDC" w:rsidRDefault="00F32DDC" w:rsidP="00F32DDC">
      <w:pPr>
        <w:rPr>
          <w:b/>
          <w:bCs/>
          <w:iCs/>
          <w:lang w:val="en-GB"/>
        </w:rPr>
      </w:pPr>
      <w:r w:rsidRPr="00F32DDC">
        <w:rPr>
          <w:b/>
          <w:bCs/>
          <w:iCs/>
          <w:lang w:val="en-GB"/>
        </w:rPr>
        <w:t>Hormuz Strait Closure Beneficiaries, Who Gains and Why</w:t>
      </w:r>
    </w:p>
    <w:p w14:paraId="56E51DCB" w14:textId="77777777" w:rsidR="00F32DDC" w:rsidRPr="00F32DDC" w:rsidRDefault="00F32DDC" w:rsidP="00F32DDC">
      <w:pPr>
        <w:rPr>
          <w:iCs/>
          <w:lang w:val="en-GB"/>
        </w:rPr>
      </w:pPr>
      <w:r w:rsidRPr="00F32DDC">
        <w:rPr>
          <w:iCs/>
          <w:lang w:val="en-GB"/>
        </w:rPr>
        <w:t>The highest-conviction beneficiaries are (i) </w:t>
      </w:r>
      <w:r w:rsidRPr="00F32DDC">
        <w:rPr>
          <w:b/>
          <w:bCs/>
          <w:iCs/>
          <w:lang w:val="en-GB"/>
        </w:rPr>
        <w:t>non-Gulf oil and LNG suppliers</w:t>
      </w:r>
      <w:r w:rsidRPr="00F32DDC">
        <w:rPr>
          <w:iCs/>
          <w:lang w:val="en-GB"/>
        </w:rPr>
        <w:t> that can deliver incremental molecules without transiting Hormuz, because the shock is removing ~8 mb/d from global supply in March per the IEA and forcing buyers into higher-priced, longer-haul alternatives, (ii) </w:t>
      </w:r>
      <w:r w:rsidRPr="00F32DDC">
        <w:rPr>
          <w:b/>
          <w:bCs/>
          <w:iCs/>
          <w:lang w:val="en-GB"/>
        </w:rPr>
        <w:t>strategic bypass infrastructure and nodes</w:t>
      </w:r>
      <w:r w:rsidRPr="00F32DDC">
        <w:rPr>
          <w:iCs/>
          <w:lang w:val="en-GB"/>
        </w:rPr>
        <w:t> (Saudi East-West pipeline system and the UAE’s Fujairah complex) because scarce export outlets capture higher utilization, storage, and service rents, and (iii) </w:t>
      </w:r>
      <w:r w:rsidRPr="00F32DDC">
        <w:rPr>
          <w:b/>
          <w:bCs/>
          <w:iCs/>
          <w:lang w:val="en-GB"/>
        </w:rPr>
        <w:t>energy-security supply chains</w:t>
      </w:r>
      <w:r w:rsidRPr="00F32DDC">
        <w:rPr>
          <w:iCs/>
          <w:lang w:val="en-GB"/>
        </w:rPr>
        <w:t> (mine countermeasures, air and missile defense, ISR, and selected cyber/logistics enablers) because reopening and safeguarding the lane is now a procurement and readiness priority. </w:t>
      </w:r>
    </w:p>
    <w:p w14:paraId="2EB4CC1D" w14:textId="77777777" w:rsidR="00F32DDC" w:rsidRPr="00F32DDC" w:rsidRDefault="00F32DDC" w:rsidP="00F32DDC">
      <w:pPr>
        <w:rPr>
          <w:iCs/>
          <w:lang w:val="en-GB"/>
        </w:rPr>
      </w:pPr>
      <w:r w:rsidRPr="00F32DDC">
        <w:rPr>
          <w:iCs/>
          <w:lang w:val="en-GB"/>
        </w:rPr>
        <w:pict w14:anchorId="30B49643">
          <v:rect id="_x0000_i1067" style="width:0;height:0" o:hralign="center" o:hrstd="t" o:hr="t" fillcolor="#a0a0a0" stroked="f"/>
        </w:pict>
      </w:r>
    </w:p>
    <w:p w14:paraId="6907466E" w14:textId="77777777" w:rsidR="00F32DDC" w:rsidRPr="00F32DDC" w:rsidRDefault="00F32DDC" w:rsidP="00F32DDC">
      <w:pPr>
        <w:rPr>
          <w:b/>
          <w:bCs/>
          <w:iCs/>
          <w:lang w:val="en-GB"/>
        </w:rPr>
      </w:pPr>
      <w:r w:rsidRPr="00F32DDC">
        <w:rPr>
          <w:b/>
          <w:bCs/>
          <w:iCs/>
          <w:lang w:val="en-GB"/>
        </w:rPr>
        <w:t>Situation snapshot</w:t>
      </w:r>
    </w:p>
    <w:p w14:paraId="5725D841" w14:textId="77777777" w:rsidR="00F32DDC" w:rsidRPr="00F32DDC" w:rsidRDefault="00F32DDC" w:rsidP="00F32DDC">
      <w:pPr>
        <w:rPr>
          <w:iCs/>
          <w:lang w:val="en-GB"/>
        </w:rPr>
      </w:pPr>
      <w:r w:rsidRPr="00F32DDC">
        <w:rPr>
          <w:b/>
          <w:bCs/>
          <w:iCs/>
          <w:lang w:val="en-GB"/>
        </w:rPr>
        <w:t>Confirmed fact:</w:t>
      </w:r>
      <w:r w:rsidRPr="00F32DDC">
        <w:rPr>
          <w:iCs/>
          <w:lang w:val="en-GB"/>
        </w:rPr>
        <w:t> The International Energy Agency says the conflict that began </w:t>
      </w:r>
      <w:r w:rsidRPr="00F32DDC">
        <w:rPr>
          <w:b/>
          <w:bCs/>
          <w:iCs/>
          <w:lang w:val="en-GB"/>
        </w:rPr>
        <w:t>28 February 2026</w:t>
      </w:r>
      <w:r w:rsidRPr="00F32DDC">
        <w:rPr>
          <w:iCs/>
          <w:lang w:val="en-GB"/>
        </w:rPr>
        <w:t> has impeded flows through the Strait of Hormuz, and that export volumes of crude and refined products are </w:t>
      </w:r>
      <w:r w:rsidRPr="00F32DDC">
        <w:rPr>
          <w:b/>
          <w:bCs/>
          <w:iCs/>
          <w:lang w:val="en-GB"/>
        </w:rPr>
        <w:t>below 10% of pre-conflict levels</w:t>
      </w:r>
      <w:r w:rsidRPr="00F32DDC">
        <w:rPr>
          <w:iCs/>
          <w:lang w:val="en-GB"/>
        </w:rPr>
        <w:t>, prompting shut-ins/curtailments. </w:t>
      </w:r>
    </w:p>
    <w:p w14:paraId="61E61DD6" w14:textId="77777777" w:rsidR="00F32DDC" w:rsidRPr="00F32DDC" w:rsidRDefault="00F32DDC" w:rsidP="00F32DDC">
      <w:pPr>
        <w:rPr>
          <w:iCs/>
          <w:lang w:val="en-GB"/>
        </w:rPr>
      </w:pPr>
      <w:r w:rsidRPr="00F32DDC">
        <w:rPr>
          <w:b/>
          <w:bCs/>
          <w:iCs/>
          <w:lang w:val="en-GB"/>
        </w:rPr>
        <w:t>Confirmed fact:</w:t>
      </w:r>
      <w:r w:rsidRPr="00F32DDC">
        <w:rPr>
          <w:iCs/>
          <w:lang w:val="en-GB"/>
        </w:rPr>
        <w:t> The IEA also announced an </w:t>
      </w:r>
      <w:r w:rsidRPr="00F32DDC">
        <w:rPr>
          <w:b/>
          <w:bCs/>
          <w:iCs/>
          <w:lang w:val="en-GB"/>
        </w:rPr>
        <w:t>emergency collective release of 400 million barrels</w:t>
      </w:r>
      <w:r w:rsidRPr="00F32DDC">
        <w:rPr>
          <w:iCs/>
          <w:lang w:val="en-GB"/>
        </w:rPr>
        <w:t> from member-country reserves (the largest in its history) to address the disruption. </w:t>
      </w:r>
    </w:p>
    <w:p w14:paraId="54138DFB" w14:textId="77777777" w:rsidR="00F32DDC" w:rsidRPr="00F32DDC" w:rsidRDefault="00F32DDC" w:rsidP="00F32DDC">
      <w:pPr>
        <w:rPr>
          <w:iCs/>
          <w:lang w:val="en-GB"/>
        </w:rPr>
      </w:pPr>
      <w:r w:rsidRPr="00F32DDC">
        <w:rPr>
          <w:b/>
          <w:bCs/>
          <w:iCs/>
          <w:lang w:val="en-GB"/>
        </w:rPr>
        <w:t>Confirmed fact:</w:t>
      </w:r>
      <w:r w:rsidRPr="00F32DDC">
        <w:rPr>
          <w:iCs/>
          <w:lang w:val="en-GB"/>
        </w:rPr>
        <w:t> The U.S. Energy Information Administration estimates </w:t>
      </w:r>
      <w:r w:rsidRPr="00F32DDC">
        <w:rPr>
          <w:b/>
          <w:bCs/>
          <w:iCs/>
          <w:lang w:val="en-GB"/>
        </w:rPr>
        <w:t>~20.9 mb/d</w:t>
      </w:r>
      <w:r w:rsidRPr="00F32DDC">
        <w:rPr>
          <w:iCs/>
          <w:lang w:val="en-GB"/>
        </w:rPr>
        <w:t> of oil flows through Hormuz (1H25 average), roughly </w:t>
      </w:r>
      <w:r w:rsidRPr="00F32DDC">
        <w:rPr>
          <w:b/>
          <w:bCs/>
          <w:iCs/>
          <w:lang w:val="en-GB"/>
        </w:rPr>
        <w:t>~20% of global petroleum liquids consumption</w:t>
      </w:r>
      <w:r w:rsidRPr="00F32DDC">
        <w:rPr>
          <w:iCs/>
          <w:lang w:val="en-GB"/>
        </w:rPr>
        <w:t>, and notes that pipelines in Saudi Arabia and the United Arab Emirates together provide only </w:t>
      </w:r>
      <w:r w:rsidRPr="00F32DDC">
        <w:rPr>
          <w:b/>
          <w:bCs/>
          <w:iCs/>
          <w:lang w:val="en-GB"/>
        </w:rPr>
        <w:t>~4.7 mb/d</w:t>
      </w:r>
      <w:r w:rsidRPr="00F32DDC">
        <w:rPr>
          <w:iCs/>
          <w:lang w:val="en-GB"/>
        </w:rPr>
        <w:t> of bypass capacity, meaning most volumes have no like-for-like alternative. </w:t>
      </w:r>
    </w:p>
    <w:p w14:paraId="0D3ABDF6" w14:textId="77777777" w:rsidR="00F32DDC" w:rsidRPr="00F32DDC" w:rsidRDefault="00F32DDC" w:rsidP="00F32DDC">
      <w:pPr>
        <w:rPr>
          <w:iCs/>
          <w:lang w:val="en-GB"/>
        </w:rPr>
      </w:pPr>
      <w:r w:rsidRPr="00F32DDC">
        <w:rPr>
          <w:b/>
          <w:bCs/>
          <w:iCs/>
          <w:lang w:val="en-GB"/>
        </w:rPr>
        <w:t>Confirmed fact (market level):</w:t>
      </w:r>
      <w:r w:rsidRPr="00F32DDC">
        <w:rPr>
          <w:iCs/>
          <w:lang w:val="en-GB"/>
        </w:rPr>
        <w:t> Brent and WTI have traded at crisis-elevated levels, with WTI referenced around the high-$90s in recent market reporting. </w:t>
      </w:r>
    </w:p>
    <w:p w14:paraId="21964FCD" w14:textId="77777777" w:rsidR="00F32DDC" w:rsidRPr="00F32DDC" w:rsidRDefault="00F32DDC" w:rsidP="00F32DDC">
      <w:pPr>
        <w:rPr>
          <w:iCs/>
          <w:lang w:val="en-GB"/>
        </w:rPr>
      </w:pPr>
      <w:r w:rsidRPr="00F32DDC">
        <w:rPr>
          <w:b/>
          <w:bCs/>
          <w:iCs/>
          <w:lang w:val="en-GB"/>
        </w:rPr>
        <w:t>Data reconciliation vs. the prompt:</w:t>
      </w:r>
      <w:r w:rsidRPr="00F32DDC">
        <w:rPr>
          <w:iCs/>
          <w:lang w:val="en-GB"/>
        </w:rPr>
        <w:t> Your prompt cites tanker traffic down ~70% and “effective closure since 4 March 2026.” Public reporting and the IEA point to a sharper collapse, with exports reported below 10% of pre-conflict and multiple sources describing “near zero” tanker traffic in early March. Treat “70%” as directionally right but potentially stale, and treat “4 March” as an approximate milestone rather than the start date (late-Feb escalation is the common timestamp in IEA/public reporting). </w:t>
      </w:r>
    </w:p>
    <w:p w14:paraId="1E801F40" w14:textId="77777777" w:rsidR="00F32DDC" w:rsidRPr="00F32DDC" w:rsidRDefault="00F32DDC" w:rsidP="00F32DDC">
      <w:pPr>
        <w:rPr>
          <w:iCs/>
          <w:lang w:val="en-GB"/>
        </w:rPr>
      </w:pPr>
      <w:r w:rsidRPr="00F32DDC">
        <w:rPr>
          <w:iCs/>
          <w:lang w:val="en-GB"/>
        </w:rPr>
        <w:pict w14:anchorId="1AF55CB6">
          <v:rect id="_x0000_i1068" style="width:0;height:0" o:hralign="center" o:hrstd="t" o:hr="t" fillcolor="#a0a0a0" stroked="f"/>
        </w:pict>
      </w:r>
    </w:p>
    <w:p w14:paraId="343BA16F" w14:textId="77777777" w:rsidR="00F32DDC" w:rsidRPr="00F32DDC" w:rsidRDefault="00F32DDC" w:rsidP="00F32DDC">
      <w:pPr>
        <w:rPr>
          <w:b/>
          <w:bCs/>
          <w:iCs/>
          <w:lang w:val="en-GB"/>
        </w:rPr>
      </w:pPr>
      <w:r w:rsidRPr="00F32DDC">
        <w:rPr>
          <w:b/>
          <w:bCs/>
          <w:iCs/>
          <w:lang w:val="en-GB"/>
        </w:rPr>
        <w:lastRenderedPageBreak/>
        <w:t>Macro beneficiaries</w:t>
      </w:r>
    </w:p>
    <w:p w14:paraId="6EACE83A" w14:textId="77777777" w:rsidR="00F32DDC" w:rsidRPr="00F32DDC" w:rsidRDefault="00F32DDC" w:rsidP="00F32DDC">
      <w:pPr>
        <w:rPr>
          <w:b/>
          <w:bCs/>
          <w:iCs/>
          <w:lang w:val="en-GB"/>
        </w:rPr>
      </w:pPr>
      <w:r w:rsidRPr="00F32DDC">
        <w:rPr>
          <w:b/>
          <w:bCs/>
          <w:iCs/>
          <w:lang w:val="en-GB"/>
        </w:rPr>
        <w:t>Hydrocarbon producers outside the Gulf, and Gulf producers with bypass routes</w:t>
      </w:r>
    </w:p>
    <w:p w14:paraId="7A55EF27" w14:textId="77777777" w:rsidR="00F32DDC" w:rsidRPr="00F32DDC" w:rsidRDefault="00F32DDC" w:rsidP="00F32DDC">
      <w:pPr>
        <w:rPr>
          <w:iCs/>
          <w:lang w:val="en-GB"/>
        </w:rPr>
      </w:pPr>
      <w:r w:rsidRPr="00F32DDC">
        <w:rPr>
          <w:b/>
          <w:bCs/>
          <w:iCs/>
          <w:lang w:val="en-GB"/>
        </w:rPr>
        <w:t>Confirmed fact:</w:t>
      </w:r>
      <w:r w:rsidRPr="00F32DDC">
        <w:rPr>
          <w:iCs/>
          <w:lang w:val="en-GB"/>
        </w:rPr>
        <w:t> The IEA frames this as the largest-ever oil supply disruption, estimating </w:t>
      </w:r>
      <w:r w:rsidRPr="00F32DDC">
        <w:rPr>
          <w:b/>
          <w:bCs/>
          <w:iCs/>
          <w:lang w:val="en-GB"/>
        </w:rPr>
        <w:t>global supply down ~8 mb/d in March</w:t>
      </w:r>
      <w:r w:rsidRPr="00F32DDC">
        <w:rPr>
          <w:iCs/>
          <w:lang w:val="en-GB"/>
        </w:rPr>
        <w:t> due mainly to blocked Hormuz transit following United States and Israel strikes on Iran. </w:t>
      </w:r>
    </w:p>
    <w:p w14:paraId="4DC4B58F" w14:textId="77777777" w:rsidR="00F32DDC" w:rsidRPr="00F32DDC" w:rsidRDefault="00F32DDC" w:rsidP="00F32DDC">
      <w:pPr>
        <w:rPr>
          <w:iCs/>
          <w:lang w:val="en-GB"/>
        </w:rPr>
      </w:pPr>
      <w:r w:rsidRPr="00F32DDC">
        <w:rPr>
          <w:b/>
          <w:bCs/>
          <w:iCs/>
          <w:lang w:val="en-GB"/>
        </w:rPr>
        <w:t>Inference (simple revenue math for exporters):</w:t>
      </w:r>
      <w:r w:rsidRPr="00F32DDC">
        <w:rPr>
          <w:iCs/>
          <w:lang w:val="en-GB"/>
        </w:rPr>
        <w:t> Every sustained </w:t>
      </w:r>
      <w:r w:rsidRPr="00F32DDC">
        <w:rPr>
          <w:b/>
          <w:bCs/>
          <w:iCs/>
          <w:lang w:val="en-GB"/>
        </w:rPr>
        <w:t>$10/bbl</w:t>
      </w:r>
      <w:r w:rsidRPr="00F32DDC">
        <w:rPr>
          <w:iCs/>
          <w:lang w:val="en-GB"/>
        </w:rPr>
        <w:t> uplift in realized crude price is worth </w:t>
      </w:r>
      <w:r w:rsidRPr="00F32DDC">
        <w:rPr>
          <w:b/>
          <w:bCs/>
          <w:iCs/>
          <w:lang w:val="en-GB"/>
        </w:rPr>
        <w:t>~$3.65bn/year</w:t>
      </w:r>
      <w:r w:rsidRPr="00F32DDC">
        <w:rPr>
          <w:iCs/>
          <w:lang w:val="en-GB"/>
        </w:rPr>
        <w:t> per </w:t>
      </w:r>
      <w:r w:rsidRPr="00F32DDC">
        <w:rPr>
          <w:b/>
          <w:bCs/>
          <w:iCs/>
          <w:lang w:val="en-GB"/>
        </w:rPr>
        <w:t>1 mb/d</w:t>
      </w:r>
      <w:r w:rsidRPr="00F32DDC">
        <w:rPr>
          <w:iCs/>
          <w:lang w:val="en-GB"/>
        </w:rPr>
        <w:t> of net exports (before tax/royalty sharing and differentials). That arithmetic is why non-Gulf exporters with free export routes become first-order “macro winners,” even if their domestic economies face inflation drag.</w:t>
      </w:r>
    </w:p>
    <w:p w14:paraId="0E761BAC" w14:textId="77777777" w:rsidR="00F32DDC" w:rsidRPr="00F32DDC" w:rsidRDefault="00F32DDC" w:rsidP="00F32DDC">
      <w:pPr>
        <w:rPr>
          <w:iCs/>
          <w:lang w:val="en-GB"/>
        </w:rPr>
      </w:pPr>
      <w:r w:rsidRPr="00F32DDC">
        <w:rPr>
          <w:b/>
          <w:bCs/>
          <w:iCs/>
          <w:lang w:val="en-GB"/>
        </w:rPr>
        <w:t>Macro winners, most directly:</w:t>
      </w:r>
    </w:p>
    <w:p w14:paraId="64105E76" w14:textId="77777777" w:rsidR="00F32DDC" w:rsidRPr="00F32DDC" w:rsidRDefault="00F32DDC" w:rsidP="00F32DDC">
      <w:pPr>
        <w:numPr>
          <w:ilvl w:val="0"/>
          <w:numId w:val="10"/>
        </w:numPr>
        <w:rPr>
          <w:iCs/>
          <w:lang w:val="en-GB"/>
        </w:rPr>
      </w:pPr>
      <w:r w:rsidRPr="00F32DDC">
        <w:rPr>
          <w:b/>
          <w:bCs/>
          <w:iCs/>
          <w:lang w:val="en-GB"/>
        </w:rPr>
        <w:t>Non-Gulf oil exporters</w:t>
      </w:r>
      <w:r w:rsidRPr="00F32DDC">
        <w:rPr>
          <w:iCs/>
          <w:lang w:val="en-GB"/>
        </w:rPr>
        <w:t> with available incremental supply (short-cycle or debottleneckable) and shipping routes not reliant on Hormuz, including the </w:t>
      </w:r>
      <w:r w:rsidRPr="00F32DDC">
        <w:rPr>
          <w:b/>
          <w:bCs/>
          <w:iCs/>
          <w:lang w:val="en-GB"/>
        </w:rPr>
        <w:t>North Sea</w:t>
      </w:r>
      <w:r w:rsidRPr="00F32DDC">
        <w:rPr>
          <w:iCs/>
          <w:lang w:val="en-GB"/>
        </w:rPr>
        <w:t> and the Americas. The price uplift is the transmission mechanism; the key differentiator is “deliverability.” </w:t>
      </w:r>
    </w:p>
    <w:p w14:paraId="6304D1EC" w14:textId="77777777" w:rsidR="00F32DDC" w:rsidRPr="00F32DDC" w:rsidRDefault="00F32DDC" w:rsidP="00F32DDC">
      <w:pPr>
        <w:numPr>
          <w:ilvl w:val="0"/>
          <w:numId w:val="10"/>
        </w:numPr>
        <w:rPr>
          <w:iCs/>
          <w:lang w:val="en-GB"/>
        </w:rPr>
      </w:pPr>
      <w:r w:rsidRPr="00F32DDC">
        <w:rPr>
          <w:b/>
          <w:bCs/>
          <w:iCs/>
          <w:lang w:val="en-GB"/>
        </w:rPr>
        <w:t>Russia</w:t>
      </w:r>
      <w:r w:rsidRPr="00F32DDC">
        <w:rPr>
          <w:iCs/>
          <w:lang w:val="en-GB"/>
        </w:rPr>
        <w:t> as a revenue beneficiary of higher benchmark pricing and rerouted trade, despite sanctions and discounts, because the shock is global and the marginal barrel reprices. </w:t>
      </w:r>
    </w:p>
    <w:p w14:paraId="4AF62AA4" w14:textId="77777777" w:rsidR="00F32DDC" w:rsidRPr="00F32DDC" w:rsidRDefault="00F32DDC" w:rsidP="00F32DDC">
      <w:pPr>
        <w:rPr>
          <w:iCs/>
          <w:lang w:val="en-GB"/>
        </w:rPr>
      </w:pPr>
      <w:r w:rsidRPr="00F32DDC">
        <w:rPr>
          <w:b/>
          <w:bCs/>
          <w:iCs/>
          <w:lang w:val="en-GB"/>
        </w:rPr>
        <w:t>Bypass-route winners inside the Gulf (selective):</w:t>
      </w:r>
    </w:p>
    <w:p w14:paraId="60CEC299" w14:textId="77777777" w:rsidR="00F32DDC" w:rsidRPr="00F32DDC" w:rsidRDefault="00F32DDC" w:rsidP="00F32DDC">
      <w:pPr>
        <w:numPr>
          <w:ilvl w:val="0"/>
          <w:numId w:val="11"/>
        </w:numPr>
        <w:rPr>
          <w:iCs/>
          <w:lang w:val="en-GB"/>
        </w:rPr>
      </w:pPr>
      <w:r w:rsidRPr="00F32DDC">
        <w:rPr>
          <w:b/>
          <w:bCs/>
          <w:iCs/>
          <w:lang w:val="en-GB"/>
        </w:rPr>
        <w:t>Saudi Arabia’s East-West pipeline and Red Sea export system</w:t>
      </w:r>
      <w:r w:rsidRPr="00F32DDC">
        <w:rPr>
          <w:iCs/>
          <w:lang w:val="en-GB"/>
        </w:rPr>
        <w:t>: reporting indicates Saudi increased East-West usage sharply, with exports redirected to Red Sea ports. This is a “tollbooth scarcity” story: the more constrained the outlet, the more strategic value it captures. </w:t>
      </w:r>
    </w:p>
    <w:p w14:paraId="770C4C6F" w14:textId="77777777" w:rsidR="00F32DDC" w:rsidRPr="00F32DDC" w:rsidRDefault="00F32DDC" w:rsidP="00F32DDC">
      <w:pPr>
        <w:numPr>
          <w:ilvl w:val="0"/>
          <w:numId w:val="11"/>
        </w:numPr>
        <w:rPr>
          <w:iCs/>
          <w:lang w:val="en-GB"/>
        </w:rPr>
      </w:pPr>
      <w:r w:rsidRPr="00F32DDC">
        <w:rPr>
          <w:b/>
          <w:bCs/>
          <w:iCs/>
          <w:lang w:val="en-GB"/>
        </w:rPr>
        <w:t>UAE’s Fujairah complex</w:t>
      </w:r>
      <w:r w:rsidRPr="00F32DDC">
        <w:rPr>
          <w:iCs/>
          <w:lang w:val="en-GB"/>
        </w:rPr>
        <w:t> (export, storage, and bunkering) benefits as an “outside-Hormuz” operating hub for crude/fuels plus storage optionality, and it becomes a focal point for war-risk and logistics repricing. </w:t>
      </w:r>
    </w:p>
    <w:p w14:paraId="2DDD2AE6" w14:textId="77777777" w:rsidR="00F32DDC" w:rsidRPr="00F32DDC" w:rsidRDefault="00F32DDC" w:rsidP="00F32DDC">
      <w:pPr>
        <w:rPr>
          <w:b/>
          <w:bCs/>
          <w:iCs/>
          <w:lang w:val="en-GB"/>
        </w:rPr>
      </w:pPr>
      <w:r w:rsidRPr="00F32DDC">
        <w:rPr>
          <w:b/>
          <w:bCs/>
          <w:iCs/>
          <w:lang w:val="en-GB"/>
        </w:rPr>
        <w:t>Alternative-route economies and chokepoint “rent collectors”</w:t>
      </w:r>
    </w:p>
    <w:p w14:paraId="18C374AD" w14:textId="77777777" w:rsidR="00F32DDC" w:rsidRPr="00F32DDC" w:rsidRDefault="00F32DDC" w:rsidP="00F32DDC">
      <w:pPr>
        <w:rPr>
          <w:iCs/>
          <w:lang w:val="en-GB"/>
        </w:rPr>
      </w:pPr>
      <w:r w:rsidRPr="00F32DDC">
        <w:rPr>
          <w:b/>
          <w:bCs/>
          <w:iCs/>
          <w:lang w:val="en-GB"/>
        </w:rPr>
        <w:t>Confirmed fact:</w:t>
      </w:r>
      <w:r w:rsidRPr="00F32DDC">
        <w:rPr>
          <w:iCs/>
          <w:lang w:val="en-GB"/>
        </w:rPr>
        <w:t> Saudi crude exports from Yanbu are projected at record levels for March (shipping-data based reporting), and Red Sea loading activity is described as normalizing, implying stable operational throughput for that route (at least for now). </w:t>
      </w:r>
    </w:p>
    <w:p w14:paraId="1D5FD064" w14:textId="77777777" w:rsidR="00F32DDC" w:rsidRPr="00F32DDC" w:rsidRDefault="00F32DDC" w:rsidP="00F32DDC">
      <w:pPr>
        <w:rPr>
          <w:iCs/>
          <w:lang w:val="en-GB"/>
        </w:rPr>
      </w:pPr>
      <w:r w:rsidRPr="00F32DDC">
        <w:rPr>
          <w:b/>
          <w:bCs/>
          <w:iCs/>
          <w:lang w:val="en-GB"/>
        </w:rPr>
        <w:t>Confirmed fact:</w:t>
      </w:r>
      <w:r w:rsidRPr="00F32DDC">
        <w:rPr>
          <w:iCs/>
          <w:lang w:val="en-GB"/>
        </w:rPr>
        <w:t> The Panama Canal administrator has publicly argued the canal could see higher traffic as shipping economics shift under higher fuel and navigation costs, with particular relevance for container, bulk, and LNG routing decisions. </w:t>
      </w:r>
    </w:p>
    <w:p w14:paraId="7FCA4100" w14:textId="77777777" w:rsidR="00F32DDC" w:rsidRPr="00F32DDC" w:rsidRDefault="00F32DDC" w:rsidP="00F32DDC">
      <w:pPr>
        <w:rPr>
          <w:iCs/>
          <w:lang w:val="en-GB"/>
        </w:rPr>
      </w:pPr>
      <w:r w:rsidRPr="00F32DDC">
        <w:rPr>
          <w:b/>
          <w:bCs/>
          <w:iCs/>
          <w:lang w:val="en-GB"/>
        </w:rPr>
        <w:t>Inference:</w:t>
      </w:r>
      <w:r w:rsidRPr="00F32DDC">
        <w:rPr>
          <w:iCs/>
          <w:lang w:val="en-GB"/>
        </w:rPr>
        <w:t> In a sustained disruption, the “macro winners” are not only commodity producers but also </w:t>
      </w:r>
      <w:r w:rsidRPr="00F32DDC">
        <w:rPr>
          <w:b/>
          <w:bCs/>
          <w:iCs/>
          <w:lang w:val="en-GB"/>
        </w:rPr>
        <w:t>route enablers</w:t>
      </w:r>
      <w:r w:rsidRPr="00F32DDC">
        <w:rPr>
          <w:iCs/>
          <w:lang w:val="en-GB"/>
        </w:rPr>
        <w:t xml:space="preserve"> (ports, storage, canal/transit infrastructure, specialized logistics). </w:t>
      </w:r>
      <w:r w:rsidRPr="00F32DDC">
        <w:rPr>
          <w:iCs/>
          <w:lang w:val="en-GB"/>
        </w:rPr>
        <w:lastRenderedPageBreak/>
        <w:t>The benefit is partly cyclical (rate spike) and partly structural if trading patterns and contract structures reset toward diversified sourcing and longer-haul routing.</w:t>
      </w:r>
    </w:p>
    <w:p w14:paraId="0D2C9171" w14:textId="77777777" w:rsidR="00F32DDC" w:rsidRPr="00F32DDC" w:rsidRDefault="00F32DDC" w:rsidP="00F32DDC">
      <w:pPr>
        <w:rPr>
          <w:b/>
          <w:bCs/>
          <w:iCs/>
          <w:lang w:val="en-GB"/>
        </w:rPr>
      </w:pPr>
      <w:r w:rsidRPr="00F32DDC">
        <w:rPr>
          <w:b/>
          <w:bCs/>
          <w:iCs/>
          <w:lang w:val="en-GB"/>
        </w:rPr>
        <w:t>Currency and rates beneficiaries</w:t>
      </w:r>
    </w:p>
    <w:p w14:paraId="01D45A05" w14:textId="77777777" w:rsidR="00F32DDC" w:rsidRPr="00F32DDC" w:rsidRDefault="00F32DDC" w:rsidP="00F32DDC">
      <w:pPr>
        <w:rPr>
          <w:iCs/>
          <w:lang w:val="en-GB"/>
        </w:rPr>
      </w:pPr>
      <w:r w:rsidRPr="00F32DDC">
        <w:rPr>
          <w:b/>
          <w:bCs/>
          <w:iCs/>
          <w:lang w:val="en-GB"/>
        </w:rPr>
        <w:t>Analyst consensus (directional):</w:t>
      </w:r>
      <w:r w:rsidRPr="00F32DDC">
        <w:rPr>
          <w:iCs/>
          <w:lang w:val="en-GB"/>
        </w:rPr>
        <w:t> Historically, geopolitical supply shocks tend to boost </w:t>
      </w:r>
      <w:r w:rsidRPr="00F32DDC">
        <w:rPr>
          <w:b/>
          <w:bCs/>
          <w:iCs/>
          <w:lang w:val="en-GB"/>
        </w:rPr>
        <w:t>commodity-linked currencies</w:t>
      </w:r>
      <w:r w:rsidRPr="00F32DDC">
        <w:rPr>
          <w:iCs/>
          <w:lang w:val="en-GB"/>
        </w:rPr>
        <w:t> and safe-haven flows, but the net effect depends on whether markets price a growth hit (risk-off) or simply a terms-of-trade shift. In the current shock, the IEA explicitly highlights a large supply loss and policy response (stock release), which tends to amplify rate and FX volatility. </w:t>
      </w:r>
    </w:p>
    <w:p w14:paraId="4A8E2D9C" w14:textId="77777777" w:rsidR="00F32DDC" w:rsidRPr="00F32DDC" w:rsidRDefault="00F32DDC" w:rsidP="00F32DDC">
      <w:pPr>
        <w:rPr>
          <w:iCs/>
          <w:lang w:val="en-GB"/>
        </w:rPr>
      </w:pPr>
      <w:r w:rsidRPr="00F32DDC">
        <w:rPr>
          <w:b/>
          <w:bCs/>
          <w:iCs/>
          <w:lang w:val="en-GB"/>
        </w:rPr>
        <w:t>Inference:</w:t>
      </w:r>
      <w:r w:rsidRPr="00F32DDC">
        <w:rPr>
          <w:iCs/>
          <w:lang w:val="en-GB"/>
        </w:rPr>
        <w:t> Tactical “beneficiaries” in rates/FX are likely </w:t>
      </w:r>
      <w:r w:rsidRPr="00F32DDC">
        <w:rPr>
          <w:b/>
          <w:bCs/>
          <w:iCs/>
          <w:lang w:val="en-GB"/>
        </w:rPr>
        <w:t>energy-exporter sovereign curves</w:t>
      </w:r>
      <w:r w:rsidRPr="00F32DDC">
        <w:rPr>
          <w:iCs/>
          <w:lang w:val="en-GB"/>
        </w:rPr>
        <w:t> (improving fiscal math) and </w:t>
      </w:r>
      <w:r w:rsidRPr="00F32DDC">
        <w:rPr>
          <w:b/>
          <w:bCs/>
          <w:iCs/>
          <w:lang w:val="en-GB"/>
        </w:rPr>
        <w:t>inflation-linked assets</w:t>
      </w:r>
      <w:r w:rsidRPr="00F32DDC">
        <w:rPr>
          <w:iCs/>
          <w:lang w:val="en-GB"/>
        </w:rPr>
        <w:t> if the shock persists long enough to re-anchor inflation expectations, particularly in importing regions.</w:t>
      </w:r>
    </w:p>
    <w:p w14:paraId="4B789191" w14:textId="77777777" w:rsidR="00F32DDC" w:rsidRPr="00F32DDC" w:rsidRDefault="00F32DDC" w:rsidP="00F32DDC">
      <w:pPr>
        <w:rPr>
          <w:iCs/>
          <w:lang w:val="en-GB"/>
        </w:rPr>
      </w:pPr>
      <w:r w:rsidRPr="00F32DDC">
        <w:rPr>
          <w:iCs/>
          <w:lang w:val="en-GB"/>
        </w:rPr>
        <w:pict w14:anchorId="51F279D3">
          <v:rect id="_x0000_i1069" style="width:0;height:0" o:hralign="center" o:hrstd="t" o:hr="t" fillcolor="#a0a0a0" stroked="f"/>
        </w:pict>
      </w:r>
    </w:p>
    <w:p w14:paraId="6B7534A0" w14:textId="77777777" w:rsidR="00F32DDC" w:rsidRPr="00F32DDC" w:rsidRDefault="00F32DDC" w:rsidP="00F32DDC">
      <w:pPr>
        <w:rPr>
          <w:b/>
          <w:bCs/>
          <w:iCs/>
          <w:lang w:val="en-GB"/>
        </w:rPr>
      </w:pPr>
      <w:r w:rsidRPr="00F32DDC">
        <w:rPr>
          <w:b/>
          <w:bCs/>
          <w:iCs/>
          <w:lang w:val="en-GB"/>
        </w:rPr>
        <w:t>Sector and industry beneficiaries</w:t>
      </w:r>
    </w:p>
    <w:p w14:paraId="0A70CCDF" w14:textId="77777777" w:rsidR="00F32DDC" w:rsidRPr="00F32DDC" w:rsidRDefault="00F32DDC" w:rsidP="00F32DDC">
      <w:pPr>
        <w:rPr>
          <w:iCs/>
          <w:lang w:val="en-GB"/>
        </w:rPr>
      </w:pPr>
      <w:r w:rsidRPr="00F32DDC">
        <w:rPr>
          <w:iCs/>
          <w:lang w:val="en-GB"/>
        </w:rPr>
        <w:t>Below, each channel is labeled as (i) </w:t>
      </w:r>
      <w:r w:rsidRPr="00F32DDC">
        <w:rPr>
          <w:b/>
          <w:bCs/>
          <w:iCs/>
          <w:lang w:val="en-GB"/>
        </w:rPr>
        <w:t>transmission mechanism</w:t>
      </w:r>
      <w:r w:rsidRPr="00F32DDC">
        <w:rPr>
          <w:iCs/>
          <w:lang w:val="en-GB"/>
        </w:rPr>
        <w:t>, (ii) </w:t>
      </w:r>
      <w:r w:rsidRPr="00F32DDC">
        <w:rPr>
          <w:b/>
          <w:bCs/>
          <w:iCs/>
          <w:lang w:val="en-GB"/>
        </w:rPr>
        <w:t>cyclical vs. structural</w:t>
      </w:r>
      <w:r w:rsidRPr="00F32DDC">
        <w:rPr>
          <w:iCs/>
          <w:lang w:val="en-GB"/>
        </w:rPr>
        <w:t>, and (iii) </w:t>
      </w:r>
      <w:r w:rsidRPr="00F32DDC">
        <w:rPr>
          <w:b/>
          <w:bCs/>
          <w:iCs/>
          <w:lang w:val="en-GB"/>
        </w:rPr>
        <w:t>magnitude and duration</w:t>
      </w:r>
      <w:r w:rsidRPr="00F32DDC">
        <w:rPr>
          <w:iCs/>
          <w:lang w:val="en-GB"/>
        </w:rPr>
        <w:t> (best-effort given current uncertainty).</w:t>
      </w:r>
    </w:p>
    <w:p w14:paraId="24704C79" w14:textId="77777777" w:rsidR="00F32DDC" w:rsidRPr="00F32DDC" w:rsidRDefault="00F32DDC" w:rsidP="00F32DDC">
      <w:pPr>
        <w:rPr>
          <w:iCs/>
          <w:lang w:val="en-GB"/>
        </w:rPr>
      </w:pPr>
      <w:r w:rsidRPr="00F32DDC">
        <w:rPr>
          <w:b/>
          <w:bCs/>
          <w:iCs/>
          <w:lang w:val="en-GB"/>
        </w:rPr>
        <w:t>Upstream oil and gas (E&amp;P and integrated majors)</w:t>
      </w:r>
      <w:r w:rsidRPr="00F32DDC">
        <w:rPr>
          <w:iCs/>
          <w:lang w:val="en-GB"/>
        </w:rPr>
        <w:br/>
        <w:t>Transmission mechanism: Higher realized prices and widening differentials for deliverable barrels; cash flow uplift supports buybacks/dividends and optionality to raise capex. </w:t>
      </w:r>
      <w:r w:rsidRPr="00F32DDC">
        <w:rPr>
          <w:iCs/>
          <w:lang w:val="en-GB"/>
        </w:rPr>
        <w:br/>
        <w:t>Cyclical vs. structural: Mostly cyclical, but can become semi-structural if the shock accelerates security-of-supply policy and long-term contracting. </w:t>
      </w:r>
      <w:r w:rsidRPr="00F32DDC">
        <w:rPr>
          <w:iCs/>
          <w:lang w:val="en-GB"/>
        </w:rPr>
        <w:br/>
        <w:t>Magnitude and duration: High sensitivity while disruption persists; policy releases (SPR/IEA) can cap spot but do not remove the underlying routing constraint. </w:t>
      </w:r>
    </w:p>
    <w:p w14:paraId="0332800C" w14:textId="77777777" w:rsidR="00F32DDC" w:rsidRPr="00F32DDC" w:rsidRDefault="00F32DDC" w:rsidP="00F32DDC">
      <w:pPr>
        <w:rPr>
          <w:iCs/>
          <w:lang w:val="en-GB"/>
        </w:rPr>
      </w:pPr>
      <w:r w:rsidRPr="00F32DDC">
        <w:rPr>
          <w:b/>
          <w:bCs/>
          <w:iCs/>
          <w:lang w:val="en-GB"/>
        </w:rPr>
        <w:t>LNG exporters outside the Gulf; LNG infrastructure and shipping</w:t>
      </w:r>
      <w:r w:rsidRPr="00F32DDC">
        <w:rPr>
          <w:iCs/>
          <w:lang w:val="en-GB"/>
        </w:rPr>
        <w:br/>
        <w:t>Transmission mechanism: Buyers substitute away from Gulf LNG exposure, lifting non-Gulf LNG netbacks; volatility boosts trading margins for those with portfolio flexibility. </w:t>
      </w:r>
      <w:r w:rsidRPr="00F32DDC">
        <w:rPr>
          <w:iCs/>
          <w:lang w:val="en-GB"/>
        </w:rPr>
        <w:br/>
        <w:t>Cyclical vs. structural: Partly structural, because once buyers re-contract, they often keep diversification for years (security premium embedded in contracts). </w:t>
      </w:r>
      <w:r w:rsidRPr="00F32DDC">
        <w:rPr>
          <w:iCs/>
          <w:lang w:val="en-GB"/>
        </w:rPr>
        <w:br/>
        <w:t>Magnitude and duration: Medium-to-high, likely extending beyond reopening if contracting resets, but near-term is capped by liquefaction constraints. </w:t>
      </w:r>
    </w:p>
    <w:p w14:paraId="436707C7" w14:textId="77777777" w:rsidR="00F32DDC" w:rsidRPr="00F32DDC" w:rsidRDefault="00F32DDC" w:rsidP="00F32DDC">
      <w:pPr>
        <w:rPr>
          <w:iCs/>
          <w:lang w:val="en-GB"/>
        </w:rPr>
      </w:pPr>
      <w:r w:rsidRPr="00F32DDC">
        <w:rPr>
          <w:b/>
          <w:bCs/>
          <w:iCs/>
          <w:lang w:val="en-GB"/>
        </w:rPr>
        <w:t>Oil and refined-product shipping (tankers, chartering, and brokers)</w:t>
      </w:r>
      <w:r w:rsidRPr="00F32DDC">
        <w:rPr>
          <w:iCs/>
          <w:lang w:val="en-GB"/>
        </w:rPr>
        <w:br/>
        <w:t>Transmission mechanism: (1) rerouting raises “ton-miles,” (2) war-risk premiums and safety-driven avoidance shrink effective supply, (3) congestion and delays increase vessel days. Freight is the direct monetization layer. </w:t>
      </w:r>
      <w:r w:rsidRPr="00F32DDC">
        <w:rPr>
          <w:iCs/>
          <w:lang w:val="en-GB"/>
        </w:rPr>
        <w:br/>
        <w:t>Cyclical vs. structural: Strongly cyclical, but can persist 6–24 months if route risk and insurance constraints remain binding, even if partial flows resume. </w:t>
      </w:r>
      <w:r w:rsidRPr="00F32DDC">
        <w:rPr>
          <w:iCs/>
          <w:lang w:val="en-GB"/>
        </w:rPr>
        <w:br/>
        <w:t xml:space="preserve">Magnitude and duration: Potentially very high for spot-exposed owners during acute </w:t>
      </w:r>
      <w:r w:rsidRPr="00F32DDC">
        <w:rPr>
          <w:iCs/>
          <w:lang w:val="en-GB"/>
        </w:rPr>
        <w:lastRenderedPageBreak/>
        <w:t>disruption; equity pricing can diverge from spot economics if markets expect a fast political resolution. </w:t>
      </w:r>
    </w:p>
    <w:p w14:paraId="62A238B5" w14:textId="77777777" w:rsidR="00F32DDC" w:rsidRPr="00F32DDC" w:rsidRDefault="00F32DDC" w:rsidP="00F32DDC">
      <w:pPr>
        <w:rPr>
          <w:iCs/>
          <w:lang w:val="en-GB"/>
        </w:rPr>
      </w:pPr>
      <w:r w:rsidRPr="00F32DDC">
        <w:rPr>
          <w:b/>
          <w:bCs/>
          <w:iCs/>
          <w:lang w:val="en-GB"/>
        </w:rPr>
        <w:t>Midstream, storage, and port economics at outside-Hormuz nodes</w:t>
      </w:r>
      <w:r w:rsidRPr="00F32DDC">
        <w:rPr>
          <w:iCs/>
          <w:lang w:val="en-GB"/>
        </w:rPr>
        <w:br/>
        <w:t>Transmission mechanism: Higher utilization, storage demand for blending/buffering, and higher-value bunkering and services at strategic nodes. </w:t>
      </w:r>
      <w:r w:rsidRPr="00F32DDC">
        <w:rPr>
          <w:iCs/>
          <w:lang w:val="en-GB"/>
        </w:rPr>
        <w:br/>
        <w:t>Cyclical vs. structural: Mixed. Utilization spikes are cyclical; capacity additions and long-term role upgrades can be structural. </w:t>
      </w:r>
      <w:r w:rsidRPr="00F32DDC">
        <w:rPr>
          <w:iCs/>
          <w:lang w:val="en-GB"/>
        </w:rPr>
        <w:br/>
        <w:t>Magnitude and duration: Medium but broad-based, as storage and services earn fee-like cash flows. </w:t>
      </w:r>
    </w:p>
    <w:p w14:paraId="04665951" w14:textId="77777777" w:rsidR="00F32DDC" w:rsidRPr="00F32DDC" w:rsidRDefault="00F32DDC" w:rsidP="00F32DDC">
      <w:pPr>
        <w:rPr>
          <w:iCs/>
          <w:lang w:val="en-GB"/>
        </w:rPr>
      </w:pPr>
      <w:r w:rsidRPr="00F32DDC">
        <w:rPr>
          <w:b/>
          <w:bCs/>
          <w:iCs/>
          <w:lang w:val="en-GB"/>
        </w:rPr>
        <w:t>Defense, ISR, mine countermeasures, maritime security, and missile defense</w:t>
      </w:r>
      <w:r w:rsidRPr="00F32DDC">
        <w:rPr>
          <w:iCs/>
          <w:lang w:val="en-GB"/>
        </w:rPr>
        <w:br/>
        <w:t>Transmission mechanism: The operational task of reopening and protecting sea lanes lifts demand for munitions, naval systems, sensors, drones, electronic warfare, and logistics software; depletion of stockpiles can force replenishment. </w:t>
      </w:r>
      <w:r w:rsidRPr="00F32DDC">
        <w:rPr>
          <w:iCs/>
          <w:lang w:val="en-GB"/>
        </w:rPr>
        <w:br/>
        <w:t>Cyclical vs. structural: More structural than people assume. Even if Hormuz reopens, procurement cycles tend to ratchet higher after a visible capability gap. </w:t>
      </w:r>
      <w:r w:rsidRPr="00F32DDC">
        <w:rPr>
          <w:iCs/>
          <w:lang w:val="en-GB"/>
        </w:rPr>
        <w:br/>
        <w:t>Magnitude and duration: Medium-to-high over 6–24 months, but name-by-name sensitivity varies (missiles and air defense are most direct). </w:t>
      </w:r>
    </w:p>
    <w:p w14:paraId="657D1891" w14:textId="77777777" w:rsidR="00F32DDC" w:rsidRPr="00F32DDC" w:rsidRDefault="00F32DDC" w:rsidP="00F32DDC">
      <w:pPr>
        <w:rPr>
          <w:iCs/>
          <w:lang w:val="en-GB"/>
        </w:rPr>
      </w:pPr>
      <w:r w:rsidRPr="00F32DDC">
        <w:rPr>
          <w:b/>
          <w:bCs/>
          <w:iCs/>
          <w:lang w:val="en-GB"/>
        </w:rPr>
        <w:t>Energy transition accelerants (nuclear life extensions, efficiency, electrification, non-oil transport fuels)</w:t>
      </w:r>
      <w:r w:rsidRPr="00F32DDC">
        <w:rPr>
          <w:iCs/>
          <w:lang w:val="en-GB"/>
        </w:rPr>
        <w:br/>
        <w:t>Transmission mechanism: Another price shock increases political and corporate willingness to pay for reduced oil dependence, speeding policy and capex decisions. </w:t>
      </w:r>
      <w:r w:rsidRPr="00F32DDC">
        <w:rPr>
          <w:iCs/>
          <w:lang w:val="en-GB"/>
        </w:rPr>
        <w:br/>
        <w:t>Cyclical vs. structural: Potentially structural, if policies shift and permitting accelerates. </w:t>
      </w:r>
      <w:r w:rsidRPr="00F32DDC">
        <w:rPr>
          <w:iCs/>
          <w:lang w:val="en-GB"/>
        </w:rPr>
        <w:br/>
        <w:t>Magnitude and duration: Medium, probably lagged (policy and project lead times).</w:t>
      </w:r>
    </w:p>
    <w:p w14:paraId="0B246FF6" w14:textId="77777777" w:rsidR="00F32DDC" w:rsidRPr="00F32DDC" w:rsidRDefault="00F32DDC" w:rsidP="00F32DDC">
      <w:pPr>
        <w:rPr>
          <w:iCs/>
          <w:lang w:val="en-GB"/>
        </w:rPr>
      </w:pPr>
      <w:r w:rsidRPr="00F32DDC">
        <w:rPr>
          <w:b/>
          <w:bCs/>
          <w:iCs/>
          <w:lang w:val="en-GB"/>
        </w:rPr>
        <w:t>Commodity trading, risk transfer, and analytics (physical trading, war-risk insurance, shipping finance)</w:t>
      </w:r>
      <w:r w:rsidRPr="00F32DDC">
        <w:rPr>
          <w:iCs/>
          <w:lang w:val="en-GB"/>
        </w:rPr>
        <w:br/>
        <w:t>Transmission mechanism: Wider spreads, volatility, and dislocations increase trading opportunities; insurance repricing can raise premia, though losses can also rise. </w:t>
      </w:r>
      <w:r w:rsidRPr="00F32DDC">
        <w:rPr>
          <w:iCs/>
          <w:lang w:val="en-GB"/>
        </w:rPr>
        <w:br/>
        <w:t>Cyclical vs. structural: Mostly cyclical, but can structurally increase collateral and risk management spending. </w:t>
      </w:r>
      <w:r w:rsidRPr="00F32DDC">
        <w:rPr>
          <w:iCs/>
          <w:lang w:val="en-GB"/>
        </w:rPr>
        <w:br/>
        <w:t>Magnitude and duration: Medium, with high dispersion (some participants gain, some get trapped by risk events).</w:t>
      </w:r>
    </w:p>
    <w:p w14:paraId="0FE7D875" w14:textId="77777777" w:rsidR="00F32DDC" w:rsidRPr="00F32DDC" w:rsidRDefault="00F32DDC" w:rsidP="00F32DDC">
      <w:pPr>
        <w:rPr>
          <w:iCs/>
          <w:lang w:val="en-GB"/>
        </w:rPr>
      </w:pPr>
      <w:r w:rsidRPr="00F32DDC">
        <w:rPr>
          <w:iCs/>
          <w:lang w:val="en-GB"/>
        </w:rPr>
        <w:pict w14:anchorId="5E3866F9">
          <v:rect id="_x0000_i1070" style="width:0;height:0" o:hralign="center" o:hrstd="t" o:hr="t" fillcolor="#a0a0a0" stroked="f"/>
        </w:pict>
      </w:r>
    </w:p>
    <w:p w14:paraId="4C67BACC" w14:textId="77777777" w:rsidR="00F32DDC" w:rsidRPr="00F32DDC" w:rsidRDefault="00F32DDC" w:rsidP="00F32DDC">
      <w:pPr>
        <w:rPr>
          <w:b/>
          <w:bCs/>
          <w:iCs/>
          <w:lang w:val="en-GB"/>
        </w:rPr>
      </w:pPr>
      <w:r w:rsidRPr="00F32DDC">
        <w:rPr>
          <w:b/>
          <w:bCs/>
          <w:iCs/>
          <w:lang w:val="en-GB"/>
        </w:rPr>
        <w:t>Listed equity beneficiaries</w:t>
      </w:r>
    </w:p>
    <w:p w14:paraId="42760A16" w14:textId="77777777" w:rsidR="00F32DDC" w:rsidRPr="00F32DDC" w:rsidRDefault="00F32DDC" w:rsidP="00F32DDC">
      <w:pPr>
        <w:rPr>
          <w:iCs/>
          <w:lang w:val="en-GB"/>
        </w:rPr>
      </w:pPr>
      <w:r w:rsidRPr="00F32DDC">
        <w:rPr>
          <w:iCs/>
          <w:lang w:val="en-GB"/>
        </w:rPr>
        <w:t>Performance is </w:t>
      </w:r>
      <w:r w:rsidRPr="00F32DDC">
        <w:rPr>
          <w:b/>
          <w:bCs/>
          <w:iCs/>
          <w:lang w:val="en-GB"/>
        </w:rPr>
        <w:t>Feb 27, 2026 close → Mar 17, 2026 close</w:t>
      </w:r>
      <w:r w:rsidRPr="00F32DDC">
        <w:rPr>
          <w:iCs/>
          <w:lang w:val="en-GB"/>
        </w:rPr>
        <w:t> (Feb 28 was a Saturday, so Feb 27 is the closest pre-event trading close). Ratings and price targets are the latest available from StockAnalysis snapshots.</w:t>
      </w:r>
    </w:p>
    <w:p w14:paraId="456DD000" w14:textId="77777777" w:rsidR="00F32DDC" w:rsidRPr="00F32DDC" w:rsidRDefault="00F32DDC" w:rsidP="00F32DDC">
      <w:pPr>
        <w:rPr>
          <w:b/>
          <w:bCs/>
          <w:iCs/>
          <w:lang w:val="en-GB"/>
        </w:rPr>
      </w:pPr>
      <w:r w:rsidRPr="00F32DDC">
        <w:rPr>
          <w:b/>
          <w:bCs/>
          <w:iCs/>
          <w:lang w:val="en-GB"/>
        </w:rPr>
        <w:t>Oil and gas producers</w:t>
      </w:r>
    </w:p>
    <w:p w14:paraId="20D159F5" w14:textId="77777777" w:rsidR="00F32DDC" w:rsidRPr="00F32DDC" w:rsidRDefault="00F32DDC" w:rsidP="00F32DDC">
      <w:pPr>
        <w:rPr>
          <w:iCs/>
          <w:lang w:val="en-GB"/>
        </w:rPr>
      </w:pPr>
      <w:r w:rsidRPr="00F32DDC">
        <w:rPr>
          <w:b/>
          <w:bCs/>
          <w:iCs/>
          <w:lang w:val="en-GB"/>
        </w:rPr>
        <w:lastRenderedPageBreak/>
        <w:t>Exxon Mobil (XOM)</w:t>
      </w:r>
      <w:r w:rsidRPr="00F32DDC">
        <w:rPr>
          <w:iCs/>
          <w:lang w:val="en-GB"/>
        </w:rPr>
        <w:br/>
        <w:t>Why it benefits: diversified upstream plus trading optionality, and direct leverage to higher benchmark pricing. </w:t>
      </w:r>
      <w:r w:rsidRPr="00F32DDC">
        <w:rPr>
          <w:iCs/>
          <w:lang w:val="en-GB"/>
        </w:rPr>
        <w:br/>
        <w:t>Stock since Feb 27: </w:t>
      </w:r>
      <w:r w:rsidRPr="00F32DDC">
        <w:rPr>
          <w:b/>
          <w:bCs/>
          <w:iCs/>
          <w:lang w:val="en-GB"/>
        </w:rPr>
        <w:t>+4.1%</w:t>
      </w:r>
      <w:r w:rsidRPr="00F32DDC">
        <w:rPr>
          <w:iCs/>
          <w:lang w:val="en-GB"/>
        </w:rPr>
        <w:t> (152.50 → 158.81). </w:t>
      </w:r>
      <w:r w:rsidRPr="00F32DDC">
        <w:rPr>
          <w:iCs/>
          <w:lang w:val="en-GB"/>
        </w:rPr>
        <w:br/>
        <w:t>Analyst consensus: </w:t>
      </w:r>
      <w:r w:rsidRPr="00F32DDC">
        <w:rPr>
          <w:b/>
          <w:bCs/>
          <w:iCs/>
          <w:lang w:val="en-GB"/>
        </w:rPr>
        <w:t>Buy</w:t>
      </w:r>
      <w:r w:rsidRPr="00F32DDC">
        <w:rPr>
          <w:iCs/>
          <w:lang w:val="en-GB"/>
        </w:rPr>
        <w:t>, but the aggregated 12-month price target is </w:t>
      </w:r>
      <w:r w:rsidRPr="00F32DDC">
        <w:rPr>
          <w:b/>
          <w:bCs/>
          <w:iCs/>
          <w:lang w:val="en-GB"/>
        </w:rPr>
        <w:t>below</w:t>
      </w:r>
      <w:r w:rsidRPr="00F32DDC">
        <w:rPr>
          <w:iCs/>
          <w:lang w:val="en-GB"/>
        </w:rPr>
        <w:t> spot (implied downside), suggesting analysts have not fully chased the move or are discounting mean reversion. </w:t>
      </w:r>
      <w:r w:rsidRPr="00F32DDC">
        <w:rPr>
          <w:iCs/>
          <w:lang w:val="en-GB"/>
        </w:rPr>
        <w:br/>
        <w:t>Key risks: rapid political de-escalation or larger coordinated releases suppressing crude; windfall taxes or political pressure on pricing; downstream/chemical margin squeeze if input costs outpace product pricing. </w:t>
      </w:r>
    </w:p>
    <w:p w14:paraId="1A74CA32" w14:textId="77777777" w:rsidR="00F32DDC" w:rsidRPr="00F32DDC" w:rsidRDefault="00F32DDC" w:rsidP="00F32DDC">
      <w:pPr>
        <w:rPr>
          <w:iCs/>
          <w:lang w:val="en-GB"/>
        </w:rPr>
      </w:pPr>
      <w:r w:rsidRPr="00F32DDC">
        <w:rPr>
          <w:b/>
          <w:bCs/>
          <w:iCs/>
          <w:lang w:val="en-GB"/>
        </w:rPr>
        <w:t>Chevron (CVX)</w:t>
      </w:r>
      <w:r w:rsidRPr="00F32DDC">
        <w:rPr>
          <w:iCs/>
          <w:lang w:val="en-GB"/>
        </w:rPr>
        <w:br/>
        <w:t>Why it benefits: integrated cash flows with high sensitivity to sustained oil prices and advantaged global portfolio. </w:t>
      </w:r>
      <w:r w:rsidRPr="00F32DDC">
        <w:rPr>
          <w:iCs/>
          <w:lang w:val="en-GB"/>
        </w:rPr>
        <w:br/>
        <w:t>Stock since Feb 27: </w:t>
      </w:r>
      <w:r w:rsidRPr="00F32DDC">
        <w:rPr>
          <w:b/>
          <w:bCs/>
          <w:iCs/>
          <w:lang w:val="en-GB"/>
        </w:rPr>
        <w:t>+6.0%</w:t>
      </w:r>
      <w:r w:rsidRPr="00F32DDC">
        <w:rPr>
          <w:iCs/>
          <w:lang w:val="en-GB"/>
        </w:rPr>
        <w:t> (186.76 → 197.97). </w:t>
      </w:r>
      <w:r w:rsidRPr="00F32DDC">
        <w:rPr>
          <w:iCs/>
          <w:lang w:val="en-GB"/>
        </w:rPr>
        <w:br/>
        <w:t>Analyst consensus: </w:t>
      </w:r>
      <w:r w:rsidRPr="00F32DDC">
        <w:rPr>
          <w:b/>
          <w:bCs/>
          <w:iCs/>
          <w:lang w:val="en-GB"/>
        </w:rPr>
        <w:t>Buy</w:t>
      </w:r>
      <w:r w:rsidRPr="00F32DDC">
        <w:rPr>
          <w:iCs/>
          <w:lang w:val="en-GB"/>
        </w:rPr>
        <w:t>, price target implies downside vs. current levels in the snapshot, consistent with “price moved faster than targets.” </w:t>
      </w:r>
      <w:r w:rsidRPr="00F32DDC">
        <w:rPr>
          <w:iCs/>
          <w:lang w:val="en-GB"/>
        </w:rPr>
        <w:br/>
        <w:t>Key risks: same macro risks as above, plus capital discipline risk if the market demands growth and the company stays conservative; regulatory and political headlines can dominate tape action in crises. </w:t>
      </w:r>
    </w:p>
    <w:p w14:paraId="0D7DB0DE" w14:textId="77777777" w:rsidR="00F32DDC" w:rsidRPr="00F32DDC" w:rsidRDefault="00F32DDC" w:rsidP="00F32DDC">
      <w:pPr>
        <w:rPr>
          <w:iCs/>
          <w:lang w:val="en-GB"/>
        </w:rPr>
      </w:pPr>
      <w:r w:rsidRPr="00F32DDC">
        <w:rPr>
          <w:b/>
          <w:bCs/>
          <w:iCs/>
          <w:lang w:val="en-GB"/>
        </w:rPr>
        <w:t>ConocoPhillips (COP)</w:t>
      </w:r>
      <w:r w:rsidRPr="00F32DDC">
        <w:rPr>
          <w:iCs/>
          <w:lang w:val="en-GB"/>
        </w:rPr>
        <w:br/>
        <w:t>Why it benefits: higher beta to oil than integrated majors, so cash flow torque rises in sustained $90–$110 crude regimes. </w:t>
      </w:r>
      <w:r w:rsidRPr="00F32DDC">
        <w:rPr>
          <w:iCs/>
          <w:lang w:val="en-GB"/>
        </w:rPr>
        <w:br/>
        <w:t>Stock since Feb 27: </w:t>
      </w:r>
      <w:r w:rsidRPr="00F32DDC">
        <w:rPr>
          <w:b/>
          <w:bCs/>
          <w:iCs/>
          <w:lang w:val="en-GB"/>
        </w:rPr>
        <w:t>+8.3%</w:t>
      </w:r>
      <w:r w:rsidRPr="00F32DDC">
        <w:rPr>
          <w:iCs/>
          <w:lang w:val="en-GB"/>
        </w:rPr>
        <w:t> (113.46 → 122.87). </w:t>
      </w:r>
      <w:r w:rsidRPr="00F32DDC">
        <w:rPr>
          <w:iCs/>
          <w:lang w:val="en-GB"/>
        </w:rPr>
        <w:br/>
        <w:t>Analyst consensus: </w:t>
      </w:r>
      <w:r w:rsidRPr="00F32DDC">
        <w:rPr>
          <w:b/>
          <w:bCs/>
          <w:iCs/>
          <w:lang w:val="en-GB"/>
        </w:rPr>
        <w:t>Buy</w:t>
      </w:r>
      <w:r w:rsidRPr="00F32DDC">
        <w:rPr>
          <w:iCs/>
          <w:lang w:val="en-GB"/>
        </w:rPr>
        <w:t>, but the price target is below spot in the snapshot, implying consensus expects some reversal. </w:t>
      </w:r>
      <w:r w:rsidRPr="00F32DDC">
        <w:rPr>
          <w:iCs/>
          <w:lang w:val="en-GB"/>
        </w:rPr>
        <w:br/>
        <w:t>Key risks: if prices fade, upstream beta works against it; cost inflation in services; policy risk on U.S. upstream and permitting. </w:t>
      </w:r>
    </w:p>
    <w:p w14:paraId="29F6D9D1" w14:textId="77777777" w:rsidR="00F32DDC" w:rsidRPr="00F32DDC" w:rsidRDefault="00F32DDC" w:rsidP="00F32DDC">
      <w:pPr>
        <w:rPr>
          <w:iCs/>
          <w:lang w:val="en-GB"/>
        </w:rPr>
      </w:pPr>
      <w:r w:rsidRPr="00F32DDC">
        <w:rPr>
          <w:b/>
          <w:bCs/>
          <w:iCs/>
          <w:lang w:val="en-GB"/>
        </w:rPr>
        <w:t>EOG Resources (EOG)</w:t>
      </w:r>
      <w:r w:rsidRPr="00F32DDC">
        <w:rPr>
          <w:iCs/>
          <w:lang w:val="en-GB"/>
        </w:rPr>
        <w:br/>
        <w:t>Why it benefits: high-quality shale inventory can turn higher prices into free cash flow quickly; potential to accelerate activity if the supply gap persists. </w:t>
      </w:r>
      <w:r w:rsidRPr="00F32DDC">
        <w:rPr>
          <w:iCs/>
          <w:lang w:val="en-GB"/>
        </w:rPr>
        <w:br/>
        <w:t>Stock since Feb 27: </w:t>
      </w:r>
      <w:r w:rsidRPr="00F32DDC">
        <w:rPr>
          <w:b/>
          <w:bCs/>
          <w:iCs/>
          <w:lang w:val="en-GB"/>
        </w:rPr>
        <w:t>+9.4%</w:t>
      </w:r>
      <w:r w:rsidRPr="00F32DDC">
        <w:rPr>
          <w:iCs/>
          <w:lang w:val="en-GB"/>
        </w:rPr>
        <w:t> (124.08 → 135.72). </w:t>
      </w:r>
      <w:r w:rsidRPr="00F32DDC">
        <w:rPr>
          <w:iCs/>
          <w:lang w:val="en-GB"/>
        </w:rPr>
        <w:br/>
        <w:t>Analyst consensus: </w:t>
      </w:r>
      <w:r w:rsidRPr="00F32DDC">
        <w:rPr>
          <w:b/>
          <w:bCs/>
          <w:iCs/>
          <w:lang w:val="en-GB"/>
        </w:rPr>
        <w:t>Buy</w:t>
      </w:r>
      <w:r w:rsidRPr="00F32DDC">
        <w:rPr>
          <w:iCs/>
          <w:lang w:val="en-GB"/>
        </w:rPr>
        <w:t> with targets still modestly above spot in the snapshot, implying less “overrun” vs. some majors. </w:t>
      </w:r>
      <w:r w:rsidRPr="00F32DDC">
        <w:rPr>
          <w:iCs/>
          <w:lang w:val="en-GB"/>
        </w:rPr>
        <w:br/>
        <w:t>Key risks: shale’s historical boom-bust, service-cost inflation, and any policy-driven supply response (SPR plus diplomacy) that caps duration. </w:t>
      </w:r>
    </w:p>
    <w:p w14:paraId="7E0EDDFF" w14:textId="77777777" w:rsidR="00F32DDC" w:rsidRPr="00F32DDC" w:rsidRDefault="00F32DDC" w:rsidP="00F32DDC">
      <w:pPr>
        <w:rPr>
          <w:iCs/>
          <w:lang w:val="en-GB"/>
        </w:rPr>
      </w:pPr>
      <w:r w:rsidRPr="00F32DDC">
        <w:rPr>
          <w:b/>
          <w:bCs/>
          <w:iCs/>
          <w:lang w:val="en-GB"/>
        </w:rPr>
        <w:t>Equinor (EQNR)</w:t>
      </w:r>
      <w:r w:rsidRPr="00F32DDC">
        <w:rPr>
          <w:iCs/>
          <w:lang w:val="en-GB"/>
        </w:rPr>
        <w:br/>
        <w:t>Why it benefits: Europe-adjacent barrels and gas, plus “security-of-supply” bid for non-Gulf molecules; also a beneficiary of higher regional gas pricing pressure as LNG flows re-optimize. </w:t>
      </w:r>
      <w:r w:rsidRPr="00F32DDC">
        <w:rPr>
          <w:iCs/>
          <w:lang w:val="en-GB"/>
        </w:rPr>
        <w:br/>
        <w:t>Stock since Feb 27: </w:t>
      </w:r>
      <w:r w:rsidRPr="00F32DDC">
        <w:rPr>
          <w:b/>
          <w:bCs/>
          <w:iCs/>
          <w:lang w:val="en-GB"/>
        </w:rPr>
        <w:t>+23.8%</w:t>
      </w:r>
      <w:r w:rsidRPr="00F32DDC">
        <w:rPr>
          <w:iCs/>
          <w:lang w:val="en-GB"/>
        </w:rPr>
        <w:t> (29.83 → 36.94). </w:t>
      </w:r>
      <w:r w:rsidRPr="00F32DDC">
        <w:rPr>
          <w:iCs/>
          <w:lang w:val="en-GB"/>
        </w:rPr>
        <w:br/>
        <w:t>Analyst consensus: </w:t>
      </w:r>
      <w:r w:rsidRPr="00F32DDC">
        <w:rPr>
          <w:b/>
          <w:bCs/>
          <w:iCs/>
          <w:lang w:val="en-GB"/>
        </w:rPr>
        <w:t>Hold</w:t>
      </w:r>
      <w:r w:rsidRPr="00F32DDC">
        <w:rPr>
          <w:iCs/>
          <w:lang w:val="en-GB"/>
        </w:rPr>
        <w:t xml:space="preserve"> and a price target far below spot in the snapshot, which is an </w:t>
      </w:r>
      <w:r w:rsidRPr="00F32DDC">
        <w:rPr>
          <w:iCs/>
          <w:lang w:val="en-GB"/>
        </w:rPr>
        <w:lastRenderedPageBreak/>
        <w:t>unusually wide gap and may reflect stale models, valuation discipline, or an expectation the risk premium fades. </w:t>
      </w:r>
      <w:r w:rsidRPr="00F32DDC">
        <w:rPr>
          <w:iCs/>
          <w:lang w:val="en-GB"/>
        </w:rPr>
        <w:br/>
        <w:t>Key risks: Europe demand weakness if the shock tips into recession; political interventions on pricing; rapid easing in LNG/oil risk premia. </w:t>
      </w:r>
    </w:p>
    <w:p w14:paraId="1B676CE2" w14:textId="77777777" w:rsidR="00F32DDC" w:rsidRPr="00F32DDC" w:rsidRDefault="00F32DDC" w:rsidP="00F32DDC">
      <w:pPr>
        <w:rPr>
          <w:b/>
          <w:bCs/>
          <w:iCs/>
          <w:lang w:val="en-GB"/>
        </w:rPr>
      </w:pPr>
      <w:r w:rsidRPr="00F32DDC">
        <w:rPr>
          <w:b/>
          <w:bCs/>
          <w:iCs/>
          <w:lang w:val="en-GB"/>
        </w:rPr>
        <w:t>LNG exporters</w:t>
      </w:r>
    </w:p>
    <w:p w14:paraId="69C8EDA5" w14:textId="77777777" w:rsidR="00F32DDC" w:rsidRPr="00F32DDC" w:rsidRDefault="00F32DDC" w:rsidP="00F32DDC">
      <w:pPr>
        <w:rPr>
          <w:iCs/>
          <w:lang w:val="en-GB"/>
        </w:rPr>
      </w:pPr>
      <w:r w:rsidRPr="00F32DDC">
        <w:rPr>
          <w:b/>
          <w:bCs/>
          <w:iCs/>
          <w:lang w:val="en-GB"/>
        </w:rPr>
        <w:t>Cheniere Energy (LNG)</w:t>
      </w:r>
      <w:r w:rsidRPr="00F32DDC">
        <w:rPr>
          <w:iCs/>
          <w:lang w:val="en-GB"/>
        </w:rPr>
        <w:br/>
        <w:t>Why it benefits: U.S. LNG is a primary “swing” source when Gulf LNG is constrained; price volatility can also favor portfolio optimization for large exporters. </w:t>
      </w:r>
      <w:r w:rsidRPr="00F32DDC">
        <w:rPr>
          <w:iCs/>
          <w:lang w:val="en-GB"/>
        </w:rPr>
        <w:br/>
        <w:t>Stock since Feb 27: </w:t>
      </w:r>
      <w:r w:rsidRPr="00F32DDC">
        <w:rPr>
          <w:b/>
          <w:bCs/>
          <w:iCs/>
          <w:lang w:val="en-GB"/>
        </w:rPr>
        <w:t>+6.7%</w:t>
      </w:r>
      <w:r w:rsidRPr="00F32DDC">
        <w:rPr>
          <w:iCs/>
          <w:lang w:val="en-GB"/>
        </w:rPr>
        <w:t> (235.73 → 251.50). </w:t>
      </w:r>
      <w:r w:rsidRPr="00F32DDC">
        <w:rPr>
          <w:iCs/>
          <w:lang w:val="en-GB"/>
        </w:rPr>
        <w:br/>
        <w:t>Analyst consensus: </w:t>
      </w:r>
      <w:r w:rsidRPr="00F32DDC">
        <w:rPr>
          <w:b/>
          <w:bCs/>
          <w:iCs/>
          <w:lang w:val="en-GB"/>
        </w:rPr>
        <w:t>Strong Buy</w:t>
      </w:r>
      <w:r w:rsidRPr="00F32DDC">
        <w:rPr>
          <w:iCs/>
          <w:lang w:val="en-GB"/>
        </w:rPr>
        <w:t> with a price target above spot in the snapshot. </w:t>
      </w:r>
      <w:r w:rsidRPr="00F32DDC">
        <w:rPr>
          <w:iCs/>
          <w:lang w:val="en-GB"/>
        </w:rPr>
        <w:br/>
        <w:t>Key risks: if European demand softens and LNG prices retrace; regulatory/political risk around exports; shipping/logistics constraints if rerouting becomes a bottleneck. </w:t>
      </w:r>
    </w:p>
    <w:p w14:paraId="5C51C116" w14:textId="77777777" w:rsidR="00F32DDC" w:rsidRPr="00F32DDC" w:rsidRDefault="00F32DDC" w:rsidP="00F32DDC">
      <w:pPr>
        <w:rPr>
          <w:b/>
          <w:bCs/>
          <w:iCs/>
          <w:lang w:val="en-GB"/>
        </w:rPr>
      </w:pPr>
      <w:r w:rsidRPr="00F32DDC">
        <w:rPr>
          <w:b/>
          <w:bCs/>
          <w:iCs/>
          <w:lang w:val="en-GB"/>
        </w:rPr>
        <w:t>Tankers and shipping</w:t>
      </w:r>
    </w:p>
    <w:p w14:paraId="47694348" w14:textId="77777777" w:rsidR="00F32DDC" w:rsidRPr="00F32DDC" w:rsidRDefault="00F32DDC" w:rsidP="00F32DDC">
      <w:pPr>
        <w:rPr>
          <w:iCs/>
          <w:lang w:val="en-GB"/>
        </w:rPr>
      </w:pPr>
      <w:r w:rsidRPr="00F32DDC">
        <w:rPr>
          <w:b/>
          <w:bCs/>
          <w:iCs/>
          <w:lang w:val="en-GB"/>
        </w:rPr>
        <w:t>Frontline (FRO)</w:t>
      </w:r>
      <w:r w:rsidRPr="00F32DDC">
        <w:rPr>
          <w:iCs/>
          <w:lang w:val="en-GB"/>
        </w:rPr>
        <w:br/>
        <w:t>Why it benefits: VLCC and crude tanker owners are classic beneficiaries of disruption-driven freight spikes, via higher ton-miles and tighter effective supply from war-risk avoidance. </w:t>
      </w:r>
      <w:r w:rsidRPr="00F32DDC">
        <w:rPr>
          <w:iCs/>
          <w:lang w:val="en-GB"/>
        </w:rPr>
        <w:br/>
        <w:t>Stock since Feb 27: </w:t>
      </w:r>
      <w:r w:rsidRPr="00F32DDC">
        <w:rPr>
          <w:b/>
          <w:bCs/>
          <w:iCs/>
          <w:lang w:val="en-GB"/>
        </w:rPr>
        <w:t>-17.5%</w:t>
      </w:r>
      <w:r w:rsidRPr="00F32DDC">
        <w:rPr>
          <w:iCs/>
          <w:lang w:val="en-GB"/>
        </w:rPr>
        <w:t> (37.95 → 31.30), despite the macro setup, highlighting how quickly markets can price “resolution risk” or higher costs. </w:t>
      </w:r>
      <w:r w:rsidRPr="00F32DDC">
        <w:rPr>
          <w:iCs/>
          <w:lang w:val="en-GB"/>
        </w:rPr>
        <w:br/>
        <w:t>Analyst consensus: </w:t>
      </w:r>
      <w:r w:rsidRPr="00F32DDC">
        <w:rPr>
          <w:b/>
          <w:bCs/>
          <w:iCs/>
          <w:lang w:val="en-GB"/>
        </w:rPr>
        <w:t>Strong Buy</w:t>
      </w:r>
      <w:r w:rsidRPr="00F32DDC">
        <w:rPr>
          <w:iCs/>
          <w:lang w:val="en-GB"/>
        </w:rPr>
        <w:t> with a price target roughly around spot in the snapshot. </w:t>
      </w:r>
      <w:r w:rsidRPr="00F32DDC">
        <w:rPr>
          <w:iCs/>
          <w:lang w:val="en-GB"/>
        </w:rPr>
        <w:br/>
        <w:t>Key risks: sudden reopening of the lane collapses spot rates; war-risk and insurance costs spike faster than charter rates; operational disruptions (crew, positioning, delays). </w:t>
      </w:r>
    </w:p>
    <w:p w14:paraId="2C46F647" w14:textId="77777777" w:rsidR="00F32DDC" w:rsidRPr="00F32DDC" w:rsidRDefault="00F32DDC" w:rsidP="00F32DDC">
      <w:pPr>
        <w:rPr>
          <w:iCs/>
          <w:lang w:val="en-GB"/>
        </w:rPr>
      </w:pPr>
      <w:r w:rsidRPr="00F32DDC">
        <w:rPr>
          <w:b/>
          <w:bCs/>
          <w:iCs/>
          <w:lang w:val="en-GB"/>
        </w:rPr>
        <w:t>DHT Holdings (DHT)</w:t>
      </w:r>
      <w:r w:rsidRPr="00F32DDC">
        <w:rPr>
          <w:iCs/>
          <w:lang w:val="en-GB"/>
        </w:rPr>
        <w:br/>
        <w:t>Why it benefits: similar crude-tanker convexity to freight spikes, with spot exposure and dividend sensitivity. </w:t>
      </w:r>
      <w:r w:rsidRPr="00F32DDC">
        <w:rPr>
          <w:iCs/>
          <w:lang w:val="en-GB"/>
        </w:rPr>
        <w:br/>
        <w:t>Stock since Feb 27: </w:t>
      </w:r>
      <w:r w:rsidRPr="00F32DDC">
        <w:rPr>
          <w:b/>
          <w:bCs/>
          <w:iCs/>
          <w:lang w:val="en-GB"/>
        </w:rPr>
        <w:t>-13.3%</w:t>
      </w:r>
      <w:r w:rsidRPr="00F32DDC">
        <w:rPr>
          <w:iCs/>
          <w:lang w:val="en-GB"/>
        </w:rPr>
        <w:t> (19.49 → 16.89). </w:t>
      </w:r>
      <w:r w:rsidRPr="00F32DDC">
        <w:rPr>
          <w:iCs/>
          <w:lang w:val="en-GB"/>
        </w:rPr>
        <w:br/>
        <w:t>Analyst consensus: </w:t>
      </w:r>
      <w:r w:rsidRPr="00F32DDC">
        <w:rPr>
          <w:b/>
          <w:bCs/>
          <w:iCs/>
          <w:lang w:val="en-GB"/>
        </w:rPr>
        <w:t>Strong Buy</w:t>
      </w:r>
      <w:r w:rsidRPr="00F32DDC">
        <w:rPr>
          <w:iCs/>
          <w:lang w:val="en-GB"/>
        </w:rPr>
        <w:t> in the snapshot, but price target below spot suggests analysts may expect mean reversion or are embedding higher cost/risk assumptions. </w:t>
      </w:r>
      <w:r w:rsidRPr="00F32DDC">
        <w:rPr>
          <w:iCs/>
          <w:lang w:val="en-GB"/>
        </w:rPr>
        <w:br/>
        <w:t>Key risks: same as above, plus dividend volatility if rates normalize quickly. </w:t>
      </w:r>
    </w:p>
    <w:p w14:paraId="3962C275" w14:textId="77777777" w:rsidR="00F32DDC" w:rsidRPr="00F32DDC" w:rsidRDefault="00F32DDC" w:rsidP="00F32DDC">
      <w:pPr>
        <w:rPr>
          <w:iCs/>
          <w:lang w:val="en-GB"/>
        </w:rPr>
      </w:pPr>
      <w:r w:rsidRPr="00F32DDC">
        <w:rPr>
          <w:b/>
          <w:bCs/>
          <w:iCs/>
          <w:lang w:val="en-GB"/>
        </w:rPr>
        <w:t>Scorpio Tankers (STNG)</w:t>
      </w:r>
      <w:r w:rsidRPr="00F32DDC">
        <w:rPr>
          <w:iCs/>
          <w:lang w:val="en-GB"/>
        </w:rPr>
        <w:br/>
        <w:t>Why it benefits: refined-product dislocations can be severe in supply shocks, lifting product tanker demand and rates. </w:t>
      </w:r>
      <w:r w:rsidRPr="00F32DDC">
        <w:rPr>
          <w:iCs/>
          <w:lang w:val="en-GB"/>
        </w:rPr>
        <w:br/>
        <w:t>Stock since Feb 27: </w:t>
      </w:r>
      <w:r w:rsidRPr="00F32DDC">
        <w:rPr>
          <w:b/>
          <w:bCs/>
          <w:iCs/>
          <w:lang w:val="en-GB"/>
        </w:rPr>
        <w:t>-16.2%</w:t>
      </w:r>
      <w:r w:rsidRPr="00F32DDC">
        <w:rPr>
          <w:iCs/>
          <w:lang w:val="en-GB"/>
        </w:rPr>
        <w:t> (79.08 → 66.30). </w:t>
      </w:r>
      <w:r w:rsidRPr="00F32DDC">
        <w:rPr>
          <w:iCs/>
          <w:lang w:val="en-GB"/>
        </w:rPr>
        <w:br/>
        <w:t>Analyst consensus: </w:t>
      </w:r>
      <w:r w:rsidRPr="00F32DDC">
        <w:rPr>
          <w:b/>
          <w:bCs/>
          <w:iCs/>
          <w:lang w:val="en-GB"/>
        </w:rPr>
        <w:t>Strong Buy</w:t>
      </w:r>
      <w:r w:rsidRPr="00F32DDC">
        <w:rPr>
          <w:iCs/>
          <w:lang w:val="en-GB"/>
        </w:rPr>
        <w:t> with a price target above spot in the snapshot, implying analysts see upside if the disruption persists or if product rates stay tight. </w:t>
      </w:r>
      <w:r w:rsidRPr="00F32DDC">
        <w:rPr>
          <w:iCs/>
          <w:lang w:val="en-GB"/>
        </w:rPr>
        <w:br/>
        <w:t>Key risks: product demand destruction in recession; fast normalization across refining and inventories; increased regulatory scrutiny and operational incidents. </w:t>
      </w:r>
    </w:p>
    <w:p w14:paraId="1CCAD2FB" w14:textId="77777777" w:rsidR="00F32DDC" w:rsidRPr="00F32DDC" w:rsidRDefault="00F32DDC" w:rsidP="00F32DDC">
      <w:pPr>
        <w:rPr>
          <w:b/>
          <w:bCs/>
          <w:iCs/>
          <w:lang w:val="en-GB"/>
        </w:rPr>
      </w:pPr>
      <w:r w:rsidRPr="00F32DDC">
        <w:rPr>
          <w:b/>
          <w:bCs/>
          <w:iCs/>
          <w:lang w:val="en-GB"/>
        </w:rPr>
        <w:t>Defense and security</w:t>
      </w:r>
    </w:p>
    <w:p w14:paraId="2C0C9DCF" w14:textId="77777777" w:rsidR="00F32DDC" w:rsidRPr="00F32DDC" w:rsidRDefault="00F32DDC" w:rsidP="00F32DDC">
      <w:pPr>
        <w:rPr>
          <w:iCs/>
          <w:lang w:val="en-GB"/>
        </w:rPr>
      </w:pPr>
      <w:r w:rsidRPr="00F32DDC">
        <w:rPr>
          <w:b/>
          <w:bCs/>
          <w:iCs/>
          <w:lang w:val="en-GB"/>
        </w:rPr>
        <w:lastRenderedPageBreak/>
        <w:t>RTX (RTX)</w:t>
      </w:r>
      <w:r w:rsidRPr="00F32DDC">
        <w:rPr>
          <w:iCs/>
          <w:lang w:val="en-GB"/>
        </w:rPr>
        <w:br/>
        <w:t>Why it benefits: missile defense, precision munitions, and sensors are directly relevant to maritime security and escalation management; replenishment cycles can follow sustained operations. </w:t>
      </w:r>
      <w:r w:rsidRPr="00F32DDC">
        <w:rPr>
          <w:iCs/>
          <w:lang w:val="en-GB"/>
        </w:rPr>
        <w:br/>
        <w:t>Stock since Feb 27: </w:t>
      </w:r>
      <w:r w:rsidRPr="00F32DDC">
        <w:rPr>
          <w:b/>
          <w:bCs/>
          <w:iCs/>
          <w:lang w:val="en-GB"/>
        </w:rPr>
        <w:t>+0.4%</w:t>
      </w:r>
      <w:r w:rsidRPr="00F32DDC">
        <w:rPr>
          <w:iCs/>
          <w:lang w:val="en-GB"/>
        </w:rPr>
        <w:t> (202.62 → 203.33), essentially flat, despite headline tailwinds. </w:t>
      </w:r>
      <w:r w:rsidRPr="00F32DDC">
        <w:rPr>
          <w:iCs/>
          <w:lang w:val="en-GB"/>
        </w:rPr>
        <w:br/>
        <w:t>Analyst consensus: </w:t>
      </w:r>
      <w:r w:rsidRPr="00F32DDC">
        <w:rPr>
          <w:b/>
          <w:bCs/>
          <w:iCs/>
          <w:lang w:val="en-GB"/>
        </w:rPr>
        <w:t>Buy</w:t>
      </w:r>
      <w:r w:rsidRPr="00F32DDC">
        <w:rPr>
          <w:iCs/>
          <w:lang w:val="en-GB"/>
        </w:rPr>
        <w:t>, but price target below spot in the snapshot suggests analysts see limited upside after prior rerating or are cautious on execution and margins. </w:t>
      </w:r>
      <w:r w:rsidRPr="00F32DDC">
        <w:rPr>
          <w:iCs/>
          <w:lang w:val="en-GB"/>
        </w:rPr>
        <w:br/>
        <w:t>Key risks: procurement timing (budget and contracting lags), supply-chain constraints, and political risk; defense equities can underreact in the early phase if investors doubt duration. </w:t>
      </w:r>
    </w:p>
    <w:p w14:paraId="7B0ED1A2" w14:textId="77777777" w:rsidR="00F32DDC" w:rsidRPr="00F32DDC" w:rsidRDefault="00F32DDC" w:rsidP="00F32DDC">
      <w:pPr>
        <w:rPr>
          <w:iCs/>
          <w:lang w:val="en-GB"/>
        </w:rPr>
      </w:pPr>
      <w:r w:rsidRPr="00F32DDC">
        <w:rPr>
          <w:b/>
          <w:bCs/>
          <w:iCs/>
          <w:lang w:val="en-GB"/>
        </w:rPr>
        <w:t>Lockheed Martin (LMT)</w:t>
      </w:r>
      <w:r w:rsidRPr="00F32DDC">
        <w:rPr>
          <w:iCs/>
          <w:lang w:val="en-GB"/>
        </w:rPr>
        <w:br/>
        <w:t>Why it benefits: exposure to munitions, aerospace, and missile-defense systems; crisis-driven replenishment and allied orders are the mechanism. </w:t>
      </w:r>
      <w:r w:rsidRPr="00F32DDC">
        <w:rPr>
          <w:iCs/>
          <w:lang w:val="en-GB"/>
        </w:rPr>
        <w:br/>
        <w:t>Stock since Feb 27: </w:t>
      </w:r>
      <w:r w:rsidRPr="00F32DDC">
        <w:rPr>
          <w:b/>
          <w:bCs/>
          <w:iCs/>
          <w:lang w:val="en-GB"/>
        </w:rPr>
        <w:t>-3.3%</w:t>
      </w:r>
      <w:r w:rsidRPr="00F32DDC">
        <w:rPr>
          <w:iCs/>
          <w:lang w:val="en-GB"/>
        </w:rPr>
        <w:t> (658.08 → 636.33). </w:t>
      </w:r>
      <w:r w:rsidRPr="00F32DDC">
        <w:rPr>
          <w:iCs/>
          <w:lang w:val="en-GB"/>
        </w:rPr>
        <w:br/>
        <w:t>Analyst consensus: </w:t>
      </w:r>
      <w:r w:rsidRPr="00F32DDC">
        <w:rPr>
          <w:b/>
          <w:bCs/>
          <w:iCs/>
          <w:lang w:val="en-GB"/>
        </w:rPr>
        <w:t>Hold</w:t>
      </w:r>
      <w:r w:rsidRPr="00F32DDC">
        <w:rPr>
          <w:iCs/>
          <w:lang w:val="en-GB"/>
        </w:rPr>
        <w:t>, with price target below spot in the snapshot, consistent with market concerns about valuation, program mix, or procurement pacing. </w:t>
      </w:r>
      <w:r w:rsidRPr="00F32DDC">
        <w:rPr>
          <w:iCs/>
          <w:lang w:val="en-GB"/>
        </w:rPr>
        <w:br/>
        <w:t>Key risks: same-cycle underperformance if budgets delay; margin pressure from input costs; investor skepticism that “war headlines” translate into near-term earnings upgrades. </w:t>
      </w:r>
    </w:p>
    <w:p w14:paraId="028D1FFA" w14:textId="77777777" w:rsidR="00F32DDC" w:rsidRPr="00F32DDC" w:rsidRDefault="00F32DDC" w:rsidP="00F32DDC">
      <w:pPr>
        <w:rPr>
          <w:iCs/>
          <w:lang w:val="en-GB"/>
        </w:rPr>
      </w:pPr>
      <w:r w:rsidRPr="00F32DDC">
        <w:rPr>
          <w:b/>
          <w:bCs/>
          <w:iCs/>
          <w:lang w:val="en-GB"/>
        </w:rPr>
        <w:t>Important equity-level takeaway (inference):</w:t>
      </w:r>
      <w:r w:rsidRPr="00F32DDC">
        <w:rPr>
          <w:iCs/>
          <w:lang w:val="en-GB"/>
        </w:rPr>
        <w:t> In this episode, some “obvious” beneficiaries (tankers, defense primes) have shown </w:t>
      </w:r>
      <w:r w:rsidRPr="00F32DDC">
        <w:rPr>
          <w:b/>
          <w:bCs/>
          <w:iCs/>
          <w:lang w:val="en-GB"/>
        </w:rPr>
        <w:t>weak or mixed equity performance</w:t>
      </w:r>
      <w:r w:rsidRPr="00F32DDC">
        <w:rPr>
          <w:iCs/>
          <w:lang w:val="en-GB"/>
        </w:rPr>
        <w:t>, while upstream and select LNG exposure have performed more consistently. That divergence is where tactical opportunity can hide, but it also signals that markets are assigning meaningful probability to resolution, policy suppression of prices, or cost overhangs.</w:t>
      </w:r>
    </w:p>
    <w:p w14:paraId="7B10717D" w14:textId="77777777" w:rsidR="00F32DDC" w:rsidRPr="00F32DDC" w:rsidRDefault="00F32DDC" w:rsidP="00F32DDC">
      <w:pPr>
        <w:rPr>
          <w:iCs/>
          <w:lang w:val="en-GB"/>
        </w:rPr>
      </w:pPr>
      <w:r w:rsidRPr="00F32DDC">
        <w:rPr>
          <w:iCs/>
          <w:lang w:val="en-GB"/>
        </w:rPr>
        <w:pict w14:anchorId="34D337B3">
          <v:rect id="_x0000_i1071" style="width:0;height:0" o:hralign="center" o:hrstd="t" o:hr="t" fillcolor="#a0a0a0" stroked="f"/>
        </w:pict>
      </w:r>
    </w:p>
    <w:p w14:paraId="40DEC70B" w14:textId="77777777" w:rsidR="00F32DDC" w:rsidRPr="00F32DDC" w:rsidRDefault="00F32DDC" w:rsidP="00F32DDC">
      <w:pPr>
        <w:rPr>
          <w:b/>
          <w:bCs/>
          <w:iCs/>
          <w:lang w:val="en-GB"/>
        </w:rPr>
      </w:pPr>
      <w:r w:rsidRPr="00F32DDC">
        <w:rPr>
          <w:b/>
          <w:bCs/>
          <w:iCs/>
          <w:lang w:val="en-GB"/>
        </w:rPr>
        <w:t>Historical analogues</w:t>
      </w:r>
    </w:p>
    <w:p w14:paraId="3D86BA80" w14:textId="77777777" w:rsidR="00F32DDC" w:rsidRPr="00F32DDC" w:rsidRDefault="00F32DDC" w:rsidP="00F32DDC">
      <w:pPr>
        <w:rPr>
          <w:iCs/>
          <w:lang w:val="en-GB"/>
        </w:rPr>
      </w:pPr>
      <w:r w:rsidRPr="00F32DDC">
        <w:rPr>
          <w:b/>
          <w:bCs/>
          <w:iCs/>
          <w:lang w:val="en-GB"/>
        </w:rPr>
        <w:t>1973–74 Arab oil embargo</w:t>
      </w:r>
      <w:r w:rsidRPr="00F32DDC">
        <w:rPr>
          <w:iCs/>
          <w:lang w:val="en-GB"/>
        </w:rPr>
        <w:br/>
      </w:r>
      <w:r w:rsidRPr="00F32DDC">
        <w:rPr>
          <w:b/>
          <w:bCs/>
          <w:iCs/>
          <w:lang w:val="en-GB"/>
        </w:rPr>
        <w:t>Confirmed fact:</w:t>
      </w:r>
      <w:r w:rsidRPr="00F32DDC">
        <w:rPr>
          <w:iCs/>
          <w:lang w:val="en-GB"/>
        </w:rPr>
        <w:t> Large supply cuts contributed to a sharp oil-price repricing (often summarized as price quadrupling) and broad macro stress. </w:t>
      </w:r>
      <w:r w:rsidRPr="00F32DDC">
        <w:rPr>
          <w:iCs/>
          <w:lang w:val="en-GB"/>
        </w:rPr>
        <w:br/>
      </w:r>
      <w:r w:rsidRPr="00F32DDC">
        <w:rPr>
          <w:b/>
          <w:bCs/>
          <w:iCs/>
          <w:lang w:val="en-GB"/>
        </w:rPr>
        <w:t>What held for 6+ months (pattern):</w:t>
      </w:r>
      <w:r w:rsidRPr="00F32DDC">
        <w:rPr>
          <w:iCs/>
          <w:lang w:val="en-GB"/>
        </w:rPr>
        <w:t> upstream energy cash flows outperformed; inflation hedges generally did better than long duration; industrials and consumer cyclicals tended to struggle as costs rose. </w:t>
      </w:r>
      <w:r w:rsidRPr="00F32DDC">
        <w:rPr>
          <w:iCs/>
          <w:lang w:val="en-GB"/>
        </w:rPr>
        <w:br/>
      </w:r>
      <w:r w:rsidRPr="00F32DDC">
        <w:rPr>
          <w:b/>
          <w:bCs/>
          <w:iCs/>
          <w:lang w:val="en-GB"/>
        </w:rPr>
        <w:t>What reversed quickly:</w:t>
      </w:r>
      <w:r w:rsidRPr="00F32DDC">
        <w:rPr>
          <w:iCs/>
          <w:lang w:val="en-GB"/>
        </w:rPr>
        <w:t> short-term spikes in certain transport niches tended to mean-revert once supply and policy responses stabilized.</w:t>
      </w:r>
    </w:p>
    <w:p w14:paraId="74ADA19B" w14:textId="77777777" w:rsidR="00F32DDC" w:rsidRPr="00F32DDC" w:rsidRDefault="00F32DDC" w:rsidP="00F32DDC">
      <w:pPr>
        <w:rPr>
          <w:iCs/>
          <w:lang w:val="en-GB"/>
        </w:rPr>
      </w:pPr>
      <w:r w:rsidRPr="00F32DDC">
        <w:rPr>
          <w:b/>
          <w:bCs/>
          <w:iCs/>
          <w:lang w:val="en-GB"/>
        </w:rPr>
        <w:t>1978–80 Iranian revolution and second oil shock</w:t>
      </w:r>
      <w:r w:rsidRPr="00F32DDC">
        <w:rPr>
          <w:iCs/>
          <w:lang w:val="en-GB"/>
        </w:rPr>
        <w:br/>
      </w:r>
      <w:r w:rsidRPr="00F32DDC">
        <w:rPr>
          <w:b/>
          <w:bCs/>
          <w:iCs/>
          <w:lang w:val="en-GB"/>
        </w:rPr>
        <w:t>Confirmed fact:</w:t>
      </w:r>
      <w:r w:rsidRPr="00F32DDC">
        <w:rPr>
          <w:iCs/>
          <w:lang w:val="en-GB"/>
        </w:rPr>
        <w:t> Supply loss was limited in net terms (often estimated ~4–5% net), but prices rose sharply due to panic buying and inventory behavior, and the episode catalyzed longer-term shifts in supply (notably non-OPEC growth) and demand behavior. </w:t>
      </w:r>
      <w:r w:rsidRPr="00F32DDC">
        <w:rPr>
          <w:iCs/>
          <w:lang w:val="en-GB"/>
        </w:rPr>
        <w:br/>
      </w:r>
      <w:r w:rsidRPr="00F32DDC">
        <w:rPr>
          <w:b/>
          <w:bCs/>
          <w:iCs/>
          <w:lang w:val="en-GB"/>
        </w:rPr>
        <w:t>What held:</w:t>
      </w:r>
      <w:r w:rsidRPr="00F32DDC">
        <w:rPr>
          <w:iCs/>
          <w:lang w:val="en-GB"/>
        </w:rPr>
        <w:t> non-OPEC production response and long-cycle investments; energy security policy shifts; vehicle efficiency and demand-side changes. </w:t>
      </w:r>
      <w:r w:rsidRPr="00F32DDC">
        <w:rPr>
          <w:iCs/>
          <w:lang w:val="en-GB"/>
        </w:rPr>
        <w:br/>
      </w:r>
      <w:r w:rsidRPr="00F32DDC">
        <w:rPr>
          <w:b/>
          <w:bCs/>
          <w:iCs/>
          <w:lang w:val="en-GB"/>
        </w:rPr>
        <w:lastRenderedPageBreak/>
        <w:t>What reversed:</w:t>
      </w:r>
      <w:r w:rsidRPr="00F32DDC">
        <w:rPr>
          <w:iCs/>
          <w:lang w:val="en-GB"/>
        </w:rPr>
        <w:t> price spikes faded with recession and supply response, a reminder that “high prices cure high prices” with a lag. </w:t>
      </w:r>
    </w:p>
    <w:p w14:paraId="441DA0BC" w14:textId="77777777" w:rsidR="00F32DDC" w:rsidRPr="00F32DDC" w:rsidRDefault="00F32DDC" w:rsidP="00F32DDC">
      <w:pPr>
        <w:rPr>
          <w:iCs/>
          <w:lang w:val="en-GB"/>
        </w:rPr>
      </w:pPr>
      <w:r w:rsidRPr="00F32DDC">
        <w:rPr>
          <w:b/>
          <w:bCs/>
          <w:iCs/>
          <w:lang w:val="en-GB"/>
        </w:rPr>
        <w:t>2019 Abqaiq attacks</w:t>
      </w:r>
      <w:r w:rsidRPr="00F32DDC">
        <w:rPr>
          <w:iCs/>
          <w:lang w:val="en-GB"/>
        </w:rPr>
        <w:br/>
      </w:r>
      <w:r w:rsidRPr="00F32DDC">
        <w:rPr>
          <w:b/>
          <w:bCs/>
          <w:iCs/>
          <w:lang w:val="en-GB"/>
        </w:rPr>
        <w:t>Confirmed fact:</w:t>
      </w:r>
      <w:r w:rsidRPr="00F32DDC">
        <w:rPr>
          <w:iCs/>
          <w:lang w:val="en-GB"/>
        </w:rPr>
        <w:t> A ~5.7 mb/d outage drove a record intraday spike in Brent, but the market retraced as Saudi restoration and emergency measures reduced outage duration. </w:t>
      </w:r>
      <w:r w:rsidRPr="00F32DDC">
        <w:rPr>
          <w:iCs/>
          <w:lang w:val="en-GB"/>
        </w:rPr>
        <w:br/>
      </w:r>
      <w:r w:rsidRPr="00F32DDC">
        <w:rPr>
          <w:b/>
          <w:bCs/>
          <w:iCs/>
          <w:lang w:val="en-GB"/>
        </w:rPr>
        <w:t>What held:</w:t>
      </w:r>
      <w:r w:rsidRPr="00F32DDC">
        <w:rPr>
          <w:iCs/>
          <w:lang w:val="en-GB"/>
        </w:rPr>
        <w:t> very short-lived risk premium, strongest in front-month crude and related volatility. </w:t>
      </w:r>
      <w:r w:rsidRPr="00F32DDC">
        <w:rPr>
          <w:iCs/>
          <w:lang w:val="en-GB"/>
        </w:rPr>
        <w:br/>
      </w:r>
      <w:r w:rsidRPr="00F32DDC">
        <w:rPr>
          <w:b/>
          <w:bCs/>
          <w:iCs/>
          <w:lang w:val="en-GB"/>
        </w:rPr>
        <w:t>What reversed quickly:</w:t>
      </w:r>
      <w:r w:rsidRPr="00F32DDC">
        <w:rPr>
          <w:iCs/>
          <w:lang w:val="en-GB"/>
        </w:rPr>
        <w:t> most cross-sector “war premium” trades once outage duration shortened.</w:t>
      </w:r>
      <w:r w:rsidRPr="00F32DDC">
        <w:rPr>
          <w:iCs/>
          <w:lang w:val="en-GB"/>
        </w:rPr>
        <w:br/>
      </w:r>
      <w:r w:rsidRPr="00F32DDC">
        <w:rPr>
          <w:b/>
          <w:bCs/>
          <w:iCs/>
          <w:lang w:val="en-GB"/>
        </w:rPr>
        <w:t>What held:</w:t>
      </w:r>
      <w:r w:rsidRPr="00F32DDC">
        <w:rPr>
          <w:iCs/>
          <w:lang w:val="en-GB"/>
        </w:rPr>
        <w:t> LNG and non-Russian energy logistics benefited for multiple quarters; policy and infrastructure decisions (FSRUs, LNG contracting) had long tails. </w:t>
      </w:r>
    </w:p>
    <w:p w14:paraId="3FAC15A7" w14:textId="77777777" w:rsidR="00F32DDC" w:rsidRPr="00F32DDC" w:rsidRDefault="00F32DDC" w:rsidP="00F32DDC">
      <w:pPr>
        <w:rPr>
          <w:iCs/>
          <w:lang w:val="en-GB"/>
        </w:rPr>
      </w:pPr>
      <w:r w:rsidRPr="00F32DDC">
        <w:rPr>
          <w:b/>
          <w:bCs/>
          <w:iCs/>
          <w:lang w:val="en-GB"/>
        </w:rPr>
        <w:t>Meta-lesson for the current episode (inference):</w:t>
      </w:r>
      <w:r w:rsidRPr="00F32DDC">
        <w:rPr>
          <w:iCs/>
          <w:lang w:val="en-GB"/>
        </w:rPr>
        <w:t> The durability of beneficiary trades is usually determined less by the shock headline and more by (i) </w:t>
      </w:r>
      <w:r w:rsidRPr="00F32DDC">
        <w:rPr>
          <w:b/>
          <w:bCs/>
          <w:iCs/>
          <w:lang w:val="en-GB"/>
        </w:rPr>
        <w:t>physical constraint duration</w:t>
      </w:r>
      <w:r w:rsidRPr="00F32DDC">
        <w:rPr>
          <w:iCs/>
          <w:lang w:val="en-GB"/>
        </w:rPr>
        <w:t>, and (ii) </w:t>
      </w:r>
      <w:r w:rsidRPr="00F32DDC">
        <w:rPr>
          <w:b/>
          <w:bCs/>
          <w:iCs/>
          <w:lang w:val="en-GB"/>
        </w:rPr>
        <w:t>policy response function</w:t>
      </w:r>
      <w:r w:rsidRPr="00F32DDC">
        <w:rPr>
          <w:iCs/>
          <w:lang w:val="en-GB"/>
        </w:rPr>
        <w:t> (stocks release, demand destruction, supply response).</w:t>
      </w:r>
    </w:p>
    <w:p w14:paraId="47C77AD7" w14:textId="77777777" w:rsidR="00F32DDC" w:rsidRPr="00F32DDC" w:rsidRDefault="00F32DDC" w:rsidP="00F32DDC">
      <w:pPr>
        <w:rPr>
          <w:iCs/>
          <w:lang w:val="en-GB"/>
        </w:rPr>
      </w:pPr>
      <w:r w:rsidRPr="00F32DDC">
        <w:rPr>
          <w:iCs/>
          <w:lang w:val="en-GB"/>
        </w:rPr>
        <w:pict w14:anchorId="260C8E51">
          <v:rect id="_x0000_i1072" style="width:0;height:0" o:hralign="center" o:hrstd="t" o:hr="t" fillcolor="#a0a0a0" stroked="f"/>
        </w:pict>
      </w:r>
    </w:p>
    <w:p w14:paraId="4AC05568" w14:textId="77777777" w:rsidR="00F32DDC" w:rsidRPr="00F32DDC" w:rsidRDefault="00F32DDC" w:rsidP="00F32DDC">
      <w:pPr>
        <w:rPr>
          <w:b/>
          <w:bCs/>
          <w:iCs/>
          <w:lang w:val="en-GB"/>
        </w:rPr>
      </w:pPr>
      <w:r w:rsidRPr="00F32DDC">
        <w:rPr>
          <w:b/>
          <w:bCs/>
          <w:iCs/>
          <w:lang w:val="en-GB"/>
        </w:rPr>
        <w:t>Second and third-order effects and consensus gaps</w:t>
      </w:r>
    </w:p>
    <w:p w14:paraId="4F9965AD" w14:textId="77777777" w:rsidR="00F32DDC" w:rsidRPr="00F32DDC" w:rsidRDefault="00F32DDC" w:rsidP="00F32DDC">
      <w:pPr>
        <w:rPr>
          <w:b/>
          <w:bCs/>
          <w:iCs/>
          <w:lang w:val="en-GB"/>
        </w:rPr>
      </w:pPr>
      <w:r w:rsidRPr="00F32DDC">
        <w:rPr>
          <w:b/>
          <w:bCs/>
          <w:iCs/>
          <w:lang w:val="en-GB"/>
        </w:rPr>
        <w:t>Less-discussed investable consequences</w:t>
      </w:r>
    </w:p>
    <w:p w14:paraId="4ADE7118" w14:textId="77777777" w:rsidR="00F32DDC" w:rsidRPr="00F32DDC" w:rsidRDefault="00F32DDC" w:rsidP="00F32DDC">
      <w:pPr>
        <w:rPr>
          <w:iCs/>
          <w:lang w:val="en-GB"/>
        </w:rPr>
      </w:pPr>
      <w:r w:rsidRPr="00F32DDC">
        <w:rPr>
          <w:b/>
          <w:bCs/>
          <w:iCs/>
          <w:lang w:val="en-GB"/>
        </w:rPr>
        <w:t>Strategic oil release mechanics and future “refill demand”</w:t>
      </w:r>
      <w:r w:rsidRPr="00F32DDC">
        <w:rPr>
          <w:iCs/>
          <w:lang w:val="en-GB"/>
        </w:rPr>
        <w:br/>
      </w:r>
      <w:r w:rsidRPr="00F32DDC">
        <w:rPr>
          <w:b/>
          <w:bCs/>
          <w:iCs/>
          <w:lang w:val="en-GB"/>
        </w:rPr>
        <w:t>Confirmed fact:</w:t>
      </w:r>
      <w:r w:rsidRPr="00F32DDC">
        <w:rPr>
          <w:iCs/>
          <w:lang w:val="en-GB"/>
        </w:rPr>
        <w:t> The U.S. Department of Energy has outlined a U.S. contribution of </w:t>
      </w:r>
      <w:r w:rsidRPr="00F32DDC">
        <w:rPr>
          <w:b/>
          <w:bCs/>
          <w:iCs/>
          <w:lang w:val="en-GB"/>
        </w:rPr>
        <w:t>172 million barrels</w:t>
      </w:r>
      <w:r w:rsidRPr="00F32DDC">
        <w:rPr>
          <w:iCs/>
          <w:lang w:val="en-GB"/>
        </w:rPr>
        <w:t> as part of the coordinated effort, with deliveries planned over ~120 days. </w:t>
      </w:r>
      <w:r w:rsidRPr="00F32DDC">
        <w:rPr>
          <w:iCs/>
          <w:lang w:val="en-GB"/>
        </w:rPr>
        <w:br/>
      </w:r>
      <w:r w:rsidRPr="00F32DDC">
        <w:rPr>
          <w:b/>
          <w:bCs/>
          <w:iCs/>
          <w:lang w:val="en-GB"/>
        </w:rPr>
        <w:t>Confirmed fact:</w:t>
      </w:r>
      <w:r w:rsidRPr="00F32DDC">
        <w:rPr>
          <w:iCs/>
          <w:lang w:val="en-GB"/>
        </w:rPr>
        <w:t> Reporting also notes the U.S. is pursuing SPR “swap/loan” mechanics with significant in-kind premia and repayment windows extending into 2026–2028, which creates an embedded future demand component if/when refills occur. </w:t>
      </w:r>
      <w:r w:rsidRPr="00F32DDC">
        <w:rPr>
          <w:iCs/>
          <w:lang w:val="en-GB"/>
        </w:rPr>
        <w:br/>
      </w:r>
      <w:r w:rsidRPr="00F32DDC">
        <w:rPr>
          <w:b/>
          <w:bCs/>
          <w:iCs/>
          <w:lang w:val="en-GB"/>
        </w:rPr>
        <w:t>Inference:</w:t>
      </w:r>
      <w:r w:rsidRPr="00F32DDC">
        <w:rPr>
          <w:iCs/>
          <w:lang w:val="en-GB"/>
        </w:rPr>
        <w:t> This can create a two-stage trade, short-term price suppression from releases, then a medium-term floor if refills become politically acceptable.</w:t>
      </w:r>
    </w:p>
    <w:p w14:paraId="52A577FD" w14:textId="77777777" w:rsidR="00F32DDC" w:rsidRPr="00F32DDC" w:rsidRDefault="00F32DDC" w:rsidP="00F32DDC">
      <w:pPr>
        <w:rPr>
          <w:iCs/>
          <w:lang w:val="en-GB"/>
        </w:rPr>
      </w:pPr>
      <w:r w:rsidRPr="00F32DDC">
        <w:rPr>
          <w:b/>
          <w:bCs/>
          <w:iCs/>
          <w:lang w:val="en-GB"/>
        </w:rPr>
        <w:t>Ports, storage, and bunkering as “invisible winners”</w:t>
      </w:r>
      <w:r w:rsidRPr="00F32DDC">
        <w:rPr>
          <w:iCs/>
          <w:lang w:val="en-GB"/>
        </w:rPr>
        <w:br/>
      </w:r>
      <w:r w:rsidRPr="00F32DDC">
        <w:rPr>
          <w:b/>
          <w:bCs/>
          <w:iCs/>
          <w:lang w:val="en-GB"/>
        </w:rPr>
        <w:t>Confirmed fact:</w:t>
      </w:r>
      <w:r w:rsidRPr="00F32DDC">
        <w:rPr>
          <w:iCs/>
          <w:lang w:val="en-GB"/>
        </w:rPr>
        <w:t> Fujairah is reported to have exported &gt;1.7 mb/d of crude and refined fuels in the prior year, and it is described as a major bunker-fuel hub with substantial storage capacity, which makes it a critical node when routing shifts outside Hormuz. </w:t>
      </w:r>
      <w:r w:rsidRPr="00F32DDC">
        <w:rPr>
          <w:iCs/>
          <w:lang w:val="en-GB"/>
        </w:rPr>
        <w:br/>
      </w:r>
      <w:r w:rsidRPr="00F32DDC">
        <w:rPr>
          <w:b/>
          <w:bCs/>
          <w:iCs/>
          <w:lang w:val="en-GB"/>
        </w:rPr>
        <w:t>Inference:</w:t>
      </w:r>
      <w:r w:rsidRPr="00F32DDC">
        <w:rPr>
          <w:iCs/>
          <w:lang w:val="en-GB"/>
        </w:rPr>
        <w:t> Listed storage and logistics owners with meaningful exposure to strategic hubs can see margin uplift without needing commodity price exposure, and markets often underweight this because it is “midstream plumbing,” not a headline trade.</w:t>
      </w:r>
    </w:p>
    <w:p w14:paraId="30F90FAF" w14:textId="77777777" w:rsidR="00F32DDC" w:rsidRPr="00F32DDC" w:rsidRDefault="00F32DDC" w:rsidP="00F32DDC">
      <w:pPr>
        <w:rPr>
          <w:iCs/>
          <w:lang w:val="en-GB"/>
        </w:rPr>
      </w:pPr>
      <w:r w:rsidRPr="00F32DDC">
        <w:rPr>
          <w:b/>
          <w:bCs/>
          <w:iCs/>
          <w:lang w:val="en-GB"/>
        </w:rPr>
        <w:t>Canal economics and LNG re-optimization</w:t>
      </w:r>
      <w:r w:rsidRPr="00F32DDC">
        <w:rPr>
          <w:iCs/>
          <w:lang w:val="en-GB"/>
        </w:rPr>
        <w:br/>
      </w:r>
      <w:r w:rsidRPr="00F32DDC">
        <w:rPr>
          <w:b/>
          <w:bCs/>
          <w:iCs/>
          <w:lang w:val="en-GB"/>
        </w:rPr>
        <w:t>Confirmed fact:</w:t>
      </w:r>
      <w:r w:rsidRPr="00F32DDC">
        <w:rPr>
          <w:iCs/>
          <w:lang w:val="en-GB"/>
        </w:rPr>
        <w:t> The Panama Canal administrator explicitly flagged potential traffic gains as shipping economics shift under higher fuel costs, including LNG routing changes. </w:t>
      </w:r>
      <w:r w:rsidRPr="00F32DDC">
        <w:rPr>
          <w:iCs/>
          <w:lang w:val="en-GB"/>
        </w:rPr>
        <w:br/>
      </w:r>
      <w:r w:rsidRPr="00F32DDC">
        <w:rPr>
          <w:b/>
          <w:bCs/>
          <w:iCs/>
          <w:lang w:val="en-GB"/>
        </w:rPr>
        <w:t>Inference:</w:t>
      </w:r>
      <w:r w:rsidRPr="00F32DDC">
        <w:rPr>
          <w:iCs/>
          <w:lang w:val="en-GB"/>
        </w:rPr>
        <w:t> This is a second-order beneficiary that becomes more plausible if (a) the disruption persists, and (b) LNG flows increasingly arbitrage Atlantic to Pacific markets.</w:t>
      </w:r>
    </w:p>
    <w:p w14:paraId="5DDB8031" w14:textId="77777777" w:rsidR="00F32DDC" w:rsidRPr="00F32DDC" w:rsidRDefault="00F32DDC" w:rsidP="00F32DDC">
      <w:pPr>
        <w:rPr>
          <w:b/>
          <w:bCs/>
          <w:iCs/>
          <w:lang w:val="en-GB"/>
        </w:rPr>
      </w:pPr>
      <w:r w:rsidRPr="00F32DDC">
        <w:rPr>
          <w:b/>
          <w:bCs/>
          <w:iCs/>
          <w:lang w:val="en-GB"/>
        </w:rPr>
        <w:lastRenderedPageBreak/>
        <w:t>What consensus may be missing</w:t>
      </w:r>
    </w:p>
    <w:p w14:paraId="48D1CCEA" w14:textId="77777777" w:rsidR="00F32DDC" w:rsidRPr="00F32DDC" w:rsidRDefault="00F32DDC" w:rsidP="00F32DDC">
      <w:pPr>
        <w:rPr>
          <w:iCs/>
          <w:lang w:val="en-GB"/>
        </w:rPr>
      </w:pPr>
      <w:r w:rsidRPr="00F32DDC">
        <w:rPr>
          <w:b/>
          <w:bCs/>
          <w:iCs/>
          <w:lang w:val="en-GB"/>
        </w:rPr>
        <w:t>Potentially under-priced: tanker “convexity” vs. equity tape</w:t>
      </w:r>
      <w:r w:rsidRPr="00F32DDC">
        <w:rPr>
          <w:iCs/>
          <w:lang w:val="en-GB"/>
        </w:rPr>
        <w:br/>
        <w:t>The physical freight setup (war risk, effective supply shrinkage, rerouting) is supportive, yet major tanker equities are down versus pre-event levels in this short window. That disconnect can mean either (i) the market expects fast resolution, or (ii) investors fear cost/operational incidents more than rate upside. If the closure persists into a multi-month regime, the convexity in spot rates can reassert and force upward earnings revisions. </w:t>
      </w:r>
    </w:p>
    <w:p w14:paraId="33AF032D" w14:textId="77777777" w:rsidR="00F32DDC" w:rsidRPr="00F32DDC" w:rsidRDefault="00F32DDC" w:rsidP="00F32DDC">
      <w:pPr>
        <w:rPr>
          <w:iCs/>
          <w:lang w:val="en-GB"/>
        </w:rPr>
      </w:pPr>
      <w:r w:rsidRPr="00F32DDC">
        <w:rPr>
          <w:b/>
          <w:bCs/>
          <w:iCs/>
          <w:lang w:val="en-GB"/>
        </w:rPr>
        <w:t>Potentially over-priced: upstream beta without duration</w:t>
      </w:r>
      <w:r w:rsidRPr="00F32DDC">
        <w:rPr>
          <w:iCs/>
          <w:lang w:val="en-GB"/>
        </w:rPr>
        <w:br/>
        <w:t>Some upstream names have rerated quickly, while consensus price targets sit below spot for several majors and E&amp;Ps, consistent with a market that has already “pulled forward” a chunk of the benefit and is now debating duration. </w:t>
      </w:r>
    </w:p>
    <w:p w14:paraId="5C19AAD7" w14:textId="77777777" w:rsidR="00F32DDC" w:rsidRPr="00F32DDC" w:rsidRDefault="00F32DDC" w:rsidP="00F32DDC">
      <w:pPr>
        <w:rPr>
          <w:iCs/>
          <w:lang w:val="en-GB"/>
        </w:rPr>
      </w:pPr>
      <w:r w:rsidRPr="00F32DDC">
        <w:rPr>
          <w:b/>
          <w:bCs/>
          <w:iCs/>
          <w:lang w:val="en-GB"/>
        </w:rPr>
        <w:t>Most contrarian credible thesis (inference):</w:t>
      </w:r>
      <w:r w:rsidRPr="00F32DDC">
        <w:rPr>
          <w:iCs/>
          <w:lang w:val="en-GB"/>
        </w:rPr>
        <w:t> The biggest underappreciated beneficiary could be </w:t>
      </w:r>
      <w:r w:rsidRPr="00F32DDC">
        <w:rPr>
          <w:b/>
          <w:bCs/>
          <w:iCs/>
          <w:lang w:val="en-GB"/>
        </w:rPr>
        <w:t>infrastructure self-help</w:t>
      </w:r>
      <w:r w:rsidRPr="00F32DDC">
        <w:rPr>
          <w:iCs/>
          <w:lang w:val="en-GB"/>
        </w:rPr>
        <w:t> (pipelines, storage, and route diversification capex) rather than pure commodity exposure, because policy and corporate buyers tend to “buy insurance” after visible chokepoint failure, even when spot prices normalize. The EIA’s emphasis on limited bypass capacity and the rapid pivot toward East-West and Fujairah systems supports the logic that “route optionality” itself becomes monetizable. </w:t>
      </w:r>
    </w:p>
    <w:p w14:paraId="5FBBDD9C" w14:textId="77777777" w:rsidR="00F32DDC" w:rsidRPr="00F32DDC" w:rsidRDefault="00F32DDC" w:rsidP="00F32DDC">
      <w:pPr>
        <w:rPr>
          <w:iCs/>
          <w:lang w:val="en-GB"/>
        </w:rPr>
      </w:pPr>
      <w:r w:rsidRPr="00F32DDC">
        <w:rPr>
          <w:b/>
          <w:bCs/>
          <w:iCs/>
          <w:lang w:val="en-GB"/>
        </w:rPr>
        <w:t>Data gaps to flag explicitly:</w:t>
      </w:r>
      <w:r w:rsidRPr="00F32DDC">
        <w:rPr>
          <w:iCs/>
          <w:lang w:val="en-GB"/>
        </w:rPr>
        <w:t> Public, audited quantification of (i) real-time war-risk insurance pricing, (ii) exact vessel counts and cargo volumes by flag/affiliation, and (iii) company-level hedging (many upstream firms hedge less than commonly assumed, but specifics vary) is incomplete in open sources at this stage, so second-order P&amp;L impacts must be treated as probabilistic rather than known.</w:t>
      </w:r>
    </w:p>
    <w:p w14:paraId="45318BE7" w14:textId="77777777" w:rsidR="00F32DDC" w:rsidRPr="00F32DDC" w:rsidRDefault="00F32DDC" w:rsidP="00F32DDC">
      <w:pPr>
        <w:rPr>
          <w:iCs/>
          <w:lang w:val="en-GB"/>
        </w:rPr>
      </w:pPr>
      <w:r w:rsidRPr="00F32DDC">
        <w:rPr>
          <w:iCs/>
          <w:lang w:val="en-GB"/>
        </w:rPr>
        <w:pict w14:anchorId="4ABC8D6C">
          <v:rect id="_x0000_i1073" style="width:0;height:0" o:hralign="center" o:hrstd="t" o:hr="t" fillcolor="#a0a0a0" stroked="f"/>
        </w:pict>
      </w:r>
    </w:p>
    <w:p w14:paraId="18D0FBC8" w14:textId="77777777" w:rsidR="00F32DDC" w:rsidRPr="00F32DDC" w:rsidRDefault="00F32DDC" w:rsidP="00F32DDC">
      <w:pPr>
        <w:rPr>
          <w:b/>
          <w:bCs/>
          <w:iCs/>
          <w:lang w:val="en-GB"/>
        </w:rPr>
      </w:pPr>
      <w:r w:rsidRPr="00F32DDC">
        <w:rPr>
          <w:b/>
          <w:bCs/>
          <w:iCs/>
          <w:lang w:val="en-GB"/>
        </w:rPr>
        <w:t>Catalyst calendar</w:t>
      </w:r>
    </w:p>
    <w:p w14:paraId="2457D97C" w14:textId="77777777" w:rsidR="00F32DDC" w:rsidRPr="00F32DDC" w:rsidRDefault="00F32DDC" w:rsidP="00F32DDC">
      <w:pPr>
        <w:rPr>
          <w:iCs/>
          <w:lang w:val="en-GB"/>
        </w:rPr>
      </w:pPr>
      <w:r w:rsidRPr="00F32DDC">
        <w:rPr>
          <w:b/>
          <w:bCs/>
          <w:iCs/>
          <w:lang w:val="en-GB"/>
        </w:rPr>
        <w:t>Policy and market-structure catalysts</w:t>
      </w:r>
    </w:p>
    <w:p w14:paraId="593F3BDE" w14:textId="77777777" w:rsidR="00F32DDC" w:rsidRPr="00F32DDC" w:rsidRDefault="00F32DDC" w:rsidP="00F32DDC">
      <w:pPr>
        <w:numPr>
          <w:ilvl w:val="0"/>
          <w:numId w:val="12"/>
        </w:numPr>
        <w:rPr>
          <w:iCs/>
          <w:lang w:val="en-GB"/>
        </w:rPr>
      </w:pPr>
      <w:r w:rsidRPr="00F32DDC">
        <w:rPr>
          <w:b/>
          <w:bCs/>
          <w:iCs/>
          <w:lang w:val="en-GB"/>
        </w:rPr>
        <w:t>IEA Oil Market Report release dates (10:00 Paris time):</w:t>
      </w:r>
      <w:r w:rsidRPr="00F32DDC">
        <w:rPr>
          <w:iCs/>
          <w:lang w:val="en-GB"/>
        </w:rPr>
        <w:t> </w:t>
      </w:r>
      <w:r w:rsidRPr="00F32DDC">
        <w:rPr>
          <w:b/>
          <w:bCs/>
          <w:iCs/>
          <w:lang w:val="en-GB"/>
        </w:rPr>
        <w:t>14 Apr 2026</w:t>
      </w:r>
      <w:r w:rsidRPr="00F32DDC">
        <w:rPr>
          <w:iCs/>
          <w:lang w:val="en-GB"/>
        </w:rPr>
        <w:t>, </w:t>
      </w:r>
      <w:r w:rsidRPr="00F32DDC">
        <w:rPr>
          <w:b/>
          <w:bCs/>
          <w:iCs/>
          <w:lang w:val="en-GB"/>
        </w:rPr>
        <w:t>13 May 2026</w:t>
      </w:r>
      <w:r w:rsidRPr="00F32DDC">
        <w:rPr>
          <w:iCs/>
          <w:lang w:val="en-GB"/>
        </w:rPr>
        <w:t>, </w:t>
      </w:r>
      <w:r w:rsidRPr="00F32DDC">
        <w:rPr>
          <w:b/>
          <w:bCs/>
          <w:iCs/>
          <w:lang w:val="en-GB"/>
        </w:rPr>
        <w:t>17 Jun 2026</w:t>
      </w:r>
      <w:r w:rsidRPr="00F32DDC">
        <w:rPr>
          <w:iCs/>
          <w:lang w:val="en-GB"/>
        </w:rPr>
        <w:t> (and further monthly dates published in the IEA schedule). These matter because the IEA is actively re-forecasting supply, demand, and disruption magnitude, which can reprice the whole complex. </w:t>
      </w:r>
    </w:p>
    <w:p w14:paraId="69E89AF9" w14:textId="77777777" w:rsidR="00F32DDC" w:rsidRPr="00F32DDC" w:rsidRDefault="00F32DDC" w:rsidP="00F32DDC">
      <w:pPr>
        <w:numPr>
          <w:ilvl w:val="0"/>
          <w:numId w:val="12"/>
        </w:numPr>
        <w:rPr>
          <w:iCs/>
          <w:lang w:val="en-GB"/>
        </w:rPr>
      </w:pPr>
      <w:r w:rsidRPr="00F32DDC">
        <w:rPr>
          <w:b/>
          <w:bCs/>
          <w:iCs/>
          <w:lang w:val="en-GB"/>
        </w:rPr>
        <w:t>OPEC+ eight-country meeting cadence:</w:t>
      </w:r>
      <w:r w:rsidRPr="00F32DDC">
        <w:rPr>
          <w:iCs/>
          <w:lang w:val="en-GB"/>
        </w:rPr>
        <w:t> OPEC states these members meet monthly and explicitly references a meeting on </w:t>
      </w:r>
      <w:r w:rsidRPr="00F32DDC">
        <w:rPr>
          <w:b/>
          <w:bCs/>
          <w:iCs/>
          <w:lang w:val="en-GB"/>
        </w:rPr>
        <w:t>1 Mar 2026</w:t>
      </w:r>
      <w:r w:rsidRPr="00F32DDC">
        <w:rPr>
          <w:iCs/>
          <w:lang w:val="en-GB"/>
        </w:rPr>
        <w:t>; other reporting points to the next key date </w:t>
      </w:r>
      <w:r w:rsidRPr="00F32DDC">
        <w:rPr>
          <w:b/>
          <w:bCs/>
          <w:iCs/>
          <w:lang w:val="en-GB"/>
        </w:rPr>
        <w:t>5 Apr 2026</w:t>
      </w:r>
      <w:r w:rsidRPr="00F32DDC">
        <w:rPr>
          <w:iCs/>
          <w:lang w:val="en-GB"/>
        </w:rPr>
        <w:t> for the group. Output guidance here can amplify or offset the shock premium. </w:t>
      </w:r>
    </w:p>
    <w:p w14:paraId="1B8E2ECE" w14:textId="77777777" w:rsidR="00F32DDC" w:rsidRPr="00F32DDC" w:rsidRDefault="00F32DDC" w:rsidP="00F32DDC">
      <w:pPr>
        <w:numPr>
          <w:ilvl w:val="0"/>
          <w:numId w:val="12"/>
        </w:numPr>
        <w:rPr>
          <w:iCs/>
          <w:lang w:val="en-GB"/>
        </w:rPr>
      </w:pPr>
      <w:r w:rsidRPr="00F32DDC">
        <w:rPr>
          <w:b/>
          <w:bCs/>
          <w:iCs/>
          <w:lang w:val="en-GB"/>
        </w:rPr>
        <w:t>U.S. SPR delivery window:</w:t>
      </w:r>
      <w:r w:rsidRPr="00F32DDC">
        <w:rPr>
          <w:iCs/>
          <w:lang w:val="en-GB"/>
        </w:rPr>
        <w:t> DOE indicates releases begin “next week” from March 11 and run roughly </w:t>
      </w:r>
      <w:r w:rsidRPr="00F32DDC">
        <w:rPr>
          <w:b/>
          <w:bCs/>
          <w:iCs/>
          <w:lang w:val="en-GB"/>
        </w:rPr>
        <w:t>~120 days</w:t>
      </w:r>
      <w:r w:rsidRPr="00F32DDC">
        <w:rPr>
          <w:iCs/>
          <w:lang w:val="en-GB"/>
        </w:rPr>
        <w:t>, while reporting highlights swap/loan terms and repayment into </w:t>
      </w:r>
      <w:r w:rsidRPr="00F32DDC">
        <w:rPr>
          <w:b/>
          <w:bCs/>
          <w:iCs/>
          <w:lang w:val="en-GB"/>
        </w:rPr>
        <w:t>Nov 2026–Sep 2028</w:t>
      </w:r>
      <w:r w:rsidRPr="00F32DDC">
        <w:rPr>
          <w:iCs/>
          <w:lang w:val="en-GB"/>
        </w:rPr>
        <w:t>, both of which can move the forward curve. </w:t>
      </w:r>
    </w:p>
    <w:p w14:paraId="38A66157" w14:textId="77777777" w:rsidR="00F32DDC" w:rsidRPr="00F32DDC" w:rsidRDefault="00F32DDC" w:rsidP="00F32DDC">
      <w:pPr>
        <w:rPr>
          <w:iCs/>
          <w:lang w:val="en-GB"/>
        </w:rPr>
      </w:pPr>
      <w:r w:rsidRPr="00F32DDC">
        <w:rPr>
          <w:b/>
          <w:bCs/>
          <w:iCs/>
          <w:lang w:val="en-GB"/>
        </w:rPr>
        <w:lastRenderedPageBreak/>
        <w:t>Company catalysts for the highlighted equity basket (earnings dates per StockAnalysis snapshots)</w:t>
      </w:r>
    </w:p>
    <w:p w14:paraId="61F10B8A" w14:textId="77777777" w:rsidR="00F32DDC" w:rsidRPr="00F32DDC" w:rsidRDefault="00F32DDC" w:rsidP="00F32DDC">
      <w:pPr>
        <w:numPr>
          <w:ilvl w:val="0"/>
          <w:numId w:val="13"/>
        </w:numPr>
        <w:rPr>
          <w:iCs/>
          <w:lang w:val="en-GB"/>
        </w:rPr>
      </w:pPr>
      <w:r w:rsidRPr="00F32DDC">
        <w:rPr>
          <w:iCs/>
          <w:lang w:val="en-GB"/>
        </w:rPr>
        <w:t>Exxon Mobil: earnings date shown as </w:t>
      </w:r>
      <w:r w:rsidRPr="00F32DDC">
        <w:rPr>
          <w:b/>
          <w:bCs/>
          <w:iCs/>
          <w:lang w:val="en-GB"/>
        </w:rPr>
        <w:t>2 Apr 2026</w:t>
      </w:r>
      <w:r w:rsidRPr="00F32DDC">
        <w:rPr>
          <w:iCs/>
          <w:lang w:val="en-GB"/>
        </w:rPr>
        <w:t>, a key reset for buybacks, downstream margins, and realized pricing commentary. </w:t>
      </w:r>
    </w:p>
    <w:p w14:paraId="77548B2A" w14:textId="77777777" w:rsidR="00F32DDC" w:rsidRPr="00F32DDC" w:rsidRDefault="00F32DDC" w:rsidP="00F32DDC">
      <w:pPr>
        <w:numPr>
          <w:ilvl w:val="0"/>
          <w:numId w:val="13"/>
        </w:numPr>
        <w:rPr>
          <w:iCs/>
          <w:lang w:val="en-GB"/>
        </w:rPr>
      </w:pPr>
      <w:r w:rsidRPr="00F32DDC">
        <w:rPr>
          <w:iCs/>
          <w:lang w:val="en-GB"/>
        </w:rPr>
        <w:t>RTX and Lockheed Martin: earnings dates shown as </w:t>
      </w:r>
      <w:r w:rsidRPr="00F32DDC">
        <w:rPr>
          <w:b/>
          <w:bCs/>
          <w:iCs/>
          <w:lang w:val="en-GB"/>
        </w:rPr>
        <w:t>21 Apr 2026</w:t>
      </w:r>
      <w:r w:rsidRPr="00F32DDC">
        <w:rPr>
          <w:iCs/>
          <w:lang w:val="en-GB"/>
        </w:rPr>
        <w:t>, important for munitions demand commentary and production constraints. </w:t>
      </w:r>
    </w:p>
    <w:p w14:paraId="016BC8E4" w14:textId="77777777" w:rsidR="00F32DDC" w:rsidRPr="00F32DDC" w:rsidRDefault="00F32DDC" w:rsidP="00F32DDC">
      <w:pPr>
        <w:numPr>
          <w:ilvl w:val="0"/>
          <w:numId w:val="13"/>
        </w:numPr>
        <w:rPr>
          <w:iCs/>
          <w:lang w:val="en-GB"/>
        </w:rPr>
      </w:pPr>
      <w:r w:rsidRPr="00F32DDC">
        <w:rPr>
          <w:iCs/>
          <w:lang w:val="en-GB"/>
        </w:rPr>
        <w:t>Equinor: earnings date shown as </w:t>
      </w:r>
      <w:r w:rsidRPr="00F32DDC">
        <w:rPr>
          <w:b/>
          <w:bCs/>
          <w:iCs/>
          <w:lang w:val="en-GB"/>
        </w:rPr>
        <w:t>29 Apr 2026</w:t>
      </w:r>
      <w:r w:rsidRPr="00F32DDC">
        <w:rPr>
          <w:iCs/>
          <w:lang w:val="en-GB"/>
        </w:rPr>
        <w:t>, key for dividend/buyback signaling and Europe-related price realizations. </w:t>
      </w:r>
    </w:p>
    <w:p w14:paraId="1F068568" w14:textId="77777777" w:rsidR="00F32DDC" w:rsidRPr="00F32DDC" w:rsidRDefault="00F32DDC" w:rsidP="00F32DDC">
      <w:pPr>
        <w:numPr>
          <w:ilvl w:val="0"/>
          <w:numId w:val="13"/>
        </w:numPr>
        <w:rPr>
          <w:iCs/>
          <w:lang w:val="en-GB"/>
        </w:rPr>
      </w:pPr>
      <w:r w:rsidRPr="00F32DDC">
        <w:rPr>
          <w:iCs/>
          <w:lang w:val="en-GB"/>
        </w:rPr>
        <w:t>EOG Resources and Scorpio Tankers: earnings dates shown as </w:t>
      </w:r>
      <w:r w:rsidRPr="00F32DDC">
        <w:rPr>
          <w:b/>
          <w:bCs/>
          <w:iCs/>
          <w:lang w:val="en-GB"/>
        </w:rPr>
        <w:t>30 Apr 2026</w:t>
      </w:r>
      <w:r w:rsidRPr="00F32DDC">
        <w:rPr>
          <w:iCs/>
          <w:lang w:val="en-GB"/>
        </w:rPr>
        <w:t>, useful for capex discipline (EOG) and rate/charter commentary (STNG). </w:t>
      </w:r>
    </w:p>
    <w:p w14:paraId="5838B18F" w14:textId="77777777" w:rsidR="00F32DDC" w:rsidRPr="00F32DDC" w:rsidRDefault="00F32DDC" w:rsidP="00F32DDC">
      <w:pPr>
        <w:numPr>
          <w:ilvl w:val="0"/>
          <w:numId w:val="13"/>
        </w:numPr>
        <w:rPr>
          <w:iCs/>
          <w:lang w:val="en-GB"/>
        </w:rPr>
      </w:pPr>
      <w:r w:rsidRPr="00F32DDC">
        <w:rPr>
          <w:iCs/>
          <w:lang w:val="en-GB"/>
        </w:rPr>
        <w:t>Chevron: earnings date shown as </w:t>
      </w:r>
      <w:r w:rsidRPr="00F32DDC">
        <w:rPr>
          <w:b/>
          <w:bCs/>
          <w:iCs/>
          <w:lang w:val="en-GB"/>
        </w:rPr>
        <w:t>1 May 2026</w:t>
      </w:r>
      <w:r w:rsidRPr="00F32DDC">
        <w:rPr>
          <w:iCs/>
          <w:lang w:val="en-GB"/>
        </w:rPr>
        <w:t>, offering another read on realized pricing and capital returns. </w:t>
      </w:r>
    </w:p>
    <w:p w14:paraId="1200AAEF" w14:textId="77777777" w:rsidR="00F32DDC" w:rsidRPr="00F32DDC" w:rsidRDefault="00F32DDC" w:rsidP="00F32DDC">
      <w:pPr>
        <w:numPr>
          <w:ilvl w:val="0"/>
          <w:numId w:val="13"/>
        </w:numPr>
        <w:rPr>
          <w:iCs/>
          <w:lang w:val="en-GB"/>
        </w:rPr>
      </w:pPr>
      <w:r w:rsidRPr="00F32DDC">
        <w:rPr>
          <w:iCs/>
          <w:lang w:val="en-GB"/>
        </w:rPr>
        <w:t>Cheniere Energy and ConocoPhillips: earnings dates shown as </w:t>
      </w:r>
      <w:r w:rsidRPr="00F32DDC">
        <w:rPr>
          <w:b/>
          <w:bCs/>
          <w:iCs/>
          <w:lang w:val="en-GB"/>
        </w:rPr>
        <w:t>7 May 2026</w:t>
      </w:r>
      <w:r w:rsidRPr="00F32DDC">
        <w:rPr>
          <w:iCs/>
          <w:lang w:val="en-GB"/>
        </w:rPr>
        <w:t>, critical for LNG contracting, marketing margins, and any updated guidance. </w:t>
      </w:r>
    </w:p>
    <w:p w14:paraId="3EAA44E0" w14:textId="77777777" w:rsidR="00F32DDC" w:rsidRPr="00F32DDC" w:rsidRDefault="00F32DDC" w:rsidP="00F32DDC">
      <w:pPr>
        <w:rPr>
          <w:iCs/>
          <w:lang w:val="en-GB"/>
        </w:rPr>
      </w:pPr>
      <w:r w:rsidRPr="00F32DDC">
        <w:rPr>
          <w:b/>
          <w:bCs/>
          <w:iCs/>
          <w:lang w:val="en-GB"/>
        </w:rPr>
        <w:t>Operational “watch points” (high impact, hard to date)</w:t>
      </w:r>
    </w:p>
    <w:p w14:paraId="25212C1B" w14:textId="77777777" w:rsidR="00F32DDC" w:rsidRPr="00F32DDC" w:rsidRDefault="00F32DDC" w:rsidP="00F32DDC">
      <w:pPr>
        <w:numPr>
          <w:ilvl w:val="0"/>
          <w:numId w:val="14"/>
        </w:numPr>
        <w:rPr>
          <w:iCs/>
          <w:lang w:val="en-GB"/>
        </w:rPr>
      </w:pPr>
      <w:r w:rsidRPr="00F32DDC">
        <w:rPr>
          <w:iCs/>
          <w:lang w:val="en-GB"/>
        </w:rPr>
        <w:t>Any verified reopening, convoying, or minesweeping operations, or credible escalation affecting bypass nodes (Fujairah, Red Sea terminals) can reprice tankers, defense, and the commodity curve quickly. </w:t>
      </w:r>
    </w:p>
    <w:p w14:paraId="3E8B02B7" w14:textId="59F6E52A" w:rsidR="00D472DE" w:rsidRPr="00F32DDC" w:rsidRDefault="00D472DE">
      <w:pPr>
        <w:rPr>
          <w:iCs/>
          <w:lang w:val="en-GB"/>
        </w:rPr>
      </w:pPr>
    </w:p>
    <w:sectPr w:rsidR="00D472DE" w:rsidRPr="00F32DDC" w:rsidSect="00034616">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FE550" w14:textId="77777777" w:rsidR="003B41D9" w:rsidRDefault="003B41D9" w:rsidP="00F32DDC">
      <w:pPr>
        <w:spacing w:after="0" w:line="240" w:lineRule="auto"/>
      </w:pPr>
      <w:r>
        <w:separator/>
      </w:r>
    </w:p>
  </w:endnote>
  <w:endnote w:type="continuationSeparator" w:id="0">
    <w:p w14:paraId="4DB30313" w14:textId="77777777" w:rsidR="003B41D9" w:rsidRDefault="003B41D9" w:rsidP="00F32D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941DF" w14:textId="77777777" w:rsidR="00F32DDC" w:rsidRDefault="00F32D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38B8" w14:textId="77777777" w:rsidR="00F32DDC" w:rsidRDefault="00F32DD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21F4C" w14:textId="77777777" w:rsidR="00F32DDC" w:rsidRDefault="00F32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0E368" w14:textId="77777777" w:rsidR="003B41D9" w:rsidRDefault="003B41D9" w:rsidP="00F32DDC">
      <w:pPr>
        <w:spacing w:after="0" w:line="240" w:lineRule="auto"/>
      </w:pPr>
      <w:r>
        <w:separator/>
      </w:r>
    </w:p>
  </w:footnote>
  <w:footnote w:type="continuationSeparator" w:id="0">
    <w:p w14:paraId="0584D30D" w14:textId="77777777" w:rsidR="003B41D9" w:rsidRDefault="003B41D9" w:rsidP="00F32D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B76BA" w14:textId="77777777" w:rsidR="00F32DDC" w:rsidRDefault="00F32DD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2B8A6" w14:textId="77777777" w:rsidR="00F32DDC" w:rsidRDefault="00F32D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1B250" w14:textId="77777777" w:rsidR="00F32DDC" w:rsidRDefault="00F32D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DC21F6"/>
    <w:multiLevelType w:val="multilevel"/>
    <w:tmpl w:val="288E4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7A2953"/>
    <w:multiLevelType w:val="multilevel"/>
    <w:tmpl w:val="2A0C8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533D21"/>
    <w:multiLevelType w:val="multilevel"/>
    <w:tmpl w:val="9210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204503"/>
    <w:multiLevelType w:val="multilevel"/>
    <w:tmpl w:val="A1FE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6EC5D6B"/>
    <w:multiLevelType w:val="multilevel"/>
    <w:tmpl w:val="3EA2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56783462">
    <w:abstractNumId w:val="8"/>
  </w:num>
  <w:num w:numId="2" w16cid:durableId="981927068">
    <w:abstractNumId w:val="6"/>
  </w:num>
  <w:num w:numId="3" w16cid:durableId="17170897">
    <w:abstractNumId w:val="5"/>
  </w:num>
  <w:num w:numId="4" w16cid:durableId="1739553329">
    <w:abstractNumId w:val="4"/>
  </w:num>
  <w:num w:numId="5" w16cid:durableId="553007238">
    <w:abstractNumId w:val="7"/>
  </w:num>
  <w:num w:numId="6" w16cid:durableId="740448691">
    <w:abstractNumId w:val="3"/>
  </w:num>
  <w:num w:numId="7" w16cid:durableId="1816794294">
    <w:abstractNumId w:val="2"/>
  </w:num>
  <w:num w:numId="8" w16cid:durableId="336881053">
    <w:abstractNumId w:val="1"/>
  </w:num>
  <w:num w:numId="9" w16cid:durableId="1930188529">
    <w:abstractNumId w:val="0"/>
  </w:num>
  <w:num w:numId="10" w16cid:durableId="2036155111">
    <w:abstractNumId w:val="10"/>
  </w:num>
  <w:num w:numId="11" w16cid:durableId="1686206149">
    <w:abstractNumId w:val="13"/>
  </w:num>
  <w:num w:numId="12" w16cid:durableId="1123573427">
    <w:abstractNumId w:val="11"/>
  </w:num>
  <w:num w:numId="13" w16cid:durableId="129372898">
    <w:abstractNumId w:val="12"/>
  </w:num>
  <w:num w:numId="14" w16cid:durableId="14419506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APWAFVersion" w:val="5.0"/>
  </w:docVars>
  <w:rsids>
    <w:rsidRoot w:val="00B47730"/>
    <w:rsid w:val="00034616"/>
    <w:rsid w:val="0006063C"/>
    <w:rsid w:val="0015074B"/>
    <w:rsid w:val="0029639D"/>
    <w:rsid w:val="00326F90"/>
    <w:rsid w:val="003B41D9"/>
    <w:rsid w:val="00886ADA"/>
    <w:rsid w:val="00AA1D8D"/>
    <w:rsid w:val="00B47730"/>
    <w:rsid w:val="00CB0664"/>
    <w:rsid w:val="00D472DE"/>
    <w:rsid w:val="00F32D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303B8C1-9E0F-4EF3-8D09-B99409BE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3504</Words>
  <Characters>19973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 Raynar</cp:lastModifiedBy>
  <cp:revision>2</cp:revision>
  <dcterms:created xsi:type="dcterms:W3CDTF">2013-12-23T23:15:00Z</dcterms:created>
  <dcterms:modified xsi:type="dcterms:W3CDTF">2026-03-19T07:21:00Z</dcterms:modified>
  <cp:category/>
</cp:coreProperties>
</file>