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E468" w14:textId="77777777" w:rsidR="00FE5128" w:rsidRDefault="00072AA9">
      <w:r>
        <w:rPr>
          <w:b/>
          <w:color w:val="831011"/>
          <w:sz w:val="32"/>
        </w:rPr>
        <w:t>Hormuz Strait Closure — Beneficiaries — Grok Prompt C</w:t>
      </w:r>
    </w:p>
    <w:p w14:paraId="5C29359B" w14:textId="77777777" w:rsidR="00FE5128" w:rsidRDefault="00072AA9">
      <w:r>
        <w:rPr>
          <w:color w:val="606060"/>
          <w:sz w:val="20"/>
        </w:rPr>
        <w:t>Prompt C Output    |    18 March 2026</w:t>
      </w:r>
    </w:p>
    <w:p w14:paraId="33FA749E" w14:textId="77777777" w:rsidR="00FE5128" w:rsidRDefault="00FE5128">
      <w:pPr>
        <w:pBdr>
          <w:bottom w:val="single" w:sz="6" w:space="1" w:color="831011"/>
        </w:pBdr>
        <w:spacing w:before="80" w:after="80"/>
      </w:pPr>
    </w:p>
    <w:p w14:paraId="28F180D5" w14:textId="77777777" w:rsidR="007E23E1" w:rsidRPr="007E23E1" w:rsidRDefault="007E23E1" w:rsidP="007E23E1">
      <w:pPr>
        <w:rPr>
          <w:iCs/>
          <w:lang w:val="en-GB"/>
        </w:rPr>
      </w:pPr>
      <w:r w:rsidRPr="007E23E1">
        <w:rPr>
          <w:b/>
          <w:bCs/>
          <w:iCs/>
          <w:lang w:val="en-GB"/>
        </w:rPr>
        <w:t>Sentiment summary</w:t>
      </w:r>
      <w:r w:rsidRPr="007E23E1">
        <w:rPr>
          <w:iCs/>
          <w:lang w:val="en-GB"/>
        </w:rPr>
        <w:t xml:space="preserve"> </w:t>
      </w:r>
      <w:proofErr w:type="gramStart"/>
      <w:r w:rsidRPr="007E23E1">
        <w:rPr>
          <w:iCs/>
          <w:lang w:val="en-GB"/>
        </w:rPr>
        <w:t>The</w:t>
      </w:r>
      <w:proofErr w:type="gramEnd"/>
      <w:r w:rsidRPr="007E23E1">
        <w:rPr>
          <w:iCs/>
          <w:lang w:val="en-GB"/>
        </w:rPr>
        <w:t xml:space="preserve"> prevailing X narrative since the March 4, </w:t>
      </w:r>
      <w:proofErr w:type="gramStart"/>
      <w:r w:rsidRPr="007E23E1">
        <w:rPr>
          <w:iCs/>
          <w:lang w:val="en-GB"/>
        </w:rPr>
        <w:t>2026</w:t>
      </w:r>
      <w:proofErr w:type="gramEnd"/>
      <w:r w:rsidRPr="007E23E1">
        <w:rPr>
          <w:iCs/>
          <w:lang w:val="en-GB"/>
        </w:rPr>
        <w:t xml:space="preserve"> closure treats the Hormuz disruption as a textbook supply-shock windfall: Russia and US energy producers capture higher prices and market share while Asia (especially China) absorbs the pain. It is framed as both an energy story and a geopolitical realignment (Russia’s war chest swells, US net-exporter status insulates it). Momentum on the core Russia/US-oil thesis remains strong but is showing early cooling around “quick reopen” hopes; niche themes (refining margins, fertilizer, insurance-duration risk) are building traction among analysts. Overall tone is </w:t>
      </w:r>
      <w:proofErr w:type="gramStart"/>
      <w:r w:rsidRPr="007E23E1">
        <w:rPr>
          <w:iCs/>
          <w:lang w:val="en-GB"/>
        </w:rPr>
        <w:t>bullish-conviction</w:t>
      </w:r>
      <w:proofErr w:type="gramEnd"/>
      <w:r w:rsidRPr="007E23E1">
        <w:rPr>
          <w:iCs/>
          <w:lang w:val="en-GB"/>
        </w:rPr>
        <w:t xml:space="preserve"> on beneficiaries with practitioner grounding, not retail hype.</w:t>
      </w:r>
    </w:p>
    <w:p w14:paraId="53E839AE" w14:textId="77777777" w:rsidR="007E23E1" w:rsidRPr="007E23E1" w:rsidRDefault="007E23E1" w:rsidP="007E23E1">
      <w:pPr>
        <w:rPr>
          <w:iCs/>
          <w:lang w:val="en-GB"/>
        </w:rPr>
      </w:pPr>
      <w:r w:rsidRPr="007E23E1">
        <w:rPr>
          <w:b/>
          <w:bCs/>
          <w:iCs/>
          <w:lang w:val="en-GB"/>
        </w:rPr>
        <w:t>1. Dominant narrative</w:t>
      </w:r>
      <w:r w:rsidRPr="007E23E1">
        <w:rPr>
          <w:iCs/>
          <w:lang w:val="en-GB"/>
        </w:rPr>
        <w:t xml:space="preserve"> Russia is repeatedly called the clearest winner—higher oil revenues fund the Ukraine war with zero military risk, every $10 spike adding $20-30B annually to Moscow. US producers and the broader US equity market are second: America is a net exporter, Hormuz flows go to Asia/Europe, so WTI stays “only” ~$95-100 while Dubai/Oman trades near $155. Specific sectors gaining attention: US shale/LNG, refiners (product cracks tighten), fertilizer (LNG/</w:t>
      </w:r>
      <w:proofErr w:type="spellStart"/>
      <w:r w:rsidRPr="007E23E1">
        <w:rPr>
          <w:iCs/>
          <w:lang w:val="en-GB"/>
        </w:rPr>
        <w:t>sulfur</w:t>
      </w:r>
      <w:proofErr w:type="spellEnd"/>
      <w:r w:rsidRPr="007E23E1">
        <w:rPr>
          <w:iCs/>
          <w:lang w:val="en-GB"/>
        </w:rPr>
        <w:t xml:space="preserve"> disruption), and minor </w:t>
      </w:r>
      <w:proofErr w:type="spellStart"/>
      <w:r w:rsidRPr="007E23E1">
        <w:rPr>
          <w:iCs/>
          <w:lang w:val="en-GB"/>
        </w:rPr>
        <w:t>defense</w:t>
      </w:r>
      <w:proofErr w:type="spellEnd"/>
      <w:r w:rsidRPr="007E23E1">
        <w:rPr>
          <w:iCs/>
          <w:lang w:val="en-GB"/>
        </w:rPr>
        <w:t>. Framing is ~70% energy-price story, 30% geopolitics (Russia vs China loser narrative). High-engagement examples include RT’s viral video on $200 oil warnings and 60 Minutes citing Bob McNally on Putin as short-term winner.</w:t>
      </w:r>
    </w:p>
    <w:p w14:paraId="0EF99AEF" w14:textId="77777777" w:rsidR="007E23E1" w:rsidRPr="007E23E1" w:rsidRDefault="007E23E1" w:rsidP="007E23E1">
      <w:pPr>
        <w:rPr>
          <w:iCs/>
          <w:lang w:val="en-GB"/>
        </w:rPr>
      </w:pPr>
      <w:r w:rsidRPr="007E23E1">
        <w:rPr>
          <w:b/>
          <w:bCs/>
          <w:iCs/>
          <w:lang w:val="en-GB"/>
        </w:rPr>
        <w:t>2. Emerging and contrarian views</w:t>
      </w:r>
      <w:r w:rsidRPr="007E23E1">
        <w:rPr>
          <w:iCs/>
          <w:lang w:val="en-GB"/>
        </w:rPr>
        <w:t xml:space="preserve"> Less-discussed theses gaining analyst traction: (a) refining-margin plays (e.g., $MPC) because product markets tighten faster than crude; (b) fertilizer/phosphor pure-plays ($IFOS cited as speculative bet on </w:t>
      </w:r>
      <w:proofErr w:type="spellStart"/>
      <w:r w:rsidRPr="007E23E1">
        <w:rPr>
          <w:iCs/>
          <w:lang w:val="en-GB"/>
        </w:rPr>
        <w:t>sulfur</w:t>
      </w:r>
      <w:proofErr w:type="spellEnd"/>
      <w:r w:rsidRPr="007E23E1">
        <w:rPr>
          <w:iCs/>
          <w:lang w:val="en-GB"/>
        </w:rPr>
        <w:t xml:space="preserve">/phosphate shortages); (c) Chinese tanker operators (Cosco Shipping Energy, China Merchants) rallying on speculation they alone can still transit under IRGC exemption. Credible contrarian takes: the market is still pricing a </w:t>
      </w:r>
      <w:proofErr w:type="gramStart"/>
      <w:r w:rsidRPr="007E23E1">
        <w:rPr>
          <w:iCs/>
          <w:lang w:val="en-GB"/>
        </w:rPr>
        <w:t>2-4 week</w:t>
      </w:r>
      <w:proofErr w:type="gramEnd"/>
      <w:r w:rsidRPr="007E23E1">
        <w:rPr>
          <w:iCs/>
          <w:lang w:val="en-GB"/>
        </w:rPr>
        <w:t xml:space="preserve"> resolution while insurance withdrawal (P&amp;I clubs cancelled war-risk coverage March 5) makes commercial reopening 6-18 months away; Asia demand destruction already visible and keeping Atlantic grades contained; lasting “Hormuz stigma” risk premium will raise shipping costs for years. Voices: portfolio manager Ken Cao, geologist Art Berman, macro strategist Jim Bianco, Reuters-quoted analyst Anas Alhajji.</w:t>
      </w:r>
    </w:p>
    <w:p w14:paraId="18B98AAF" w14:textId="77777777" w:rsidR="007E23E1" w:rsidRPr="007E23E1" w:rsidRDefault="007E23E1" w:rsidP="007E23E1">
      <w:pPr>
        <w:rPr>
          <w:iCs/>
          <w:lang w:val="en-GB"/>
        </w:rPr>
      </w:pPr>
      <w:r w:rsidRPr="007E23E1">
        <w:rPr>
          <w:b/>
          <w:bCs/>
          <w:iCs/>
          <w:lang w:val="en-GB"/>
        </w:rPr>
        <w:t>3. Sentiment direction</w:t>
      </w:r>
      <w:r w:rsidRPr="007E23E1">
        <w:rPr>
          <w:iCs/>
          <w:lang w:val="en-GB"/>
        </w:rPr>
        <w:t xml:space="preserve"> Core Russia/US-oil thesis started extremely hot (March 4-10 posts from @Ken_LoveTW, </w:t>
      </w:r>
      <w:proofErr w:type="spellStart"/>
      <w:r w:rsidRPr="007E23E1">
        <w:rPr>
          <w:iCs/>
          <w:lang w:val="en-GB"/>
        </w:rPr>
        <w:t>zerohedge</w:t>
      </w:r>
      <w:proofErr w:type="spellEnd"/>
      <w:r w:rsidRPr="007E23E1">
        <w:rPr>
          <w:iCs/>
          <w:lang w:val="en-GB"/>
        </w:rPr>
        <w:t>, RT racked up 100k+ views) and remains dominant, but momentum is plateauing as reopening hopes (Iraq-Turkey restart, Trump statements) appear in the last 7 days. Later-building themes: refining/fertilizer (CNBC March 12 article + small-cap trader mentions March 16-18) and insurance-duration risk (detailed Substack-style thread March 9 gaining 84k likes). No wholesale shift in the last 30 days—pre-event chatter was minimal; post-event conversation has simply layered in dislocation details (Asia vs Atlantic pricing) without flipping the beneficiary ranking.</w:t>
      </w:r>
    </w:p>
    <w:p w14:paraId="210A1678" w14:textId="77777777" w:rsidR="007E23E1" w:rsidRPr="007E23E1" w:rsidRDefault="007E23E1" w:rsidP="007E23E1">
      <w:pPr>
        <w:rPr>
          <w:iCs/>
          <w:lang w:val="en-GB"/>
        </w:rPr>
      </w:pPr>
      <w:r w:rsidRPr="007E23E1">
        <w:rPr>
          <w:b/>
          <w:bCs/>
          <w:iCs/>
          <w:lang w:val="en-GB"/>
        </w:rPr>
        <w:lastRenderedPageBreak/>
        <w:t>4. Key voices</w:t>
      </w:r>
      <w:r w:rsidRPr="007E23E1">
        <w:rPr>
          <w:iCs/>
          <w:lang w:val="en-GB"/>
        </w:rPr>
        <w:t xml:space="preserve"> Driving the conversation: credible practitioners and sector analysts. Portfolio manager @Ken_LoveTW (Russia winner thesis, 23k+ views), geologist @aeberman12 (tanker traffic not fully stopped), macro @biancoresearch (Asia demand destruction charts), ex-Goldman trader @simon_ree (plausible $100+ Brent base case), FOX Biz’s @CGasparino (CIA veteran interview on quick resolution limits). Media amplification from @zerohedge, @AJEnglish (</w:t>
      </w:r>
      <w:proofErr w:type="spellStart"/>
      <w:r w:rsidRPr="007E23E1">
        <w:rPr>
          <w:iCs/>
          <w:lang w:val="en-GB"/>
        </w:rPr>
        <w:t>Kpler</w:t>
      </w:r>
      <w:proofErr w:type="spellEnd"/>
      <w:r w:rsidRPr="007E23E1">
        <w:rPr>
          <w:iCs/>
          <w:lang w:val="en-GB"/>
        </w:rPr>
        <w:t xml:space="preserve"> analyst Muyu Xu), @60Minutes, @CNBC, @RT_com. Institutional tone dominates the Russia/US-oil core; retail/promotional accounts (small-cap stock tickers like $IFOS or $MPC) are peripheral and low-engagement.</w:t>
      </w:r>
    </w:p>
    <w:p w14:paraId="1B0CCA98" w14:textId="77777777" w:rsidR="007E23E1" w:rsidRPr="007E23E1" w:rsidRDefault="007E23E1" w:rsidP="007E23E1">
      <w:pPr>
        <w:rPr>
          <w:iCs/>
          <w:lang w:val="en-GB"/>
        </w:rPr>
      </w:pPr>
      <w:r w:rsidRPr="007E23E1">
        <w:rPr>
          <w:b/>
          <w:bCs/>
          <w:iCs/>
          <w:lang w:val="en-GB"/>
        </w:rPr>
        <w:t>5. Crowding signals</w:t>
      </w:r>
      <w:r w:rsidRPr="007E23E1">
        <w:rPr>
          <w:iCs/>
          <w:lang w:val="en-GB"/>
        </w:rPr>
        <w:t xml:space="preserve"> Russia winner and broad US-energy bullishness look consensus/crowded (viral RT/</w:t>
      </w:r>
      <w:proofErr w:type="spellStart"/>
      <w:r w:rsidRPr="007E23E1">
        <w:rPr>
          <w:iCs/>
          <w:lang w:val="en-GB"/>
        </w:rPr>
        <w:t>zerohedge</w:t>
      </w:r>
      <w:proofErr w:type="spellEnd"/>
      <w:r w:rsidRPr="007E23E1">
        <w:rPr>
          <w:iCs/>
          <w:lang w:val="en-GB"/>
        </w:rPr>
        <w:t>/60 Minutes posts, repeated across English and international accounts). Under-owned/contrarian: specific refining-margin names, fertilizer stocks, $IFOS-style micro-caps, and the “insurance closure lasts 6-18 months” thesis. No visible coordinated or promotional pumping—single-tweet $IFOS or $MPC mentions are isolated speculative calls by individual traders, not repeated across networks or accompanied by pump links. Genuine conviction evident in analyst threads and macro charts.</w:t>
      </w:r>
    </w:p>
    <w:p w14:paraId="54C4EA41" w14:textId="77777777" w:rsidR="007E23E1" w:rsidRPr="007E23E1" w:rsidRDefault="007E23E1" w:rsidP="007E23E1">
      <w:pPr>
        <w:rPr>
          <w:iCs/>
          <w:lang w:val="en-GB"/>
        </w:rPr>
      </w:pPr>
      <w:r w:rsidRPr="007E23E1">
        <w:rPr>
          <w:b/>
          <w:bCs/>
          <w:iCs/>
          <w:lang w:val="en-GB"/>
        </w:rPr>
        <w:t>6. Red flags and blind spots</w:t>
      </w:r>
      <w:r w:rsidRPr="007E23E1">
        <w:rPr>
          <w:iCs/>
          <w:lang w:val="en-GB"/>
        </w:rPr>
        <w:t xml:space="preserve"> Negative signals largely dismissed: (a) insurance-driven (not military) closure mechanism means commercial traffic stays zero far longer than markets price; (b) Asia-specific $155 oil already triggering visible demand destruction that Western headlines ignore; (c) fragmented Iranian command (Mosaic Defence) removes any single counterparty for reinsurance recap. Practitioners flag these explicitly (@aeberman12, Shanaka Anslem Perera, Anas Alhajji, Jim Bianco). Most fragile thesis on closer examination: the “broad US equity rally from higher oil” narrative (Tom Lee framing)—it assumes the Fed can look through inflation and that Asia pain does not spill into global growth; history and current dislocation charts suggest it breaks first if disruption extends beyond April.</w:t>
      </w:r>
    </w:p>
    <w:p w14:paraId="215BB2EE" w14:textId="77777777" w:rsidR="007E23E1" w:rsidRPr="007E23E1" w:rsidRDefault="007E23E1" w:rsidP="007E23E1">
      <w:pPr>
        <w:rPr>
          <w:iCs/>
          <w:lang w:val="en-GB"/>
        </w:rPr>
      </w:pPr>
      <w:r w:rsidRPr="007E23E1">
        <w:rPr>
          <w:b/>
          <w:bCs/>
          <w:iCs/>
          <w:lang w:val="en-GB"/>
        </w:rPr>
        <w:t>Signal vs noise distinction</w:t>
      </w:r>
      <w:r w:rsidRPr="007E23E1">
        <w:rPr>
          <w:iCs/>
          <w:lang w:val="en-GB"/>
        </w:rPr>
        <w:t xml:space="preserve"> Signal = practitioner analysis (Berman, Bianco, </w:t>
      </w:r>
      <w:proofErr w:type="spellStart"/>
      <w:r w:rsidRPr="007E23E1">
        <w:rPr>
          <w:iCs/>
          <w:lang w:val="en-GB"/>
        </w:rPr>
        <w:t>Kpler</w:t>
      </w:r>
      <w:proofErr w:type="spellEnd"/>
      <w:r w:rsidRPr="007E23E1">
        <w:rPr>
          <w:iCs/>
          <w:lang w:val="en-GB"/>
        </w:rPr>
        <w:t>, Alhajji, insurance-mechanism threads) that correctly separates Atlantic vs Asian pricing, duration risk, and country-level winners. Noise = generic “$200 oil” fear posts, retail micro-cap ticker drops, and media headlines that still treat the closure as purely military rather than actuarial. The Russia/US-energy core is overwhelmingly signal; specific stock names remain noise until volume/analyst coverage confirms.</w:t>
      </w:r>
    </w:p>
    <w:p w14:paraId="55EC1CD7" w14:textId="77777777" w:rsidR="007E23E1" w:rsidRPr="007E23E1" w:rsidRDefault="007E23E1" w:rsidP="007E23E1">
      <w:pPr>
        <w:rPr>
          <w:iCs/>
          <w:lang w:val="en-GB"/>
        </w:rPr>
      </w:pPr>
      <w:r w:rsidRPr="007E23E1">
        <w:rPr>
          <w:iCs/>
          <w:lang w:val="en-GB"/>
        </w:rPr>
        <w:t>No evidence of coordinated promotional activity—conversation is organic, analyst-led on the macro winners, with retail adding only peripheral ticker noise. The narrative landscape is unusually aligned for a 14-day-old event.</w:t>
      </w:r>
    </w:p>
    <w:p w14:paraId="2A58AE29" w14:textId="2ED18728" w:rsidR="00FE5128" w:rsidRPr="007E23E1" w:rsidRDefault="00FE5128">
      <w:pPr>
        <w:rPr>
          <w:iCs/>
          <w:lang w:val="en-GB"/>
        </w:rPr>
      </w:pPr>
    </w:p>
    <w:sectPr w:rsidR="00FE5128" w:rsidRPr="007E23E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8B7E1" w14:textId="77777777" w:rsidR="00072AA9" w:rsidRDefault="00072AA9" w:rsidP="001D4C1B">
      <w:pPr>
        <w:spacing w:after="0" w:line="240" w:lineRule="auto"/>
      </w:pPr>
      <w:r>
        <w:separator/>
      </w:r>
    </w:p>
  </w:endnote>
  <w:endnote w:type="continuationSeparator" w:id="0">
    <w:p w14:paraId="3FF07656" w14:textId="77777777" w:rsidR="00072AA9" w:rsidRDefault="00072AA9" w:rsidP="001D4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01E13" w14:textId="77777777" w:rsidR="001D4C1B" w:rsidRDefault="001D4C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3B18D" w14:textId="77777777" w:rsidR="001D4C1B" w:rsidRDefault="001D4C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DD84" w14:textId="77777777" w:rsidR="001D4C1B" w:rsidRDefault="001D4C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978E1" w14:textId="77777777" w:rsidR="00072AA9" w:rsidRDefault="00072AA9" w:rsidP="001D4C1B">
      <w:pPr>
        <w:spacing w:after="0" w:line="240" w:lineRule="auto"/>
      </w:pPr>
      <w:r>
        <w:separator/>
      </w:r>
    </w:p>
  </w:footnote>
  <w:footnote w:type="continuationSeparator" w:id="0">
    <w:p w14:paraId="54C3DB12" w14:textId="77777777" w:rsidR="00072AA9" w:rsidRDefault="00072AA9" w:rsidP="001D4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D3341" w14:textId="77777777" w:rsidR="001D4C1B" w:rsidRDefault="001D4C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0D358" w14:textId="77777777" w:rsidR="001D4C1B" w:rsidRDefault="001D4C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FD08B" w14:textId="77777777" w:rsidR="001D4C1B" w:rsidRDefault="001D4C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5054136">
    <w:abstractNumId w:val="8"/>
  </w:num>
  <w:num w:numId="2" w16cid:durableId="1128015018">
    <w:abstractNumId w:val="6"/>
  </w:num>
  <w:num w:numId="3" w16cid:durableId="1557810859">
    <w:abstractNumId w:val="5"/>
  </w:num>
  <w:num w:numId="4" w16cid:durableId="309749830">
    <w:abstractNumId w:val="4"/>
  </w:num>
  <w:num w:numId="5" w16cid:durableId="190386814">
    <w:abstractNumId w:val="7"/>
  </w:num>
  <w:num w:numId="6" w16cid:durableId="1483497901">
    <w:abstractNumId w:val="3"/>
  </w:num>
  <w:num w:numId="7" w16cid:durableId="2086797981">
    <w:abstractNumId w:val="2"/>
  </w:num>
  <w:num w:numId="8" w16cid:durableId="539368421">
    <w:abstractNumId w:val="1"/>
  </w:num>
  <w:num w:numId="9" w16cid:durableId="109952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B47730"/>
    <w:rsid w:val="00034616"/>
    <w:rsid w:val="0006063C"/>
    <w:rsid w:val="00072AA9"/>
    <w:rsid w:val="0015074B"/>
    <w:rsid w:val="001D4C1B"/>
    <w:rsid w:val="0029639D"/>
    <w:rsid w:val="00326F90"/>
    <w:rsid w:val="007E23E1"/>
    <w:rsid w:val="00AA1D8D"/>
    <w:rsid w:val="00B47730"/>
    <w:rsid w:val="00CB0664"/>
    <w:rsid w:val="00FB57CD"/>
    <w:rsid w:val="00FC693F"/>
    <w:rsid w:val="00FE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77EFEEC-8A7D-4526-AB06-E26DF53F3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1014</Words>
  <Characters>4883</Characters>
  <Application>Microsoft Office Word</Application>
  <DocSecurity>0</DocSecurity>
  <Lines>187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Raynar</cp:lastModifiedBy>
  <cp:revision>3</cp:revision>
  <dcterms:created xsi:type="dcterms:W3CDTF">2013-12-23T23:15:00Z</dcterms:created>
  <dcterms:modified xsi:type="dcterms:W3CDTF">2026-03-18T15:57:00Z</dcterms:modified>
  <cp:category/>
</cp:coreProperties>
</file>