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595959"/>
          <w:sz w:val="22"/>
          <w:szCs w:val="22"/>
        </w:rPr>
        <w:t xml:space="preserve">THE 1140-A COMPANY</w:t>
      </w:r>
    </w:p>
    <w:p>
      <w:pPr>
        <w:spacing w:after="80"/>
      </w:pPr>
      <w:r>
        <w:rPr>
          <w:rFonts w:ascii="Georgia" w:cs="Georgia" w:eastAsia="Georgia" w:hAnsi="Georgia"/>
          <w:b/>
          <w:bCs/>
          <w:color w:val="1F3864"/>
          <w:sz w:val="44"/>
          <w:szCs w:val="44"/>
        </w:rPr>
        <w:t xml:space="preserve">The Sponsor Document — Gameplan</w:t>
      </w:r>
    </w:p>
    <w:p>
      <w:pPr>
        <w:spacing w:after="40"/>
      </w:pPr>
      <w:r>
        <w:rPr>
          <w:rFonts w:ascii="Georgia" w:cs="Georgia" w:eastAsia="Georgia" w:hAnsi="Georgia"/>
          <w:i/>
          <w:iCs/>
          <w:color w:val="595959"/>
          <w:sz w:val="22"/>
          <w:szCs w:val="22"/>
        </w:rPr>
        <w:t xml:space="preserve">A one-night comedy double feature · Mike Cannon &amp; Brendan Sagalow · the Tilden Arts Center, Cape Cod Community College · Saturday 29 August 2026</w:t>
      </w:r>
    </w:p>
    <w:p>
      <w:pPr>
        <w:pBdr>
          <w:bottom w:val="single" w:color="1F3864" w:sz="8" w:space="4"/>
        </w:pBdr>
        <w:spacing w:after="240"/>
      </w:pPr>
      <w:r>
        <w:rPr>
          <w:rFonts w:ascii="Georgia" w:cs="Georgia" w:eastAsia="Georgia" w:hAnsi="Georgia"/>
          <w:color w:val="595959"/>
          <w:sz w:val="20"/>
          <w:szCs w:val="20"/>
        </w:rPr>
        <w:t xml:space="preserve">Prepared 23 July 2026 · Synthesised from the Cape Cinema transcripts and the sponsor working files</w:t>
      </w:r>
    </w:p>
    <w:p>
      <w:pPr>
        <w:pStyle w:val="Heading1"/>
        <w:spacing w:after="160" w:before="320"/>
      </w:pPr>
      <w:r>
        <w:rPr>
          <w:rFonts w:ascii="Georgia" w:cs="Georgia" w:eastAsia="Georgia" w:hAnsi="Georgia"/>
          <w:b/>
          <w:bCs/>
          <w:color w:val="1F3864"/>
          <w:sz w:val="30"/>
          <w:szCs w:val="30"/>
        </w:rPr>
        <w:t xml:space="preserve">1. What this is</w:t>
      </w:r>
    </w:p>
    <w:p>
      <w:pPr>
        <w:spacing w:after="160" w:line="276"/>
      </w:pPr>
      <w:r>
        <w:rPr>
          <w:rFonts w:ascii="Georgia" w:cs="Georgia" w:eastAsia="Georgia" w:hAnsi="Georgia"/>
          <w:color w:val="1A1A1A"/>
          <w:sz w:val="22"/>
          <w:szCs w:val="22"/>
        </w:rPr>
        <w:t xml:space="preserve">This is the plan for the document that goes to prospective sponsors — not the document itself. It consolidates every decision already made across the two long transcripts and the sponsor files, flags the points where the record contradicts itself (the erosion left several), and sets out the structure, copy, rules and sequencing for the finished piece. Once the open decisions at the end are settled, the document can be written in one clean pass rather than re-litigated.</w:t>
      </w:r>
    </w:p>
    <w:p>
      <w:pPr>
        <w:spacing w:after="160" w:line="276"/>
      </w:pPr>
      <w:r>
        <w:rPr>
          <w:rFonts w:ascii="Georgia" w:cs="Georgia" w:eastAsia="Georgia" w:hAnsi="Georgia"/>
          <w:color w:val="1A1A1A"/>
          <w:sz w:val="22"/>
          <w:szCs w:val="22"/>
        </w:rPr>
        <w:t xml:space="preserve">The prior chat left the one-pager agreed in shape but never assembled. The shape it agreed is preserved here in full, including the copy blocks that were fought over and locked.</w:t>
      </w:r>
    </w:p>
    <w:p>
      <w:pPr>
        <w:pStyle w:val="Heading1"/>
        <w:spacing w:after="160" w:before="320"/>
      </w:pPr>
      <w:r>
        <w:rPr>
          <w:rFonts w:ascii="Georgia" w:cs="Georgia" w:eastAsia="Georgia" w:hAnsi="Georgia"/>
          <w:b/>
          <w:bCs/>
          <w:color w:val="1F3864"/>
          <w:sz w:val="30"/>
          <w:szCs w:val="30"/>
        </w:rPr>
        <w:t xml:space="preserve">2. What is being sold</w:t>
      </w:r>
    </w:p>
    <w:p>
      <w:pPr>
        <w:spacing w:after="160" w:line="276"/>
      </w:pPr>
      <w:r>
        <w:rPr>
          <w:rFonts w:ascii="Georgia" w:cs="Georgia" w:eastAsia="Georgia" w:hAnsi="Georgia"/>
          <w:b/>
          <w:bCs/>
          <w:color w:val="1A1A1A"/>
          <w:sz w:val="22"/>
          <w:szCs w:val="22"/>
        </w:rPr>
        <w:t xml:space="preserve">One sponsor. No tiers, no stack, no co-presenters. </w:t>
      </w:r>
      <w:r>
        <w:rPr>
          <w:rFonts w:ascii="Georgia" w:cs="Georgia" w:eastAsia="Georgia" w:hAnsi="Georgia"/>
          <w:color w:val="1A1A1A"/>
          <w:sz w:val="22"/>
          <w:szCs w:val="22"/>
        </w:rPr>
        <w:t xml:space="preserve">This has been doctrine since June and every attempt to invent a second sponsor tier was correctly killed — the moment two sponsors can buy in at different levels, the exclusivity being sold ceases to exist. The final package offers one buyer a choice of size, which is a different thing entirely: however it is taken, there is exactly one sponsor. The document sells that single, sole position — and everything else in it is staged as a gift that follows the position.</w:t>
      </w:r>
    </w:p>
    <w:p>
      <w:pPr>
        <w:spacing w:after="160" w:line="276"/>
      </w:pPr>
      <w:r>
        <w:rPr>
          <w:rFonts w:ascii="Georgia" w:cs="Georgia" w:eastAsia="Georgia" w:hAnsi="Georgia"/>
          <w:b/>
          <w:bCs/>
          <w:color w:val="1A1A1A"/>
          <w:sz w:val="22"/>
          <w:szCs w:val="22"/>
        </w:rPr>
        <w:t xml:space="preserve">The package, final (settled after the transcript exports): </w:t>
      </w:r>
      <w:r>
        <w:rPr>
          <w:rFonts w:ascii="Georgia" w:cs="Georgia" w:eastAsia="Georgia" w:hAnsi="Georgia"/>
          <w:color w:val="1A1A1A"/>
          <w:sz w:val="22"/>
          <w:szCs w:val="22"/>
        </w:rPr>
        <w:t xml:space="preserve">one sole position, offered at the sponsor’s choice of size — </w:t>
      </w:r>
      <w:r>
        <w:rPr>
          <w:rFonts w:ascii="Georgia" w:cs="Georgia" w:eastAsia="Georgia" w:hAnsi="Georgia"/>
          <w:b/>
          <w:bCs/>
          <w:color w:val="1A1A1A"/>
          <w:sz w:val="22"/>
          <w:szCs w:val="22"/>
        </w:rPr>
        <w:t xml:space="preserve">10 heads at $9,000, or 18 heads at $14,500</w:t>
      </w:r>
      <w:r>
        <w:rPr>
          <w:rFonts w:ascii="Georgia" w:cs="Georgia" w:eastAsia="Georgia" w:hAnsi="Georgia"/>
          <w:color w:val="1A1A1A"/>
          <w:sz w:val="22"/>
          <w:szCs w:val="22"/>
        </w:rPr>
        <w:t xml:space="preserve">. Two sizes of the same whole position, not two tiers: there is still exactly one sponsor. Per-head arithmetic never appears anywhere near the sponsor.</w:t>
      </w:r>
    </w:p>
    <w:p>
      <w:pPr>
        <w:pStyle w:val="ListParagraph"/>
        <w:numPr>
          <w:ilvl w:val="0"/>
          <w:numId w:val="2"/>
        </w:numPr>
        <w:spacing w:after="100" w:line="276"/>
      </w:pPr>
      <w:r>
        <w:rPr>
          <w:rFonts w:ascii="Georgia" w:cs="Georgia" w:eastAsia="Georgia" w:hAnsi="Georgia"/>
          <w:b/>
          <w:bCs/>
          <w:color w:val="1A1A1A"/>
          <w:sz w:val="22"/>
          <w:szCs w:val="22"/>
        </w:rPr>
        <w:t xml:space="preserve">Sole sponsorship of the event</w:t>
      </w:r>
      <w:r>
        <w:rPr>
          <w:rFonts w:ascii="Georgia" w:cs="Georgia" w:eastAsia="Georgia" w:hAnsi="Georgia"/>
          <w:color w:val="1A1A1A"/>
          <w:sz w:val="22"/>
          <w:szCs w:val="22"/>
        </w:rPr>
        <w:t xml:space="preserve"> — the sponsor’s name on the website, posters, tickets and lobby sign, on 1140-a material only. Placement at the free-and-included tier meets the FTC “clear and conspicuous” standard; anything larger is a separate conversation, and anything abutting the talent is Emilio’s call, not ours.</w:t>
      </w:r>
    </w:p>
    <w:p>
      <w:pPr>
        <w:pStyle w:val="ListParagraph"/>
        <w:numPr>
          <w:ilvl w:val="0"/>
          <w:numId w:val="2"/>
        </w:numPr>
        <w:spacing w:after="100" w:line="276"/>
      </w:pPr>
      <w:r>
        <w:rPr>
          <w:rFonts w:ascii="Georgia" w:cs="Georgia" w:eastAsia="Georgia" w:hAnsi="Georgia"/>
          <w:b/>
          <w:bCs/>
          <w:color w:val="1A1A1A"/>
          <w:sz w:val="22"/>
          <w:szCs w:val="22"/>
        </w:rPr>
        <w:t xml:space="preserve">Orchestra seats for the party</w:t>
      </w:r>
      <w:r>
        <w:rPr>
          <w:rFonts w:ascii="Georgia" w:cs="Georgia" w:eastAsia="Georgia" w:hAnsi="Georgia"/>
          <w:color w:val="1A1A1A"/>
          <w:sz w:val="22"/>
          <w:szCs w:val="22"/>
        </w:rPr>
        <w:t xml:space="preserve"> — 10 or 18, with close parking. Deliberately “orchestra”, not front-row-centre: the seats must be held until every prospect has replied, and releasing the house’s best rows weeks after other buyers paid would be a kick in the throat to them. “Orchestra” promises quality without naming rows, so the hold can flex and nobody who bought early is ever shown a better seat appearing behind their purchase. The held stock is the least-central of the good seats — the releasable ones — and they release on the disclosed ticking clock, which is precisely what makes the deadline true.</w:t>
      </w:r>
    </w:p>
    <w:p>
      <w:pPr>
        <w:pStyle w:val="ListParagraph"/>
        <w:numPr>
          <w:ilvl w:val="0"/>
          <w:numId w:val="2"/>
        </w:numPr>
        <w:spacing w:after="100" w:line="276"/>
      </w:pPr>
      <w:r>
        <w:rPr>
          <w:rFonts w:ascii="Georgia" w:cs="Georgia" w:eastAsia="Georgia" w:hAnsi="Georgia"/>
          <w:b/>
          <w:bCs/>
          <w:color w:val="1A1A1A"/>
          <w:sz w:val="22"/>
          <w:szCs w:val="22"/>
        </w:rPr>
        <w:t xml:space="preserve">The private pit clam bake, with an open bar — Friday 28 August</w:t>
      </w:r>
      <w:r>
        <w:rPr>
          <w:rFonts w:ascii="Georgia" w:cs="Georgia" w:eastAsia="Georgia" w:hAnsi="Georgia"/>
          <w:color w:val="1A1A1A"/>
          <w:sz w:val="22"/>
          <w:szCs w:val="22"/>
        </w:rPr>
        <w:t xml:space="preserve">, the day before the show, not the day of it. The provider is booked on the 29th, and the earlier date serves the arc: the sponsor’s party meets the comedians warm on the Friday, and the show crowns the weekend rather than competing with its own lunch. A traditional Cape Cod pit bake, catered, on the 32-acre conservation property beside the oldest barn in Dennis, attended by both headliners, whose attention is contractually reserved for the sponsor’s party. The open bar is served by a licensed caterer — Sesuit Harbour / CE all-in / Mix &amp; Muddle under quote, liability sitting with the vendor — leaning towards a sponsor-funded add-on, asterisked as such. The comedians’ own sobriety changes nothing in the offer: the bar stays (it is Cape Cod), and sobriety shapes only their welcome baskets. This is the item nobody else on earth can offer, and it lands last in the document.</w:t>
      </w:r>
    </w:p>
    <w:p>
      <w:pPr>
        <w:spacing w:after="160" w:line="276"/>
      </w:pPr>
      <w:r>
        <w:rPr>
          <w:rFonts w:ascii="Georgia" w:cs="Georgia" w:eastAsia="Georgia" w:hAnsi="Georgia"/>
          <w:b/>
          <w:bCs/>
          <w:color w:val="1A1A1A"/>
          <w:sz w:val="22"/>
          <w:szCs w:val="22"/>
        </w:rPr>
        <w:t xml:space="preserve">Deliberately cut, and staying cut: </w:t>
      </w:r>
      <w:r>
        <w:rPr>
          <w:rFonts w:ascii="Georgia" w:cs="Georgia" w:eastAsia="Georgia" w:hAnsi="Georgia"/>
          <w:color w:val="1A1A1A"/>
          <w:sz w:val="22"/>
          <w:szCs w:val="22"/>
        </w:rPr>
        <w:t xml:space="preserve">stage mentions, the recording package, any branding on footage or performers. The artist-protection clauses (billing hierarchy, clean media, no compelled mentions) are a selling point in themselves — they mark the offer as serious and the production as artist-first.</w:t>
      </w:r>
    </w:p>
    <w:p>
      <w:pPr>
        <w:spacing w:after="160" w:line="276"/>
      </w:pPr>
      <w:r>
        <w:rPr>
          <w:rFonts w:ascii="Georgia" w:cs="Georgia" w:eastAsia="Georgia" w:hAnsi="Georgia"/>
          <w:b/>
          <w:bCs/>
          <w:color w:val="1A1A1A"/>
          <w:sz w:val="22"/>
          <w:szCs w:val="22"/>
        </w:rPr>
        <w:t xml:space="preserve">The contingency is resolved. </w:t>
      </w:r>
      <w:r>
        <w:rPr>
          <w:rFonts w:ascii="Georgia" w:cs="Georgia" w:eastAsia="Georgia" w:hAnsi="Georgia"/>
          <w:color w:val="1A1A1A"/>
          <w:sz w:val="22"/>
          <w:szCs w:val="22"/>
        </w:rPr>
        <w:t xml:space="preserve">Forza has said yes: the comedians will attend the bake, and — beyond what was ever asked — the two will promote the event on air on their own shows. The letter can therefore promise the headliners’ presence at the bake as fact, and the on-air commitment upgrades the audience block from forecast to fact (see movement four). The open catering point stands: reprice the add-on covers so the base sits above the per-head cost, and honour real caps.</w:t>
      </w:r>
    </w:p>
    <w:p>
      <w:pPr>
        <w:pStyle w:val="Heading1"/>
        <w:spacing w:after="160" w:before="320"/>
      </w:pPr>
      <w:r>
        <w:rPr>
          <w:rFonts w:ascii="Georgia" w:cs="Georgia" w:eastAsia="Georgia" w:hAnsi="Georgia"/>
          <w:b/>
          <w:bCs/>
          <w:color w:val="1F3864"/>
          <w:sz w:val="30"/>
          <w:szCs w:val="30"/>
        </w:rPr>
        <w:t xml:space="preserve">3. Format: a one-pager, a credibility close, and an appendix</w:t>
      </w:r>
    </w:p>
    <w:p>
      <w:pPr>
        <w:spacing w:after="160" w:line="276"/>
      </w:pPr>
      <w:r>
        <w:rPr>
          <w:rFonts w:ascii="Georgia" w:cs="Georgia" w:eastAsia="Georgia" w:hAnsi="Georgia"/>
          <w:b/>
          <w:bCs/>
          <w:color w:val="1A1A1A"/>
          <w:sz w:val="22"/>
          <w:szCs w:val="22"/>
        </w:rPr>
        <w:t xml:space="preserve">Three pieces, not one.</w:t>
      </w:r>
      <w:r>
        <w:rPr>
          <w:rFonts w:ascii="Georgia" w:cs="Georgia" w:eastAsia="Georgia" w:hAnsi="Georgia"/>
          <w:color w:val="1A1A1A"/>
          <w:sz w:val="22"/>
          <w:szCs w:val="22"/>
        </w:rPr>
        <w:t xml:space="preserve"> The letter stays one page precisely because everything a diligent reader wants to check lives behind it.</w:t>
      </w:r>
    </w:p>
    <w:p>
      <w:pPr>
        <w:pStyle w:val="ListParagraph"/>
        <w:numPr>
          <w:ilvl w:val="0"/>
          <w:numId w:val="2"/>
        </w:numPr>
        <w:spacing w:after="100" w:line="276"/>
      </w:pPr>
      <w:r>
        <w:rPr>
          <w:rFonts w:ascii="Georgia" w:cs="Georgia" w:eastAsia="Georgia" w:hAnsi="Georgia"/>
          <w:b/>
          <w:bCs/>
          <w:color w:val="1A1A1A"/>
          <w:sz w:val="22"/>
          <w:szCs w:val="22"/>
        </w:rPr>
        <w:t xml:space="preserve">The one-pager</w:t>
      </w:r>
      <w:r>
        <w:rPr>
          <w:rFonts w:ascii="Georgia" w:cs="Georgia" w:eastAsia="Georgia" w:hAnsi="Georgia"/>
          <w:color w:val="1A1A1A"/>
          <w:sz w:val="22"/>
          <w:szCs w:val="22"/>
        </w:rPr>
        <w:t xml:space="preserve"> — the letter itself. One page, five short movements, no headings-and-subheadings apparatus. It reads top to bottom as a single confident argument. Every section is “two lines, clean.”</w:t>
      </w:r>
    </w:p>
    <w:p>
      <w:pPr>
        <w:pStyle w:val="ListParagraph"/>
        <w:numPr>
          <w:ilvl w:val="0"/>
          <w:numId w:val="2"/>
        </w:numPr>
        <w:spacing w:after="100" w:line="276"/>
      </w:pPr>
      <w:r>
        <w:rPr>
          <w:rFonts w:ascii="Georgia" w:cs="Georgia" w:eastAsia="Georgia" w:hAnsi="Georgia"/>
          <w:b/>
          <w:bCs/>
          <w:color w:val="1A1A1A"/>
          <w:sz w:val="22"/>
          <w:szCs w:val="22"/>
        </w:rPr>
        <w:t xml:space="preserve">The credibility sheet</w:t>
      </w:r>
      <w:r>
        <w:rPr>
          <w:rFonts w:ascii="Georgia" w:cs="Georgia" w:eastAsia="Georgia" w:hAnsi="Georgia"/>
          <w:color w:val="1A1A1A"/>
          <w:sz w:val="22"/>
          <w:szCs w:val="22"/>
        </w:rPr>
        <w:t xml:space="preserve"> — the itemised, linked audience workbook (the 25M+ documentation). It is the credibility close, not the opener: it travels behind the one-pager or is produced when asked, and its existence is referenced in the letter (“every video itemised and linked”) so the reader knows the receipts exist without being buried in them.</w:t>
      </w:r>
    </w:p>
    <w:p>
      <w:pPr>
        <w:pStyle w:val="ListParagraph"/>
        <w:numPr>
          <w:ilvl w:val="0"/>
          <w:numId w:val="2"/>
        </w:numPr>
        <w:spacing w:after="100" w:line="276"/>
      </w:pPr>
      <w:r>
        <w:rPr>
          <w:rFonts w:ascii="Georgia" w:cs="Georgia" w:eastAsia="Georgia" w:hAnsi="Georgia"/>
          <w:b/>
          <w:bCs/>
          <w:color w:val="1A1A1A"/>
          <w:sz w:val="22"/>
          <w:szCs w:val="22"/>
        </w:rPr>
        <w:t xml:space="preserve">The appendix</w:t>
      </w:r>
      <w:r>
        <w:rPr>
          <w:rFonts w:ascii="Georgia" w:cs="Georgia" w:eastAsia="Georgia" w:hAnsi="Georgia"/>
          <w:color w:val="1A1A1A"/>
          <w:sz w:val="22"/>
          <w:szCs w:val="22"/>
        </w:rPr>
        <w:t xml:space="preserve"> — because these are suits, not studio execs: a name in a letter is not a face, and a nonprofit nobody has heard of is a diligence question. Four short parts: (1) the bill — Cannon and Sagalow with headshots and Forza’s approved bios, verbatim and uncut, letting the basic-cable fingerprints do the safeness work, plus Choi as featured opener (confirmed, Forza-supplied); the letter’s own opener stays headliners-only; (2) the Tilden — the room, the 649 seats, the college, and its stated wish for a long-term relationship; (3) the 1140-a Company — what it is, a Massachusetts Chapter 180 nonprofit, who stands behind it, and the name’s provenance told briefly and well; (4) the bake — the property, the barn, one photograph if a good one exists. Facts plainly stated, no padding; it answers the questions a cautious principal asks before writing a cheque, so the phone call never stalls on “who are these people?”</w:t>
      </w:r>
    </w:p>
    <w:p>
      <w:pPr>
        <w:spacing w:after="160" w:line="276"/>
      </w:pPr>
      <w:r>
        <w:rPr>
          <w:rFonts w:ascii="Georgia" w:cs="Georgia" w:eastAsia="Georgia" w:hAnsi="Georgia"/>
          <w:color w:val="1A1A1A"/>
          <w:sz w:val="22"/>
          <w:szCs w:val="22"/>
        </w:rPr>
        <w:t xml:space="preserve">The old Build Bible’s craft survives even though the Cape Cinema product it sold is dead: a universal spine with a thin bespoke skin per target — one connective sentence re-weighted to the reader (a bank hears community standing and the 149 balcony seats gifted to schools and community groups; a luxury realtor hears the bake as bespoke client entertainment), and a “YOUR NAME HERE” poster mock set in the target’s own typeface, never their actual logo. The poster mark stays small at the foot — “presented by” in a modest hand, because a countercultural brand splashing a corporate logo would undercut both parties.</w:t>
      </w:r>
    </w:p>
    <w:p>
      <w:pPr>
        <w:pStyle w:val="Heading1"/>
        <w:spacing w:after="160" w:before="320"/>
      </w:pPr>
      <w:r>
        <w:rPr>
          <w:rFonts w:ascii="Georgia" w:cs="Georgia" w:eastAsia="Georgia" w:hAnsi="Georgia"/>
          <w:b/>
          <w:bCs/>
          <w:color w:val="1F3864"/>
          <w:sz w:val="30"/>
          <w:szCs w:val="30"/>
        </w:rPr>
        <w:t xml:space="preserve">4. The one-pager, movement by movement</w:t>
      </w:r>
    </w:p>
    <w:p>
      <w:pPr>
        <w:pStyle w:val="Heading2"/>
        <w:spacing w:after="120" w:before="240"/>
      </w:pPr>
      <w:r>
        <w:rPr>
          <w:rFonts w:ascii="Georgia" w:cs="Georgia" w:eastAsia="Georgia" w:hAnsi="Georgia"/>
          <w:b/>
          <w:bCs/>
          <w:color w:val="1A1A1A"/>
          <w:sz w:val="24"/>
          <w:szCs w:val="24"/>
        </w:rPr>
        <w:t xml:space="preserve">Movement one — the opener (redrafted: talent first)</w:t>
      </w:r>
    </w:p>
    <w:p>
      <w:pPr>
        <w:spacing w:after="160" w:line="276"/>
      </w:pPr>
      <w:r>
        <w:rPr>
          <w:rFonts w:ascii="Georgia" w:cs="Georgia" w:eastAsia="Georgia" w:hAnsi="Georgia"/>
          <w:color w:val="1A1A1A"/>
          <w:sz w:val="22"/>
          <w:szCs w:val="22"/>
        </w:rPr>
        <w:t xml:space="preserve">The earlier draft opened on the company and buried the lede — the talent arrived mid-sentence with no lift. The rewrite leads with the names and the night; the company enters third, as producer. Proposed replacement (generated, for your edit — this is not locked copy):</w:t>
      </w:r>
    </w:p>
    <w:p>
      <w:pPr>
        <w:pBdr>
          <w:left w:val="single" w:color="1F3864" w:sz="12" w:space="8"/>
        </w:pBdr>
        <w:spacing w:after="160" w:line="276"/>
        <w:ind w:left="576" w:right="576"/>
      </w:pPr>
      <w:r>
        <w:rPr>
          <w:rFonts w:ascii="Georgia" w:cs="Georgia" w:eastAsia="Georgia" w:hAnsi="Georgia"/>
          <w:i/>
          <w:iCs/>
          <w:color w:val="333333"/>
          <w:sz w:val="22"/>
          <w:szCs w:val="22"/>
        </w:rPr>
        <w:t xml:space="preserve">One night only on Cape Cod: Mike Cannon and Brendan Sagalow — two of New York’s hardest-touring headliners — share a single bill on Saturday 29 August 2026 at the Tilden Arts Center. The 1140-a Company, a Massachusetts nonprofit, is producing the night, and is offering one organisation its sole sponsorship.</w:t>
      </w:r>
    </w:p>
    <w:p>
      <w:pPr>
        <w:spacing w:after="160" w:line="276"/>
      </w:pPr>
      <w:r>
        <w:rPr>
          <w:rFonts w:ascii="Georgia" w:cs="Georgia" w:eastAsia="Georgia" w:hAnsi="Georgia"/>
          <w:color w:val="1A1A1A"/>
          <w:sz w:val="22"/>
          <w:szCs w:val="22"/>
        </w:rPr>
        <w:t xml:space="preserve">The order of the sentence is the point: names first, the one-night-only second, the venue and date third, the company last. The sponsorship is pitched as an ordinary, deductible business expense — never as a charitable donation, since 501(c)(3) determination is not in hand.</w:t>
      </w:r>
    </w:p>
    <w:p>
      <w:pPr>
        <w:pStyle w:val="Heading2"/>
        <w:spacing w:after="120" w:before="240"/>
      </w:pPr>
      <w:r>
        <w:rPr>
          <w:rFonts w:ascii="Georgia" w:cs="Georgia" w:eastAsia="Georgia" w:hAnsi="Georgia"/>
          <w:b/>
          <w:bCs/>
          <w:color w:val="1A1A1A"/>
          <w:sz w:val="24"/>
          <w:szCs w:val="24"/>
        </w:rPr>
        <w:t xml:space="preserve">Movement two — the position</w:t>
      </w:r>
    </w:p>
    <w:p>
      <w:pPr>
        <w:spacing w:after="160" w:line="276"/>
      </w:pPr>
      <w:r>
        <w:rPr>
          <w:rFonts w:ascii="Georgia" w:cs="Georgia" w:eastAsia="Georgia" w:hAnsi="Georgia"/>
          <w:color w:val="1A1A1A"/>
          <w:sz w:val="22"/>
          <w:szCs w:val="22"/>
        </w:rPr>
        <w:t xml:space="preserve">The ask comes before the gifts: “You are the sole sponsor of the event.” Name on website, posters, tickets, lobby sign. Sole, and category-exclusive by construction — there is one position and it is whole. Never state the per-head arithmetic; nobody divides the figure by twelve when the twelve arrives later as a gift.</w:t>
      </w:r>
    </w:p>
    <w:p>
      <w:pPr>
        <w:pStyle w:val="Heading2"/>
        <w:spacing w:after="120" w:before="240"/>
      </w:pPr>
      <w:r>
        <w:rPr>
          <w:rFonts w:ascii="Georgia" w:cs="Georgia" w:eastAsia="Georgia" w:hAnsi="Georgia"/>
          <w:b/>
          <w:bCs/>
          <w:color w:val="1A1A1A"/>
          <w:sz w:val="24"/>
          <w:szCs w:val="24"/>
        </w:rPr>
        <w:t xml:space="preserve">Movement three — the gifts, ascending</w:t>
      </w:r>
    </w:p>
    <w:p>
      <w:pPr>
        <w:spacing w:after="160" w:line="276"/>
      </w:pPr>
      <w:r>
        <w:rPr>
          <w:rFonts w:ascii="Georgia" w:cs="Georgia" w:eastAsia="Georgia" w:hAnsi="Georgia"/>
          <w:color w:val="1A1A1A"/>
          <w:sz w:val="22"/>
          <w:szCs w:val="22"/>
        </w:rPr>
        <w:t xml:space="preserve">“And there’s more”: the orchestra seats and parking first, the clam bake last. The seats are worded as “orchestra seating for your party” — quality stated, rows never named, for the hold-flexibility reason above. The bake gets the fullest sentences in the letter — the Friday before the show, the pit, the seaweed from Dennis beaches, the oldest barn in Dennis, the professionally served open bar, both comedians at the table, confirmed. It is the close of the offer because it is the one element with no market substitute. The 10-or-18 choice is stated here plainly, both figures printed side by side, as sizes of one and the same position — never as tiers, and never with the division done for them. (This framing is the authority: one sponsor, one whole position, two sizes. The per-head mechanics may make 18 tempting, but that logic operates silently — it is never presented, and the arithmetic never appears near the sponsor.)</w:t>
      </w:r>
    </w:p>
    <w:p>
      <w:pPr>
        <w:pStyle w:val="Heading2"/>
        <w:spacing w:after="120" w:before="240"/>
      </w:pPr>
      <w:r>
        <w:rPr>
          <w:rFonts w:ascii="Georgia" w:cs="Georgia" w:eastAsia="Georgia" w:hAnsi="Georgia"/>
          <w:b/>
          <w:bCs/>
          <w:color w:val="1A1A1A"/>
          <w:sz w:val="24"/>
          <w:szCs w:val="24"/>
        </w:rPr>
        <w:t xml:space="preserve">Movement four — the audience block (copy locked, verbatim)</w:t>
      </w:r>
    </w:p>
    <w:p>
      <w:pPr>
        <w:pBdr>
          <w:left w:val="single" w:color="1F3864" w:sz="12" w:space="8"/>
        </w:pBdr>
        <w:spacing w:after="160" w:line="276"/>
        <w:ind w:left="576" w:right="576"/>
      </w:pPr>
      <w:r>
        <w:rPr>
          <w:rFonts w:ascii="Georgia" w:cs="Georgia" w:eastAsia="Georgia" w:hAnsi="Georgia"/>
          <w:i/>
          <w:iCs/>
          <w:color w:val="333333"/>
          <w:sz w:val="22"/>
          <w:szCs w:val="22"/>
        </w:rPr>
        <w:t xml:space="preserve">Content featuring Mike Cannon and Brendan Sagalow has pulled over 25 million documented views on YouTube alone, every video itemized and linked. That figure excludes TikTok, Instagram, and Facebook, which don’t publish view counts, so true cross-platform viewership is higher still. They also have a combined following of over 640,000 across platforms, with more than 6 million TikTok likes - so each single post Cannon and Sagalow make about this event, reaches an audience of that size directly and immediately.</w:t>
      </w:r>
    </w:p>
    <w:p>
      <w:pPr>
        <w:spacing w:after="160" w:line="276"/>
      </w:pPr>
      <w:r>
        <w:rPr>
          <w:rFonts w:ascii="Georgia" w:cs="Georgia" w:eastAsia="Georgia" w:hAnsi="Georgia"/>
          <w:color w:val="1A1A1A"/>
          <w:sz w:val="22"/>
          <w:szCs w:val="22"/>
        </w:rPr>
        <w:t xml:space="preserve">This wording was the hardest-won paragraph in the transcript and is Max’s own final edit — it goes in as written, spelling and all. The 25M+ floor is deliberately rounded down so it survives challenge; “on YouTube alone” is the load-bearing hinge.</w:t>
      </w:r>
    </w:p>
    <w:p>
      <w:pPr>
        <w:spacing w:after="160" w:line="276"/>
      </w:pPr>
      <w:r>
        <w:rPr>
          <w:rFonts w:ascii="Georgia" w:cs="Georgia" w:eastAsia="Georgia" w:hAnsi="Georgia"/>
          <w:b/>
          <w:bCs/>
          <w:color w:val="1A1A1A"/>
          <w:sz w:val="22"/>
          <w:szCs w:val="22"/>
        </w:rPr>
        <w:t xml:space="preserve">The block now gets a second sentence it never had: </w:t>
      </w:r>
      <w:r>
        <w:rPr>
          <w:rFonts w:ascii="Georgia" w:cs="Georgia" w:eastAsia="Georgia" w:hAnsi="Georgia"/>
          <w:color w:val="1A1A1A"/>
          <w:sz w:val="22"/>
          <w:szCs w:val="22"/>
        </w:rPr>
        <w:t xml:space="preserve">Forza has committed the two to promoting the event on air on their own shows. The transcript’s objection to “they’ll promote it across their shows” was that it read as pie-in-the-sky forecast — that objection dies the moment it is management’s stated commitment rather than our hope. Stated plainly, with the so-what spelt out (that following, pointed at this event, with the sponsor’s name on it, repeatedly and for free), it is the strongest single line in the letter. It replaces the old optional recurrence line, which is now moot.</w:t>
      </w:r>
    </w:p>
    <w:p>
      <w:pPr>
        <w:pStyle w:val="Heading2"/>
        <w:spacing w:after="120" w:before="240"/>
      </w:pPr>
      <w:r>
        <w:rPr>
          <w:rFonts w:ascii="Georgia" w:cs="Georgia" w:eastAsia="Georgia" w:hAnsi="Georgia"/>
          <w:b/>
          <w:bCs/>
          <w:color w:val="1A1A1A"/>
          <w:sz w:val="24"/>
          <w:szCs w:val="24"/>
        </w:rPr>
        <w:t xml:space="preserve">Movement five — the invitation, with a real clock</w:t>
      </w:r>
    </w:p>
    <w:p>
      <w:pPr>
        <w:spacing w:after="160" w:line="276"/>
      </w:pPr>
      <w:r>
        <w:rPr>
          <w:rFonts w:ascii="Georgia" w:cs="Georgia" w:eastAsia="Georgia" w:hAnsi="Georgia"/>
          <w:b/>
          <w:bCs/>
          <w:color w:val="1A1A1A"/>
          <w:sz w:val="22"/>
          <w:szCs w:val="22"/>
        </w:rPr>
        <w:t xml:space="preserve">Prices are in — settled. </w:t>
      </w:r>
      <w:r>
        <w:rPr>
          <w:rFonts w:ascii="Georgia" w:cs="Georgia" w:eastAsia="Georgia" w:hAnsi="Georgia"/>
          <w:color w:val="1A1A1A"/>
          <w:sz w:val="22"/>
          <w:szCs w:val="22"/>
        </w:rPr>
        <w:t xml:space="preserve">Both figures print in the letter; everything is in this document, and a principal can decide from it by phone.</w:t>
      </w:r>
    </w:p>
    <w:p>
      <w:pPr>
        <w:spacing w:after="160" w:line="276"/>
      </w:pPr>
      <w:r>
        <w:rPr>
          <w:rFonts w:ascii="Georgia" w:cs="Georgia" w:eastAsia="Georgia" w:hAnsi="Georgia"/>
          <w:b/>
          <w:bCs/>
          <w:color w:val="1A1A1A"/>
          <w:sz w:val="22"/>
          <w:szCs w:val="22"/>
        </w:rPr>
        <w:t xml:space="preserve">The ticking clock exists, and it is honest. </w:t>
      </w:r>
      <w:r>
        <w:rPr>
          <w:rFonts w:ascii="Georgia" w:cs="Georgia" w:eastAsia="Georgia" w:hAnsi="Georgia"/>
          <w:color w:val="1A1A1A"/>
          <w:sz w:val="22"/>
          <w:szCs w:val="22"/>
        </w:rPr>
        <w:t xml:space="preserve">Eighteen orchestra seats cannot be held for weeks — and that constraint is itself the polite deadline. The letter says so plainly: the orchestra seats for the sponsor’s party are being held out of general sale, and they are released to the public when tickets go on sale on [date] — so the position is open until [reply-by date], and closes when the seats go. That is a true mechanical clock, not manufactured scarcity, so it survives the honesty doctrine intact: the seats really are held, they really do go on sale, and the date really is the end of it.</w:t>
      </w:r>
    </w:p>
    <w:p>
      <w:pPr>
        <w:spacing w:after="160" w:line="276"/>
      </w:pPr>
      <w:r>
        <w:rPr>
          <w:rFonts w:ascii="Georgia" w:cs="Georgia" w:eastAsia="Georgia" w:hAnsi="Georgia"/>
          <w:color w:val="1A1A1A"/>
          <w:sz w:val="22"/>
          <w:szCs w:val="22"/>
        </w:rPr>
        <w:t xml:space="preserve">Belt and braces regardless of the date: the wildcat line stops being a murmur and becomes an unmissable sentence of its own — we are approaching several organisations, and the position goes to the first to commit. Urgency and the clean exit, both, in one plain statement.</w:t>
      </w:r>
    </w:p>
    <w:p>
      <w:pPr>
        <w:pStyle w:val="Heading1"/>
        <w:spacing w:after="160" w:before="320"/>
      </w:pPr>
      <w:r>
        <w:rPr>
          <w:rFonts w:ascii="Georgia" w:cs="Georgia" w:eastAsia="Georgia" w:hAnsi="Georgia"/>
          <w:b/>
          <w:bCs/>
          <w:color w:val="1F3864"/>
          <w:sz w:val="30"/>
          <w:szCs w:val="30"/>
        </w:rPr>
        <w:t xml:space="preserve">5. The register</w:t>
      </w:r>
    </w:p>
    <w:p>
      <w:pPr>
        <w:spacing w:after="160" w:line="276"/>
      </w:pPr>
      <w:r>
        <w:rPr>
          <w:rFonts w:ascii="Georgia" w:cs="Georgia" w:eastAsia="Georgia" w:hAnsi="Georgia"/>
          <w:color w:val="1A1A1A"/>
          <w:sz w:val="22"/>
          <w:szCs w:val="22"/>
        </w:rPr>
        <w:t xml:space="preserve">The rules, consolidated from every ruling in the record. These are non-negotiable in the finished piece:</w:t>
      </w:r>
    </w:p>
    <w:p>
      <w:pPr>
        <w:pStyle w:val="ListParagraph"/>
        <w:numPr>
          <w:ilvl w:val="0"/>
          <w:numId w:val="2"/>
        </w:numPr>
        <w:spacing w:after="100" w:line="276"/>
      </w:pPr>
      <w:r>
        <w:rPr>
          <w:rFonts w:ascii="Georgia" w:cs="Georgia" w:eastAsia="Georgia" w:hAnsi="Georgia"/>
          <w:color w:val="1A1A1A"/>
          <w:sz w:val="22"/>
          <w:szCs w:val="22"/>
        </w:rPr>
        <w:t xml:space="preserve">Understatement as flex. A line item, not a carnie barker. Strong facts plainly stated; no hype, no superlatives, no exclamation marks.</w:t>
      </w:r>
    </w:p>
    <w:p>
      <w:pPr>
        <w:pStyle w:val="ListParagraph"/>
        <w:numPr>
          <w:ilvl w:val="0"/>
          <w:numId w:val="2"/>
        </w:numPr>
        <w:spacing w:after="100" w:line="276"/>
      </w:pPr>
      <w:r>
        <w:rPr>
          <w:rFonts w:ascii="Georgia" w:cs="Georgia" w:eastAsia="Georgia" w:hAnsi="Georgia"/>
          <w:color w:val="1A1A1A"/>
          <w:sz w:val="22"/>
          <w:szCs w:val="22"/>
        </w:rPr>
        <w:t xml:space="preserve">Round down. A verifiable 25M beats a challengeable 29.8M. “Documented” and “itemised and linked” are the receipts language.</w:t>
      </w:r>
    </w:p>
    <w:p>
      <w:pPr>
        <w:pStyle w:val="ListParagraph"/>
        <w:numPr>
          <w:ilvl w:val="0"/>
          <w:numId w:val="2"/>
        </w:numPr>
        <w:spacing w:after="100" w:line="276"/>
      </w:pPr>
      <w:r>
        <w:rPr>
          <w:rFonts w:ascii="Georgia" w:cs="Georgia" w:eastAsia="Georgia" w:hAnsi="Georgia"/>
          <w:color w:val="1A1A1A"/>
          <w:sz w:val="22"/>
          <w:szCs w:val="22"/>
        </w:rPr>
        <w:t xml:space="preserve">Banned words: “viral”, “reach”, “impressions”. Never imply the 640,000 following translates to local attendance.</w:t>
      </w:r>
    </w:p>
    <w:p>
      <w:pPr>
        <w:pStyle w:val="ListParagraph"/>
        <w:numPr>
          <w:ilvl w:val="0"/>
          <w:numId w:val="2"/>
        </w:numPr>
        <w:spacing w:after="100" w:line="276"/>
      </w:pPr>
      <w:r>
        <w:rPr>
          <w:rFonts w:ascii="Georgia" w:cs="Georgia" w:eastAsia="Georgia" w:hAnsi="Georgia"/>
          <w:color w:val="1A1A1A"/>
          <w:sz w:val="22"/>
          <w:szCs w:val="22"/>
        </w:rPr>
        <w:t xml:space="preserve">Never assert the comedians are “safe” — let their fingerprints all over basic cable explain the safeness. Credentials imply; they do not claim.</w:t>
      </w:r>
    </w:p>
    <w:p>
      <w:pPr>
        <w:pStyle w:val="ListParagraph"/>
        <w:numPr>
          <w:ilvl w:val="0"/>
          <w:numId w:val="2"/>
        </w:numPr>
        <w:spacing w:after="100" w:line="276"/>
      </w:pPr>
      <w:r>
        <w:rPr>
          <w:rFonts w:ascii="Georgia" w:cs="Georgia" w:eastAsia="Georgia" w:hAnsi="Georgia"/>
          <w:color w:val="1A1A1A"/>
          <w:sz w:val="22"/>
          <w:szCs w:val="22"/>
        </w:rPr>
        <w:t xml:space="preserve">Forza’s approved bios run verbatim and uncut wherever the format allows; where it doesn’t, write fresh short copy — never take scissors to their words.</w:t>
      </w:r>
    </w:p>
    <w:p>
      <w:pPr>
        <w:pStyle w:val="ListParagraph"/>
        <w:numPr>
          <w:ilvl w:val="0"/>
          <w:numId w:val="2"/>
        </w:numPr>
        <w:spacing w:after="100" w:line="276"/>
      </w:pPr>
      <w:r>
        <w:rPr>
          <w:rFonts w:ascii="Georgia" w:cs="Georgia" w:eastAsia="Georgia" w:hAnsi="Georgia"/>
          <w:color w:val="1A1A1A"/>
          <w:sz w:val="22"/>
          <w:szCs w:val="22"/>
        </w:rPr>
        <w:t xml:space="preserve">Every statistic carries its so-what spelt out, or it is cut.</w:t>
      </w:r>
    </w:p>
    <w:p>
      <w:pPr>
        <w:pStyle w:val="ListParagraph"/>
        <w:numPr>
          <w:ilvl w:val="0"/>
          <w:numId w:val="2"/>
        </w:numPr>
        <w:spacing w:after="100" w:line="276"/>
      </w:pPr>
      <w:r>
        <w:rPr>
          <w:rFonts w:ascii="Georgia" w:cs="Georgia" w:eastAsia="Georgia" w:hAnsi="Georgia"/>
          <w:color w:val="1A1A1A"/>
          <w:sz w:val="22"/>
          <w:szCs w:val="22"/>
        </w:rPr>
        <w:t xml:space="preserve">“The” before venue names. No tildes or spec-sheet characters in prose. British English throughout — except inside the locked audience block, which stands as written.</w:t>
      </w:r>
    </w:p>
    <w:p>
      <w:pPr>
        <w:pStyle w:val="Heading1"/>
        <w:spacing w:after="160" w:before="320"/>
      </w:pPr>
      <w:r>
        <w:rPr>
          <w:rFonts w:ascii="Georgia" w:cs="Georgia" w:eastAsia="Georgia" w:hAnsi="Georgia"/>
          <w:b/>
          <w:bCs/>
          <w:color w:val="1F3864"/>
          <w:sz w:val="30"/>
          <w:szCs w:val="30"/>
        </w:rPr>
        <w:t xml:space="preserve">6. Who receives it, and in what order</w:t>
      </w:r>
    </w:p>
    <w:p>
      <w:pPr>
        <w:spacing w:after="160" w:line="276"/>
      </w:pPr>
      <w:r>
        <w:rPr>
          <w:rFonts w:ascii="Georgia" w:cs="Georgia" w:eastAsia="Georgia" w:hAnsi="Georgia"/>
          <w:color w:val="1A1A1A"/>
          <w:sz w:val="22"/>
          <w:szCs w:val="22"/>
        </w:rPr>
        <w:t xml:space="preserve">The calendar has closed the formal portals for 2026 (Cape &amp; Coast’s eight-week notice has passed; Kelley needs six months), so this year’s route is principal-to-principal: a bank president, a family-business owner, a trustee who can decide by telephone. The portals are the 2027 route, and this letter seeds them.</w:t>
      </w:r>
    </w:p>
    <w:p>
      <w:pPr>
        <w:spacing w:after="160" w:line="276"/>
      </w:pPr>
      <w:r>
        <w:rPr>
          <w:rFonts w:ascii="Georgia" w:cs="Georgia" w:eastAsia="Georgia" w:hAnsi="Georgia"/>
          <w:color w:val="1A1A1A"/>
          <w:sz w:val="22"/>
          <w:szCs w:val="22"/>
        </w:rPr>
        <w:t xml:space="preserve">First wave, from the July research: Cape &amp; Coast Bank, Cape Cod 5, Rockland Trust (which explicitly funds non-501(c)(3)s and distributed $5.8M in 2025), Cape Air, and RogersGray/Baldwin (Dennis-headquartered). Second ring: the Davenport Companies, William Raveis and Kinlin Grover (the bake as client entertainment), and the family-business cluster. Cape Cod Beer is in-kind only. Benchmarks that make the ask look normal on the Cape: Figawi’s $20K premier tier and Seaside Le Mans’ $12K Full Kart.</w:t>
      </w:r>
    </w:p>
    <w:p>
      <w:pPr>
        <w:spacing w:after="160" w:line="276"/>
      </w:pPr>
      <w:r>
        <w:rPr>
          <w:rFonts w:ascii="Georgia" w:cs="Georgia" w:eastAsia="Georgia" w:hAnsi="Georgia"/>
          <w:color w:val="1A1A1A"/>
          <w:sz w:val="22"/>
          <w:szCs w:val="22"/>
        </w:rPr>
        <w:t xml:space="preserve">Sequencing is now clean: Forza’s yes is in hand, so the letter can promise the comedians’ presence at the bake and their on-air promotion without conditional wording, and nothing in the letter outruns what management has blessed. The wildcat line stays for its urgency and its clean exit, not as cover.</w:t>
      </w:r>
    </w:p>
    <w:p>
      <w:pPr>
        <w:pStyle w:val="Heading1"/>
        <w:spacing w:after="160" w:before="320"/>
      </w:pPr>
      <w:r>
        <w:rPr>
          <w:rFonts w:ascii="Georgia" w:cs="Georgia" w:eastAsia="Georgia" w:hAnsi="Georgia"/>
          <w:b/>
          <w:bCs/>
          <w:color w:val="1F3864"/>
          <w:sz w:val="30"/>
          <w:szCs w:val="30"/>
        </w:rPr>
        <w:t xml:space="preserve">7. Pre-flight checks (before anything is sent)</w:t>
      </w:r>
    </w:p>
    <w:p>
      <w:pPr>
        <w:pStyle w:val="ListParagraph"/>
        <w:numPr>
          <w:ilvl w:val="0"/>
          <w:numId w:val="3"/>
        </w:numPr>
        <w:spacing w:after="100" w:line="276"/>
      </w:pPr>
      <w:r>
        <w:rPr>
          <w:rFonts w:ascii="Georgia" w:cs="Georgia" w:eastAsia="Georgia" w:hAnsi="Georgia"/>
          <w:color w:val="1A1A1A"/>
          <w:sz w:val="22"/>
          <w:szCs w:val="22"/>
        </w:rPr>
        <w:t xml:space="preserve">Verify the 11.69M Distefano video actually features Cannon. The 25M+ floor was built to survive its loss, but the itemised sheet must not contain a challengeable line.</w:t>
      </w:r>
    </w:p>
    <w:p>
      <w:pPr>
        <w:pStyle w:val="ListParagraph"/>
        <w:numPr>
          <w:ilvl w:val="0"/>
          <w:numId w:val="3"/>
        </w:numPr>
        <w:spacing w:after="100" w:line="276"/>
      </w:pPr>
      <w:r>
        <w:rPr>
          <w:rFonts w:ascii="Georgia" w:cs="Georgia" w:eastAsia="Georgia" w:hAnsi="Georgia"/>
          <w:color w:val="1A1A1A"/>
          <w:sz w:val="22"/>
          <w:szCs w:val="22"/>
        </w:rPr>
        <w:t xml:space="preserve">Refresh the two sponsor-research documents to the final package — both still carry the superseded $17,500/14-seat offer, and would embarrass the letter if forwarded alongside it.</w:t>
      </w:r>
    </w:p>
    <w:p>
      <w:pPr>
        <w:pStyle w:val="ListParagraph"/>
        <w:numPr>
          <w:ilvl w:val="0"/>
          <w:numId w:val="3"/>
        </w:numPr>
        <w:spacing w:after="100" w:line="276"/>
      </w:pPr>
      <w:r>
        <w:rPr>
          <w:rFonts w:ascii="Georgia" w:cs="Georgia" w:eastAsia="Georgia" w:hAnsi="Georgia"/>
          <w:color w:val="1A1A1A"/>
          <w:sz w:val="22"/>
          <w:szCs w:val="22"/>
        </w:rPr>
        <w:t xml:space="preserve">Re-run the catering arithmetic at 10 and at 18 covers with the licensed-caterer bar folded in — pending Anne’s CE all-in number — so the bake’s cost floor under each option is known before the figures go in print. The record’s last models were built at 12 and 14 heads, without a bar, and on the wrong day.</w:t>
      </w:r>
    </w:p>
    <w:p>
      <w:pPr>
        <w:pStyle w:val="ListParagraph"/>
        <w:numPr>
          <w:ilvl w:val="0"/>
          <w:numId w:val="3"/>
        </w:numPr>
        <w:spacing w:after="100" w:line="276"/>
      </w:pPr>
      <w:r>
        <w:rPr>
          <w:rFonts w:ascii="Georgia" w:cs="Georgia" w:eastAsia="Georgia" w:hAnsi="Georgia"/>
          <w:color w:val="1A1A1A"/>
          <w:sz w:val="22"/>
          <w:szCs w:val="22"/>
        </w:rPr>
        <w:t xml:space="preserve">Confirm Cannon’s headshot licence (Sagalow’s is in hand, credit John Cafaro) before the poster mock is built.</w:t>
      </w:r>
    </w:p>
    <w:p>
      <w:pPr>
        <w:pStyle w:val="ListParagraph"/>
        <w:numPr>
          <w:ilvl w:val="0"/>
          <w:numId w:val="3"/>
        </w:numPr>
        <w:spacing w:after="100" w:line="276"/>
      </w:pPr>
      <w:r>
        <w:rPr>
          <w:rFonts w:ascii="Georgia" w:cs="Georgia" w:eastAsia="Georgia" w:hAnsi="Georgia"/>
          <w:color w:val="1A1A1A"/>
          <w:sz w:val="22"/>
          <w:szCs w:val="22"/>
        </w:rPr>
        <w:t xml:space="preserve">Google both comedians as a prospect would. If the Thin Lips cold-open ranks first, pre-empt with two clips — one each, no long list.</w:t>
      </w:r>
    </w:p>
    <w:p>
      <w:pPr>
        <w:pStyle w:val="ListParagraph"/>
        <w:numPr>
          <w:ilvl w:val="0"/>
          <w:numId w:val="3"/>
        </w:numPr>
        <w:spacing w:after="100" w:line="276"/>
      </w:pPr>
      <w:r>
        <w:rPr>
          <w:rFonts w:ascii="Georgia" w:cs="Georgia" w:eastAsia="Georgia" w:hAnsi="Georgia"/>
          <w:color w:val="1A1A1A"/>
          <w:sz w:val="22"/>
          <w:szCs w:val="22"/>
        </w:rPr>
        <w:t xml:space="preserve">Confirm the Commonwealth listing has landed before any recipient can look the company up — the letter says “a Massachusetts nonprofit” and the record should agree by the time they check.</w:t>
      </w:r>
    </w:p>
    <w:p>
      <w:pPr>
        <w:pStyle w:val="Heading1"/>
        <w:spacing w:after="160" w:before="320"/>
      </w:pPr>
      <w:r>
        <w:rPr>
          <w:rFonts w:ascii="Georgia" w:cs="Georgia" w:eastAsia="Georgia" w:hAnsi="Georgia"/>
          <w:b/>
          <w:bCs/>
          <w:color w:val="1F3864"/>
          <w:sz w:val="30"/>
          <w:szCs w:val="30"/>
        </w:rPr>
        <w:t xml:space="preserve">8. Open decisions — settle these, then the document gets written</w:t>
      </w:r>
    </w:p>
    <w:p>
      <w:pPr>
        <w:spacing w:after="160" w:line="276"/>
      </w:pPr>
      <w:r>
        <w:rPr>
          <w:rFonts w:ascii="Georgia" w:cs="Georgia" w:eastAsia="Georgia" w:hAnsi="Georgia"/>
          <w:color w:val="1A1A1A"/>
          <w:sz w:val="22"/>
          <w:szCs w:val="22"/>
        </w:rPr>
        <w:t xml:space="preserve">The package, the prices-in-the-letter question, the seats wording, the bake contingency and the recurrence line are all now settled. Two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c>
          <w:tcPr>
            <w:tcW w:type="dxa" w:w="1"/>
            <w:shd w:fill="EDF1F7" w:val="clear"/>
            <w:tcMar>
              <w:top w:type="dxa" w:w="80"/>
              <w:left w:type="dxa" w:w="120"/>
              <w:bottom w:type="dxa" w:w="80"/>
              <w:right w:type="dxa" w:w="120"/>
            </w:tcMar>
          </w:tcPr>
          <w:p>
            <w:pPr>
              <w:spacing w:after="0" w:line="260"/>
            </w:pPr>
            <w:r>
              <w:rPr>
                <w:rFonts w:ascii="Georgia" w:cs="Georgia" w:eastAsia="Georgia" w:hAnsi="Georgia"/>
                <w:b/>
                <w:bCs/>
                <w:color w:val="1A1A1A"/>
                <w:sz w:val="20"/>
                <w:szCs w:val="20"/>
              </w:rPr>
              <w:t xml:space="preserve">Decision</w:t>
            </w:r>
          </w:p>
        </w:tc>
        <w:tc>
          <w:tcPr>
            <w:tcW w:type="dxa" w:w="1"/>
            <w:shd w:fill="EDF1F7" w:val="clear"/>
            <w:tcMar>
              <w:top w:type="dxa" w:w="80"/>
              <w:left w:type="dxa" w:w="120"/>
              <w:bottom w:type="dxa" w:w="80"/>
              <w:right w:type="dxa" w:w="120"/>
            </w:tcMar>
          </w:tcPr>
          <w:p>
            <w:pPr>
              <w:spacing w:after="0" w:line="260"/>
            </w:pPr>
            <w:r>
              <w:rPr>
                <w:rFonts w:ascii="Georgia" w:cs="Georgia" w:eastAsia="Georgia" w:hAnsi="Georgia"/>
                <w:b/>
                <w:bCs/>
                <w:color w:val="1A1A1A"/>
                <w:sz w:val="20"/>
                <w:szCs w:val="20"/>
              </w:rPr>
              <w:t xml:space="preserve">Where it stands</w:t>
            </w:r>
          </w:p>
        </w:tc>
        <w:tc>
          <w:tcPr>
            <w:tcW w:type="dxa" w:w="1"/>
            <w:shd w:fill="EDF1F7" w:val="clear"/>
            <w:tcMar>
              <w:top w:type="dxa" w:w="80"/>
              <w:left w:type="dxa" w:w="120"/>
              <w:bottom w:type="dxa" w:w="80"/>
              <w:right w:type="dxa" w:w="120"/>
            </w:tcMar>
          </w:tcPr>
          <w:p>
            <w:pPr>
              <w:spacing w:after="0" w:line="260"/>
            </w:pPr>
            <w:r>
              <w:rPr>
                <w:rFonts w:ascii="Georgia" w:cs="Georgia" w:eastAsia="Georgia" w:hAnsi="Georgia"/>
                <w:b/>
                <w:bCs/>
                <w:color w:val="1A1A1A"/>
                <w:sz w:val="20"/>
                <w:szCs w:val="20"/>
              </w:rPr>
              <w:t xml:space="preserve">It blocks</w:t>
            </w:r>
          </w:p>
        </w:tc>
      </w:tr>
      <w:tr>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1. The clock’s date</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The reply-by date, naturally anchored to the general on-sale date (itself gated by the executed contract and the live bank account). Set the on-sale date and the deadline writes itself. If on-sale slips, the letter can carry the reply-by date alone.</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Movement five</w:t>
            </w:r>
          </w:p>
        </w:tc>
      </w:tr>
      <w:tr>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2. First-wave list &amp; sender</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Cape Cod 5 leads. The remaining four, and under whose signature the letter goes.</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Sequencing</w:t>
            </w:r>
          </w:p>
        </w:tc>
      </w:tr>
    </w:tbl>
    <w:p>
      <w:pPr>
        <w:spacing w:after="160" w:line="276"/>
      </w:pPr>
      <w:r>
        <w:rPr>
          <w:rFonts w:ascii="Georgia" w:cs="Georgia" w:eastAsia="Georgia" w:hAnsi="Georgia"/>
          <w:color w:val="1A1A1A"/>
          <w:sz w:val="22"/>
          <w:szCs w:val="22"/>
        </w:rPr>
        <w:t xml:space="default"/>
      </w:r>
    </w:p>
    <w:p>
      <w:pPr>
        <w:spacing w:after="160" w:line="276"/>
      </w:pPr>
      <w:r>
        <w:rPr>
          <w:rFonts w:ascii="Georgia" w:cs="Georgia" w:eastAsia="Georgia" w:hAnsi="Georgia"/>
          <w:color w:val="1A1A1A"/>
          <w:sz w:val="22"/>
          <w:szCs w:val="22"/>
        </w:rPr>
        <w:t xml:space="preserve">Once these two are answered, the next step is a single pass producing the finished one-pager (universal spine), the first bespoke skin for the lead target, and the poster mock — in that order. The appendix follows once the Cannon headshot licence is confirmed; it needs no decisions, only assembly.</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2026-07-23T04:31:19.890Z</dcterms:created>
  <dcterms:modified xsi:type="dcterms:W3CDTF">2026-07-23T04:31:19.891Z</dcterms:modified>
</cp:coreProperties>
</file>

<file path=docProps/custom.xml><?xml version="1.0" encoding="utf-8"?>
<Properties xmlns="http://schemas.openxmlformats.org/officeDocument/2006/custom-properties" xmlns:vt="http://schemas.openxmlformats.org/officeDocument/2006/docPropsVTypes"/>
</file>