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aps/>
          <w:color w:val="2E5E4E"/>
          <w:sz w:val="26"/>
          <w:szCs w:val="26"/>
        </w:rPr>
        <w:t xml:space="preserve">CAPE COD REFINERY CO.</w:t>
      </w:r>
    </w:p>
    <w:p>
      <w:pPr>
        <w:spacing w:after="0" w:before="240"/>
        <w:jc w:val="center"/>
      </w:pPr>
      <w:r>
        <w:rPr>
          <w:b/>
          <w:bCs/>
          <w:sz w:val="52"/>
          <w:szCs w:val="52"/>
        </w:rPr>
        <w:t xml:space="preserve">THE SPONSOR PACKAGE</w:t>
      </w:r>
    </w:p>
    <w:p>
      <w:pPr>
        <w:spacing w:after="0" w:before="120"/>
        <w:jc w:val="center"/>
      </w:pPr>
      <w:r>
        <w:rPr>
          <w:color w:val="666666"/>
          <w:sz w:val="26"/>
          <w:szCs w:val="26"/>
        </w:rPr>
        <w:t xml:space="preserve">A Build Bible — what the presentation package must and must not contain</w:t>
      </w:r>
    </w:p>
    <w:p>
      <w:pPr>
        <w:spacing w:after="0" w:before="80"/>
        <w:jc w:val="center"/>
      </w:pPr>
      <w:r>
        <w:rPr>
          <w:i/>
          <w:iCs/>
          <w:color w:val="666666"/>
          <w:sz w:val="22"/>
          <w:szCs w:val="22"/>
        </w:rPr>
        <w:t xml:space="preserve">Cape Cod Comedy Special Series · Cape Cinema, Dennis, Massachusetts</w:t>
      </w:r>
    </w:p>
    <w:p>
      <w:pPr>
        <w:spacing w:after="0" w:before="900"/>
        <w:jc w:val="center"/>
      </w:pPr>
      <w:r>
        <w:rPr>
          <w:b/>
          <w:bCs/>
          <w:color w:val="2E5E4E"/>
          <w:sz w:val="20"/>
          <w:szCs w:val="20"/>
        </w:rPr>
        <w:t xml:space="preserve">VERSION 1.0 — WORKING DOCUMENT</w:t>
      </w:r>
    </w:p>
    <w:p>
      <w:r>
        <w:br w:type="page"/>
      </w:r>
    </w:p>
    <w:p>
      <w:pPr>
        <w:pStyle w:val="Heading1"/>
      </w:pPr>
      <w:r>
        <w:t xml:space="preserve">0. What this document is</w:t>
      </w:r>
    </w:p>
    <w:p>
      <w:pPr>
        <w:spacing w:after="120" w:line="276"/>
      </w:pPr>
      <w:r>
        <w:t xml:space="preserve">This is the specification for building the sponsor presentation package — the rules for what goes in it, what stays out of it, and why. It is not the package itself. Think of it as the blueprint the package is built from, so that every version produced is consistent, professional, and on-strategy.</w:t>
      </w:r>
    </w:p>
    <w:p>
      <w:pPr>
        <w:spacing w:after="120" w:line="276"/>
      </w:pPr>
      <w:r>
        <w:t xml:space="preserve">It assumes no prior experience producing a sponsorship proposal, and explains the reasoning behind each rule, because a rule you understand is a rule you can apply to a situation this document did not anticipate.</w:t>
      </w:r>
    </w:p>
    <w:p>
      <w:pPr>
        <w:spacing w:after="120" w:line="276"/>
      </w:pPr>
      <w:r>
        <w:rPr>
          <w:i/>
          <w:iCs/>
          <w:color w:val="666666"/>
        </w:rPr>
        <w:t xml:space="preserve">Markings used throughout: </w:t>
      </w:r>
      <w:r>
        <w:rPr>
          <w:b/>
          <w:bCs/>
          <w:color w:val="2E5E4E"/>
        </w:rPr>
        <w:t xml:space="preserve">MUST</w:t>
      </w:r>
      <w:r>
        <w:rPr>
          <w:color w:val="666666"/>
        </w:rPr>
        <w:t xml:space="preserve"> / </w:t>
      </w:r>
      <w:r>
        <w:rPr>
          <w:b/>
          <w:bCs/>
          <w:color w:val="B00000"/>
        </w:rPr>
        <w:t xml:space="preserve">MUST NOT</w:t>
      </w:r>
      <w:r>
        <w:rPr>
          <w:color w:val="666666"/>
        </w:rPr>
        <w:t xml:space="preserve"> are hard rules. </w:t>
      </w:r>
      <w:r>
        <w:rPr>
          <w:b/>
          <w:bCs/>
          <w:color w:val="444444"/>
        </w:rPr>
        <w:t xml:space="preserve">WHY</w:t>
      </w:r>
      <w:r>
        <w:rPr>
          <w:color w:val="666666"/>
        </w:rPr>
        <w:t xml:space="preserve"> explains the reasoning. </w:t>
      </w:r>
      <w:r>
        <w:rPr>
          <w:b/>
          <w:bCs/>
          <w:color w:val="666666"/>
        </w:rPr>
        <w:t xml:space="preserve">NEXT</w:t>
      </w:r>
      <w:r>
        <w:rPr>
          <w:color w:val="666666"/>
        </w:rPr>
        <w:t xml:space="preserve"> marks something deliberately deferred to the door-opening conversation.</w:t>
      </w:r>
    </w:p>
    <w:p>
      <w:pPr>
        <w:spacing w:after="60"/>
      </w:pPr>
      <w:r>
        <w:t xml:space="preserve"/>
      </w:r>
    </w:p>
    <w:p>
      <w:pPr>
        <w:pStyle w:val="Heading2"/>
      </w:pPr>
      <w:r>
        <w:t xml:space="preserve">0.1 The one governing idea</w:t>
      </w:r>
    </w:p>
    <w:p>
      <w:pPr>
        <w:spacing w:after="120" w:line="276"/>
      </w:pPr>
      <w:r>
        <w:t xml:space="preserve">You are not selling a night of comedy. You are selling </w:t>
      </w:r>
      <w:r>
        <w:rPr>
          <w:b/>
          <w:bCs/>
        </w:rPr>
        <w:t xml:space="preserve">a single exclusive presenting position on four professionally-produced stand-up specials that the performers own and will promote indefinitely</w:t>
      </w:r>
      <w:r>
        <w:t xml:space="preserve"> — a permanent, appreciating media asset, not a one-night banner. Every rule below serves that idea. If a choice in building the package contradicts it, the idea wins.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package architecture: universal spine, bespoke skin</w:t>
      </w:r>
    </w:p>
    <w:p>
      <w:pPr>
        <w:spacing w:after="120" w:line="276"/>
      </w:pPr>
      <w:r>
        <w:t xml:space="preserve">The single most important structural decision, and the answer to whether each sponsor needs a different proposal:</w:t>
      </w:r>
    </w:p>
    <w:p>
      <w:pPr>
        <w:spacing w:after="120" w:line="276"/>
      </w:pPr>
      <w:r>
        <w:rPr>
          <w:b/>
          <w:bCs/>
        </w:rPr>
        <w:t xml:space="preserve">Sponsorship is a more standardised language than ordinary selling. </w:t>
      </w:r>
      <w:r>
        <w:t xml:space="preserve">The person who receives this package — a marketing, sponsorship, or community-relations manager — reads proposals like it as part of their job. They have a mental checklist they apply every time, regardless of industry: what is the property, what is the audience and reach, what visibility and assets do I get, what is the exclusivity, what does it cost. Because the </w:t>
      </w:r>
      <w:r>
        <w:rPr>
          <w:i/>
          <w:iCs/>
        </w:rPr>
        <w:t xml:space="preserve">function</w:t>
      </w:r>
      <w:r>
        <w:t xml:space="preserve"> (marketing spend for association and visibility) is the same across a bank, a realtor, or a car dealership, the language is largely shared. A proposal that speaks it fluently signals professionalism. A wildly bespoke, off-pattern proposal can read as amateur — as someone who does not know how sponsorship works.</w:t>
      </w:r>
    </w:p>
    <w:p>
      <w:pPr>
        <w:spacing w:after="120" w:line="276"/>
      </w:pPr>
      <w:r>
        <w:t xml:space="preserve">Therefore the package is built ONCE, as a universal spine, with a thin, defined bespoke layer applied per target. You do not build four different proposals.</w:t>
      </w:r>
    </w:p>
    <w:p>
      <w:pPr>
        <w:pStyle w:val="Heading2"/>
      </w:pPr>
      <w:r>
        <w:t xml:space="preserve">1.1 The universal spine (built once, identical for everyone)</w:t>
      </w:r>
    </w:p>
    <w:p>
      <w:pPr>
        <w:spacing w:after="120" w:line="276"/>
      </w:pPr>
      <w:r>
        <w:t xml:space="preserve">This is the bulk of the document and the part that signals professionalism. It does not change from target to target:</w:t>
      </w:r>
    </w:p>
    <w:p>
      <w:pPr>
        <w:pStyle w:val="ListParagraph"/>
        <w:numPr>
          <w:ilvl w:val="0"/>
          <w:numId w:val="2"/>
        </w:numPr>
        <w:spacing w:after="60" w:line="264"/>
      </w:pPr>
      <w:r>
        <w:t xml:space="preserve">The property and the one governing idea (Section 0.1).</w:t>
      </w:r>
    </w:p>
    <w:p>
      <w:pPr>
        <w:pStyle w:val="ListParagraph"/>
        <w:numPr>
          <w:ilvl w:val="0"/>
          <w:numId w:val="2"/>
        </w:numPr>
        <w:spacing w:after="60" w:line="264"/>
      </w:pPr>
      <w:r>
        <w:t xml:space="preserve">The single-exclusive-presenter architecture and what it includes (Section 3).</w:t>
      </w:r>
    </w:p>
    <w:p>
      <w:pPr>
        <w:pStyle w:val="ListParagraph"/>
        <w:numPr>
          <w:ilvl w:val="0"/>
          <w:numId w:val="2"/>
        </w:numPr>
        <w:spacing w:after="60" w:line="264"/>
      </w:pPr>
      <w:r>
        <w:t xml:space="preserve">The performer template and the reach logic (Section 4).</w:t>
      </w:r>
    </w:p>
    <w:p>
      <w:pPr>
        <w:pStyle w:val="ListParagraph"/>
        <w:numPr>
          <w:ilvl w:val="0"/>
          <w:numId w:val="2"/>
        </w:numPr>
        <w:spacing w:after="60" w:line="264"/>
      </w:pPr>
      <w:r>
        <w:t xml:space="preserve">The production-quality signal (Section 5).</w:t>
      </w:r>
    </w:p>
    <w:p>
      <w:pPr>
        <w:pStyle w:val="ListParagraph"/>
        <w:numPr>
          <w:ilvl w:val="0"/>
          <w:numId w:val="2"/>
        </w:numPr>
        <w:spacing w:after="60" w:line="264"/>
      </w:pPr>
      <w:r>
        <w:t xml:space="preserve">The visibility and placement model — the full-special card, the in-room step-and-repeat (Section 6).</w:t>
      </w:r>
    </w:p>
    <w:p>
      <w:pPr>
        <w:pStyle w:val="ListParagraph"/>
        <w:numPr>
          <w:ilvl w:val="0"/>
          <w:numId w:val="2"/>
        </w:numPr>
        <w:spacing w:after="60" w:line="264"/>
      </w:pPr>
      <w:r>
        <w:t xml:space="preserve">The venue and the experience (Section 7).</w:t>
      </w:r>
    </w:p>
    <w:p>
      <w:pPr>
        <w:pStyle w:val="ListParagraph"/>
        <w:numPr>
          <w:ilvl w:val="0"/>
          <w:numId w:val="2"/>
        </w:numPr>
        <w:spacing w:after="60" w:line="264"/>
      </w:pPr>
      <w:r>
        <w:t xml:space="preserve">The exclusivity and the call-to-discuss (Sections 3, 9).</w:t>
      </w:r>
    </w:p>
    <w:p>
      <w:pPr>
        <w:pStyle w:val="Heading2"/>
      </w:pPr>
      <w:r>
        <w:t xml:space="preserve">1.2 The bespoke skin (applied per target, kept minimal)</w:t>
      </w:r>
    </w:p>
    <w:p>
      <w:pPr>
        <w:spacing w:after="120" w:line="276"/>
      </w:pPr>
      <w:r>
        <w:t xml:space="preserve">The customisation is small and surgical. It is not a different pitch; it is three light touches:</w:t>
      </w:r>
    </w:p>
    <w:p>
      <w:pPr>
        <w:pStyle w:val="ListParagraph"/>
        <w:numPr>
          <w:ilvl w:val="0"/>
          <w:numId w:val="2"/>
        </w:numPr>
        <w:spacing w:after="60" w:line="264"/>
      </w:pPr>
      <w:r>
        <w:rPr>
          <w:b/>
          <w:bCs/>
        </w:rPr>
        <w:t xml:space="preserve">The logo mockup. </w:t>
      </w:r>
      <w:r>
        <w:t xml:space="preserve">A “YOUR NAME HERE” presenting card rendered in the target’s own typeface and colour — close enough that recognition is instant, but the literal logo is NOT placed (see Section 6.3 for why this beats using their real logo).</w:t>
      </w:r>
    </w:p>
    <w:p>
      <w:pPr>
        <w:pStyle w:val="ListParagraph"/>
        <w:numPr>
          <w:ilvl w:val="0"/>
          <w:numId w:val="2"/>
        </w:numPr>
        <w:spacing w:after="60" w:line="264"/>
      </w:pPr>
      <w:r>
        <w:rPr>
          <w:b/>
          <w:bCs/>
        </w:rPr>
        <w:t xml:space="preserve">One connective sentence. </w:t>
      </w:r>
      <w:r>
        <w:t xml:space="preserve">A single line tying that specific brand to the property — e.g. a presenting partner whose name sits on a permanent cultural asset rooted in the community it already serves.</w:t>
      </w:r>
    </w:p>
    <w:p>
      <w:pPr>
        <w:pStyle w:val="ListParagraph"/>
        <w:numPr>
          <w:ilvl w:val="0"/>
          <w:numId w:val="2"/>
        </w:numPr>
        <w:spacing w:after="60" w:line="264"/>
      </w:pPr>
      <w:r>
        <w:rPr>
          <w:b/>
          <w:bCs/>
        </w:rPr>
        <w:t xml:space="preserve">Emphasis weighting. </w:t>
      </w:r>
      <w:r>
        <w:t xml:space="preserve">Lightly re-order or re-stress which benefit leads, based on what that company type values (Section 8). Same content, different first note.</w:t>
      </w:r>
    </w:p>
    <w:p>
      <w:pPr>
        <w:spacing w:after="120" w:line="276"/>
      </w:pPr>
      <w:r>
        <w:rPr>
          <w:b/>
          <w:bCs/>
        </w:rPr>
        <w:t xml:space="preserve">That is the entire bespoke layer. </w:t>
      </w:r>
      <w:r>
        <w:t xml:space="preserve">Same spine, swapped mockup, one tailored sentence, re-weighted emphasis. This is both less work and </w:t>
      </w:r>
      <w:r>
        <w:rPr>
          <w:i/>
          <w:iCs/>
        </w:rPr>
        <w:t xml:space="preserve">more</w:t>
      </w:r>
      <w:r>
        <w:t xml:space="preserve"> credible to a sponsorship reader than four hand-built decks, because the shared spine is what reads as professional.</w:t>
      </w:r>
    </w:p>
    <w:p>
      <w:pPr>
        <w:spacing w:after="120" w:line="276"/>
      </w:pPr>
      <w:r>
        <w:rPr>
          <w:b/>
          <w:bCs/>
          <w:color w:val="666666"/>
        </w:rPr>
        <w:t xml:space="preserve">NEXT</w:t>
      </w:r>
      <w:r>
        <w:rPr>
          <w:color w:val="666666"/>
        </w:rPr>
        <w:t xml:space="preserve">  The deeper per-company differences — who you talk to, which budget it comes from, how you open the door — live in the door-opening strategy, not in this package. They are flagged in Section 8 and handled in the following conversation.</w:t>
      </w:r>
    </w:p>
    <w:p>
      <w:r>
        <w:br w:type="page"/>
      </w:r>
    </w:p>
    <w:p>
      <w:pPr>
        <w:pStyle w:val="Heading1"/>
      </w:pPr>
      <w:r>
        <w:t xml:space="preserve">2. Tone: the register the whole package must hold</w:t>
      </w:r>
    </w:p>
    <w:p>
      <w:pPr>
        <w:spacing w:after="120" w:line="276"/>
      </w:pPr>
      <w:r>
        <w:t xml:space="preserve">This governs the writing of every line. It is the hardest thing to get right and the easiest to get wrong.</w:t>
      </w:r>
    </w:p>
    <w:p>
      <w:pPr>
        <w:pStyle w:val="Heading2"/>
      </w:pPr>
      <w:r>
        <w:t xml:space="preserve">2.1 The target register</w:t>
      </w:r>
    </w:p>
    <w:p>
      <w:pPr>
        <w:spacing w:after="120" w:line="276"/>
      </w:pPr>
      <w:r>
        <w:rPr>
          <w:b/>
          <w:bCs/>
        </w:rPr>
        <w:t xml:space="preserve">Brief, but robustly complete. Exciting, but never naive. </w:t>
      </w:r>
      <w:r>
        <w:t xml:space="preserve">This is a sales document and it must feel like one — there is genuine excitement to convey, and a flat, surgical spec sheet undersells a one-of-a-kind opportunity. But it must never tip into hype, superlatives, or breathless promise, because an over-claimed pitch reads as too-good-to-be-true and a sophisticated reader discounts it on sight.</w:t>
      </w:r>
    </w:p>
    <w:p>
      <w:pPr>
        <w:pStyle w:val="Heading2"/>
      </w:pPr>
      <w:r>
        <w:t xml:space="preserve">2.2 The car-salesman calibration</w:t>
      </w:r>
    </w:p>
    <w:p>
      <w:pPr>
        <w:spacing w:after="120" w:line="276"/>
      </w:pPr>
      <w:r>
        <w:rPr>
          <w:b/>
          <w:bCs/>
        </w:rPr>
        <w:t xml:space="preserve">Write like a confident salesperson pointing out a luxury car’s features while clearly selling the whole car. </w:t>
      </w:r>
      <w:r>
        <w:t xml:space="preserve">You name the impressive details — the multi-camera capture, the historic venue, the owned asset — with assurance and a little relish, but each detail is in service of selling the </w:t>
      </w:r>
      <w:r>
        <w:rPr>
          <w:i/>
          <w:iCs/>
        </w:rPr>
        <w:t xml:space="preserve">whole proposition</w:t>
      </w:r>
      <w:r>
        <w:t xml:space="preserve">, never itemised for its own sake. You do not read the spec sheet aloud; you let the features land as evidence that the whole thing is premium, then return to the sale.</w:t>
      </w:r>
    </w:p>
    <w:p>
      <w:pPr>
        <w:pStyle w:val="Heading2"/>
      </w:pPr>
      <w:r>
        <w:t xml:space="preserve">2.3 The too-good-to-be-true rule</w:t>
      </w:r>
    </w:p>
    <w:p>
      <w:pPr>
        <w:spacing w:after="120" w:line="276"/>
      </w:pPr>
      <w:r>
        <w:rPr>
          <w:b/>
          <w:bCs/>
        </w:rPr>
        <w:t xml:space="preserve">When something is too good to be true, people assume it is not true — even when it is. </w:t>
      </w:r>
      <w:r>
        <w:t xml:space="preserve">This is the single biggest tonal risk in the package, because the offer genuinely is unusually strong. The defence is restraint: state the strong facts plainly and let them be impressive on their own, rather than telling the reader how impressive they are. Underclaim the language; let the substance over-deliver. A confident, slightly understated tone reads as more credible than an enthusiastic one, precisely because the facts are already good.</w:t>
      </w:r>
    </w:p>
    <w:p>
      <w:pPr>
        <w:pStyle w:val="Heading2"/>
      </w:pPr>
      <w:r>
        <w:t xml:space="preserve">2.4 Tone — must / must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5E4E" w:val="clear"/>
            <w:tcMar>
              <w:top w:type="dxa" w:w="70"/>
              <w:left w:type="dxa" w:w="110"/>
              <w:bottom w:type="dxa" w:w="70"/>
              <w:right w:type="dxa" w:w="110"/>
            </w:tcMar>
            <w:vAlign w:val="center"/>
          </w:tcPr>
          <w:p>
            <w:pPr>
              <w:spacing w:after="0" w:line="252"/>
            </w:pPr>
            <w:r>
              <w:rPr>
                <w:b/>
                <w:bCs/>
                <w:color w:val="FFFFFF"/>
                <w:sz w:val="19"/>
                <w:szCs w:val="19"/>
              </w:rPr>
              <w:t xml:space="preserve">MUST</w:t>
            </w:r>
          </w:p>
        </w:tc>
        <w:tc>
          <w:tcPr>
            <w:tcW w:type="dxa" w:w="4680"/>
            <w:tcBorders>
              <w:top w:val="single" w:color="BBBBBB" w:sz="1"/>
              <w:left w:val="single" w:color="BBBBBB" w:sz="1"/>
              <w:bottom w:val="single" w:color="BBBBBB" w:sz="1"/>
              <w:right w:val="single" w:color="BBBBBB" w:sz="1"/>
            </w:tcBorders>
            <w:shd w:fill="2E5E4E" w:val="clear"/>
            <w:tcMar>
              <w:top w:type="dxa" w:w="70"/>
              <w:left w:type="dxa" w:w="110"/>
              <w:bottom w:type="dxa" w:w="70"/>
              <w:right w:type="dxa" w:w="110"/>
            </w:tcMar>
            <w:vAlign w:val="center"/>
          </w:tcPr>
          <w:p>
            <w:pPr>
              <w:spacing w:after="0" w:line="252"/>
            </w:pPr>
            <w:r>
              <w:rPr>
                <w:b/>
                <w:bCs/>
                <w:color w:val="FFFFFF"/>
                <w:sz w:val="19"/>
                <w:szCs w:val="19"/>
              </w:rPr>
              <w:t xml:space="preserve">MUST NOT</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Read as a confident, professional sales proposal.</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Read as a flat technical spec or a surgical brief.</w:t>
            </w:r>
          </w:p>
        </w:tc>
      </w:tr>
      <w:tr>
        <w:trPr>
          <w:tblHeader w:val="false"/>
        </w:trPr>
        <w:tc>
          <w:tcPr>
            <w:tcW w:type="dxa" w:w="46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Convey genuine excitement through strong facts plainly stated.</w:t>
            </w:r>
          </w:p>
        </w:tc>
        <w:tc>
          <w:tcPr>
            <w:tcW w:type="dxa" w:w="46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Convey excitement through superlatives, hype, or exclamation.</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Be brief, with every section robustly complete.</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Be padded, repetitive, or exhaustively detailed.</w:t>
            </w:r>
          </w:p>
        </w:tc>
      </w:tr>
      <w:tr>
        <w:trPr>
          <w:tblHeader w:val="false"/>
        </w:trPr>
        <w:tc>
          <w:tcPr>
            <w:tcW w:type="dxa" w:w="46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Let impressive facts speak for themselves.</w:t>
            </w:r>
          </w:p>
        </w:tc>
        <w:tc>
          <w:tcPr>
            <w:tcW w:type="dxa" w:w="46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Tell the reader how impressive the facts are.</w:t>
            </w:r>
          </w:p>
        </w:tc>
      </w:tr>
      <w:tr>
        <w:trPr>
          <w:tblHeader w:val="false"/>
        </w:trPr>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Sound like one confident operator who has done this before.</w:t>
            </w:r>
          </w:p>
        </w:tc>
        <w:tc>
          <w:tcPr>
            <w:tcW w:type="dxa" w:w="46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Sound naive, eager, or like it is asking a favour.</w:t>
            </w:r>
          </w:p>
        </w:tc>
      </w:tr>
    </w:tbl>
    <w:p>
      <w:r>
        <w:br w:type="page"/>
      </w:r>
    </w:p>
    <w:p>
      <w:pPr>
        <w:pStyle w:val="Heading1"/>
      </w:pPr>
      <w:r>
        <w:t xml:space="preserve">3. What is actually being sold (the offer)</w:t>
      </w:r>
    </w:p>
    <w:p>
      <w:pPr>
        <w:spacing w:after="120" w:line="276"/>
      </w:pPr>
      <w:r>
        <w:t xml:space="preserve">The package must make this proposition unmistakable, because it is the thing that separates this from every event-banner sponsorship the reader has seen.</w:t>
      </w:r>
    </w:p>
    <w:p>
      <w:pPr>
        <w:pStyle w:val="Heading2"/>
      </w:pPr>
      <w:r>
        <w:t xml:space="preserve">3.1 The four-asset thesis — MUST lead the value case</w:t>
      </w:r>
    </w:p>
    <w:p>
      <w:pPr>
        <w:pStyle w:val="ListParagraph"/>
        <w:numPr>
          <w:ilvl w:val="0"/>
          <w:numId w:val="2"/>
        </w:numPr>
        <w:spacing w:after="60" w:line="264"/>
      </w:pPr>
      <w:r>
        <w:t xml:space="preserve">ONE buy becomes FOUR professionally-produced specials, each owned by its performer.</w:t>
      </w:r>
    </w:p>
    <w:p>
      <w:pPr>
        <w:pStyle w:val="ListParagraph"/>
        <w:numPr>
          <w:ilvl w:val="0"/>
          <w:numId w:val="2"/>
        </w:numPr>
        <w:spacing w:after="60" w:line="264"/>
      </w:pPr>
      <w:r>
        <w:t xml:space="preserve">Each special carries the presenter’s position permanently — it does not vanish when the night ends.</w:t>
      </w:r>
    </w:p>
    <w:p>
      <w:pPr>
        <w:pStyle w:val="ListParagraph"/>
        <w:numPr>
          <w:ilvl w:val="0"/>
          <w:numId w:val="2"/>
        </w:numPr>
        <w:spacing w:after="60" w:line="264"/>
      </w:pPr>
      <w:r>
        <w:t xml:space="preserve">Each performer promotes their own special indefinitely, to their own audience, out of their own self-interest — distribution the sponsor does not pay for and the producer does not pay for.</w:t>
      </w:r>
    </w:p>
    <w:p>
      <w:pPr>
        <w:pStyle w:val="ListParagraph"/>
        <w:numPr>
          <w:ilvl w:val="0"/>
          <w:numId w:val="2"/>
        </w:numPr>
        <w:spacing w:after="60" w:line="264"/>
      </w:pPr>
      <w:r>
        <w:t xml:space="preserve">The position therefore appreciates or persists rather than depreciating like event signage. It is closer to a permanent media placement than a one-night banner.</w:t>
      </w:r>
    </w:p>
    <w:p>
      <w:pPr>
        <w:spacing w:after="120" w:line="276"/>
      </w:pPr>
      <w:r>
        <w:rPr>
          <w:b/>
          <w:bCs/>
          <w:color w:val="444444"/>
        </w:rPr>
        <w:t xml:space="preserve">WHY</w:t>
      </w:r>
      <w:r>
        <w:rPr>
          <w:color w:val="444444"/>
        </w:rPr>
        <w:t xml:space="preserve">  A normal event sponsorship decays to zero by morning. This is the one structural fact that justifies a premium ask and it must be the spine of the value case — not buried, not a footnote.</w:t>
      </w:r>
    </w:p>
    <w:p>
      <w:pPr>
        <w:pStyle w:val="Heading2"/>
      </w:pPr>
      <w:r>
        <w:t xml:space="preserve">3.2 Single exclusive presenter — MUST be the only structure offered</w:t>
      </w:r>
    </w:p>
    <w:p>
      <w:pPr>
        <w:spacing w:after="120" w:line="276"/>
      </w:pPr>
      <w:r>
        <w:rPr>
          <w:b/>
          <w:bCs/>
        </w:rPr>
        <w:t xml:space="preserve">One presenter. </w:t>
      </w:r>
      <w:r>
        <w:t xml:space="preserve">“[YOUR NAME] PRESENTS.” The package offers a single exclusive presenting position and nothing else. It does not offer tiers, co-presenters, or a “brought to you by A, B, and C” structure.</w:t>
      </w:r>
    </w:p>
    <w:p>
      <w:pPr>
        <w:spacing w:after="120" w:line="276"/>
      </w:pPr>
      <w:r>
        <w:rPr>
          <w:b/>
          <w:bCs/>
          <w:color w:val="B00000"/>
        </w:rPr>
        <w:t xml:space="preserve">MUST NOT</w:t>
      </w:r>
      <w:r>
        <w:rPr>
          <w:color w:val="B00000"/>
        </w:rPr>
        <w:t xml:space="preserve">  offer multiple sponsors or stacked logos. </w:t>
      </w:r>
      <w:r>
        <w:t xml:space="preserve">A multi-sponsor structure divides the value, cheapens the format, and forces a corporate roll-call that reads like a side-effects list. The single position is the only structure where the thing being sold — a possessable, prestige, first-frame association — exists at all.</w:t>
      </w:r>
    </w:p>
    <w:p>
      <w:pPr>
        <w:pStyle w:val="Heading2"/>
      </w:pPr>
      <w:r>
        <w:t xml:space="preserve">3.3 Category exclusivity — MUST be named as a benefit</w:t>
      </w:r>
    </w:p>
    <w:p>
      <w:pPr>
        <w:spacing w:after="120" w:line="276"/>
      </w:pPr>
      <w:r>
        <w:t xml:space="preserve">The presenter is the only company in its category associated with the property (one bank, or one realtor, or one dealership — not several). State this as a benefit; it is a meaningful part of what justifies the price and what a marketing reader values.</w:t>
      </w:r>
    </w:p>
    <w:p>
      <w:r>
        <w:br w:type="page"/>
      </w:r>
    </w:p>
    <w:p>
      <w:pPr>
        <w:pStyle w:val="Heading1"/>
      </w:pPr>
      <w:r>
        <w:t xml:space="preserve">4. The performers: a template, never names</w:t>
      </w:r>
    </w:p>
    <w:p>
      <w:pPr>
        <w:spacing w:after="120" w:line="276"/>
      </w:pPr>
      <w:r>
        <w:rPr>
          <w:b/>
          <w:bCs/>
          <w:color w:val="B00000"/>
        </w:rPr>
        <w:t xml:space="preserve">MUST NOT</w:t>
      </w:r>
      <w:r>
        <w:rPr>
          <w:color w:val="B00000"/>
        </w:rPr>
        <w:t xml:space="preserve">  name any comedian, anywhere in the package. </w:t>
      </w:r>
    </w:p>
    <w:p>
      <w:pPr>
        <w:spacing w:after="120" w:line="276"/>
      </w:pPr>
      <w:r>
        <w:rPr>
          <w:b/>
          <w:bCs/>
          <w:color w:val="444444"/>
        </w:rPr>
        <w:t xml:space="preserve">WHY</w:t>
      </w:r>
      <w:r>
        <w:rPr>
          <w:color w:val="444444"/>
        </w:rPr>
        <w:t xml:space="preserve">  Naming hands the reader the rope to go and find a performer’s worst clip, an off-colour bit, a divisive moment — and contaminate a clean pitch with something you did not choose and cannot control. The package presents the </w:t>
      </w:r>
      <w:r>
        <w:rPr>
          <w:i/>
          <w:iCs/>
          <w:color w:val="444444"/>
        </w:rPr>
        <w:t xml:space="preserve">profile</w:t>
      </w:r>
      <w:r>
        <w:rPr>
          <w:color w:val="444444"/>
        </w:rPr>
        <w:t xml:space="preserve">, curated by you, so the reader’s entire impression is the version you built.</w:t>
      </w:r>
    </w:p>
    <w:p>
      <w:pPr>
        <w:pStyle w:val="Heading2"/>
      </w:pPr>
      <w:r>
        <w:t xml:space="preserve">4.1 The performer template — MUST describe this profile</w:t>
      </w:r>
    </w:p>
    <w:p>
      <w:pPr>
        <w:pStyle w:val="ListParagraph"/>
        <w:numPr>
          <w:ilvl w:val="0"/>
          <w:numId w:val="2"/>
        </w:numPr>
        <w:spacing w:after="60" w:line="264"/>
      </w:pPr>
      <w:r>
        <w:t xml:space="preserve">Rising stand-up comedians on a clear upward trajectory.</w:t>
      </w:r>
    </w:p>
    <w:p>
      <w:pPr>
        <w:pStyle w:val="ListParagraph"/>
        <w:numPr>
          <w:ilvl w:val="0"/>
          <w:numId w:val="2"/>
        </w:numPr>
        <w:spacing w:after="60" w:line="264"/>
      </w:pPr>
      <w:r>
        <w:t xml:space="preserve">Each with a substantial social following and real online reach.</w:t>
      </w:r>
    </w:p>
    <w:p>
      <w:pPr>
        <w:pStyle w:val="ListParagraph"/>
        <w:numPr>
          <w:ilvl w:val="0"/>
          <w:numId w:val="2"/>
        </w:numPr>
        <w:spacing w:after="60" w:line="264"/>
      </w:pPr>
      <w:r>
        <w:t xml:space="preserve">Each professionally represented or established, with busy touring schedules — working performers, not local amateurs.</w:t>
      </w:r>
    </w:p>
    <w:p>
      <w:pPr>
        <w:pStyle w:val="ListParagraph"/>
        <w:numPr>
          <w:ilvl w:val="0"/>
          <w:numId w:val="2"/>
        </w:numPr>
        <w:spacing w:after="60" w:line="264"/>
      </w:pPr>
      <w:r>
        <w:t xml:space="preserve">Each WITHOUT an existing produced special — which is precisely why a produced, owned special is valuable to them, and why they commit to a curated bill.</w:t>
      </w:r>
    </w:p>
    <w:p>
      <w:pPr>
        <w:pStyle w:val="ListParagraph"/>
        <w:numPr>
          <w:ilvl w:val="0"/>
          <w:numId w:val="2"/>
        </w:numPr>
        <w:spacing w:after="60" w:line="264"/>
      </w:pPr>
      <w:r>
        <w:t xml:space="preserve">Clean, broadly-accessible material suited to a respectable cultural venue and a family-and-community audience.</w:t>
      </w:r>
    </w:p>
    <w:p>
      <w:pPr>
        <w:pStyle w:val="Heading2"/>
      </w:pPr>
      <w:r>
        <w:t xml:space="preserve">4.2 The professionalism signal — MUST establish this is curated, not cobbled</w:t>
      </w:r>
    </w:p>
    <w:p>
      <w:pPr>
        <w:spacing w:after="120" w:line="276"/>
      </w:pPr>
      <w:r>
        <w:t xml:space="preserve">The package must make unmistakable that this is a deliberately curated bill of working, represented, rising performers — </w:t>
      </w:r>
      <w:r>
        <w:rPr>
          <w:b/>
          <w:bCs/>
        </w:rPr>
        <w:t xml:space="preserve">not friends, neighbours, or local open-mic acts assembled on the cheap. </w:t>
      </w:r>
      <w:r>
        <w:t xml:space="preserve">This is a credibility load-bearing point. The reader must feel the selection has judgement and an eye behind it. There are no shortcuts and the package must read that way.</w:t>
      </w:r>
    </w:p>
    <w:p>
      <w:pPr>
        <w:pStyle w:val="Heading2"/>
      </w:pPr>
      <w:r>
        <w:t xml:space="preserve">4.3 The reach logic — MUST convey scale without ever saying “viral”</w:t>
      </w:r>
    </w:p>
    <w:p>
      <w:pPr>
        <w:spacing w:after="120" w:line="276"/>
      </w:pPr>
      <w:r>
        <w:rPr>
          <w:b/>
          <w:bCs/>
          <w:color w:val="B00000"/>
        </w:rPr>
        <w:t xml:space="preserve">MUST NOT</w:t>
      </w:r>
      <w:r>
        <w:rPr>
          <w:color w:val="B00000"/>
        </w:rPr>
        <w:t xml:space="preserve">  use the word “viral,” promise a breakout, or guarantee any view count. </w:t>
      </w:r>
      <w:r>
        <w:t xml:space="preserve">Guaranteeing an outcome you do not control is the fastest way to read as either naive or untrustworthy, and to be held to it if variance lands wrong.</w:t>
      </w:r>
    </w:p>
    <w:p>
      <w:pPr>
        <w:spacing w:after="120" w:line="276"/>
      </w:pPr>
      <w:r>
        <w:rPr>
          <w:b/>
          <w:bCs/>
          <w:color w:val="2E5E4E"/>
        </w:rPr>
        <w:t xml:space="preserve">MUST</w:t>
      </w:r>
      <w:r>
        <w:t xml:space="preserve">  convey the logical, structural reach instead: </w:t>
      </w:r>
      <w:r>
        <w:t xml:space="preserve">each performer’s special is a platform on which hundreds of thousands of potential viewers will encounter it — with the performer’s name, and the presenter’s position, in the opening frame — promoted by the performer to their own following over time.</w:t>
      </w:r>
    </w:p>
    <w:p>
      <w:pPr>
        <w:spacing w:after="120" w:line="276"/>
      </w:pPr>
      <w:r>
        <w:rPr>
          <w:b/>
          <w:bCs/>
          <w:color w:val="444444"/>
        </w:rPr>
        <w:t xml:space="preserve">WHY</w:t>
      </w:r>
      <w:r>
        <w:rPr>
          <w:color w:val="444444"/>
        </w:rPr>
        <w:t xml:space="preserve">  The strength is the </w:t>
      </w:r>
      <w:r>
        <w:rPr>
          <w:i/>
          <w:iCs/>
          <w:color w:val="444444"/>
        </w:rPr>
        <w:t xml:space="preserve">structural upside</w:t>
      </w:r>
      <w:r>
        <w:rPr>
          <w:color w:val="444444"/>
        </w:rPr>
        <w:t xml:space="preserve">, not a promised miracle. You are selling a platform with built-in reach and embedded upside, which is true and compelling, rather than a viral hit, which is neither yours to promise nor credible to claim.</w:t>
      </w:r>
    </w:p>
    <w:p>
      <w:pPr>
        <w:spacing w:after="120" w:line="276"/>
      </w:pPr>
      <w:r>
        <w:rPr>
          <w:b/>
          <w:bCs/>
        </w:rPr>
        <w:t xml:space="preserve">Social-following figure: </w:t>
      </w:r>
      <w:r>
        <w:t xml:space="preserve">a combined-following number (stated as “combined following of [N]+ across the performers, as of [date]”) may be included as a supporting fact, dated and framed as combined-not-unique. It is backpocket evidence, not a headline. Lead with the asset and the platform; let the number support when reached for.</w:t>
      </w:r>
    </w:p>
    <w:p>
      <w:r>
        <w:br w:type="page"/>
      </w:r>
    </w:p>
    <w:p>
      <w:pPr>
        <w:pStyle w:val="Heading1"/>
      </w:pPr>
      <w:r>
        <w:t xml:space="preserve">5. The production-quality signal</w:t>
      </w:r>
    </w:p>
    <w:p>
      <w:pPr>
        <w:spacing w:after="120" w:line="276"/>
      </w:pPr>
      <w:r>
        <w:t xml:space="preserve">The package must convey that this is a genuinely professional, broadcast-grade production — the robustness is part of what the presenter is buying into — WITHOUT itemising the internal production details or inviting cost-scrutiny.</w:t>
      </w:r>
    </w:p>
    <w:p>
      <w:pPr>
        <w:pStyle w:val="Heading2"/>
      </w:pPr>
      <w:r>
        <w:t xml:space="preserve">5.1 The camera line — the luxury-feature, sold as part of the whole</w:t>
      </w:r>
    </w:p>
    <w:p>
      <w:pPr>
        <w:spacing w:after="120" w:line="276"/>
      </w:pPr>
      <w:r>
        <w:rPr>
          <w:b/>
          <w:bCs/>
        </w:rPr>
        <w:t xml:space="preserve">State the multi-camera capture as one compelling clause inside a larger sentence about what the performer walks away with — never as a standalone spec. </w:t>
      </w:r>
      <w:r>
        <w:t xml:space="preserve">It is a luxury feature pointed out in passing while selling the whole car, not a line item.</w:t>
      </w:r>
    </w:p>
    <w:p>
      <w:pPr>
        <w:spacing w:after="120" w:line="276"/>
      </w:pPr>
      <w:r>
        <w:t xml:space="preserve">Drafted models for that clause (choose / adapt one; keep it integrated, confident, brief):</w:t>
      </w:r>
    </w:p>
    <w:p>
      <w:pPr>
        <w:pStyle w:val="ListParagraph"/>
        <w:numPr>
          <w:ilvl w:val="0"/>
          <w:numId w:val="2"/>
        </w:numPr>
        <w:spacing w:after="60" w:line="264"/>
      </w:pPr>
      <w:r>
        <w:rPr>
          <w:i/>
          <w:iCs/>
        </w:rPr>
        <w:t xml:space="preserve">“… each performer leaves with a broadcast-quality special, captured across [N] cameras and finished to a cinema standard.”</w:t>
      </w:r>
    </w:p>
    <w:p>
      <w:pPr>
        <w:pStyle w:val="ListParagraph"/>
        <w:numPr>
          <w:ilvl w:val="0"/>
          <w:numId w:val="2"/>
        </w:numPr>
        <w:spacing w:after="60" w:line="264"/>
      </w:pPr>
      <w:r>
        <w:rPr>
          <w:i/>
          <w:iCs/>
        </w:rPr>
        <w:t xml:space="preserve">“The specials are produced as multi-camera, broadcast-grade films — [N]-camera coverage, professionally lit and edited — in a historic 1930 cinema.”</w:t>
      </w:r>
    </w:p>
    <w:p>
      <w:pPr>
        <w:pStyle w:val="ListParagraph"/>
        <w:numPr>
          <w:ilvl w:val="0"/>
          <w:numId w:val="2"/>
        </w:numPr>
        <w:spacing w:after="60" w:line="264"/>
      </w:pPr>
      <w:r>
        <w:rPr>
          <w:i/>
          <w:iCs/>
        </w:rPr>
        <w:t xml:space="preserve">“… a professionally produced, [N]-camera special, shot and finished to broadcast standard.”</w:t>
      </w:r>
    </w:p>
    <w:p>
      <w:pPr>
        <w:spacing w:after="120" w:line="276"/>
      </w:pPr>
      <w:r>
        <w:rPr>
          <w:b/>
          <w:bCs/>
        </w:rPr>
        <w:t xml:space="preserve">Note on wording: </w:t>
      </w:r>
      <w:r>
        <w:t xml:space="preserve">avoid the flat phrase “professional grade” as a standalone label. Prefer language that does compelling work inside the sentence — “broadcast-quality,” “finished to a cinema standard,” “multi-camera” — always as part of a clause selling the whole outcome, not a bullet on its own.</w:t>
      </w:r>
    </w:p>
    <w:p>
      <w:pPr>
        <w:pStyle w:val="Heading2"/>
      </w:pPr>
      <w:r>
        <w:t xml:space="preserve">5.2 The camera number — MUST state it, MUST NOT itemise it</w:t>
      </w:r>
    </w:p>
    <w:p>
      <w:pPr>
        <w:spacing w:after="120" w:line="276"/>
      </w:pPr>
      <w:r>
        <w:rPr>
          <w:b/>
          <w:bCs/>
          <w:color w:val="2E5E4E"/>
        </w:rPr>
        <w:t xml:space="preserve">MUST</w:t>
      </w:r>
      <w:r>
        <w:t xml:space="preserve">  state the headline number (the [N]-camera figure), because the number conveys robustness and seriousness at a glance.</w:t>
      </w:r>
    </w:p>
    <w:p>
      <w:pPr>
        <w:spacing w:after="120" w:line="276"/>
      </w:pPr>
      <w:r>
        <w:rPr>
          <w:b/>
          <w:bCs/>
          <w:color w:val="B00000"/>
        </w:rPr>
        <w:t xml:space="preserve">MUST NOT</w:t>
      </w:r>
      <w:r>
        <w:rPr>
          <w:color w:val="B00000"/>
        </w:rPr>
        <w:t xml:space="preserve">  break down the camera package, list the gear, explain the coverage map, or itemise any production cost. </w:t>
      </w:r>
    </w:p>
    <w:p>
      <w:pPr>
        <w:spacing w:after="120" w:line="276"/>
      </w:pPr>
      <w:r>
        <w:rPr>
          <w:b/>
          <w:bCs/>
          <w:color w:val="444444"/>
        </w:rPr>
        <w:t xml:space="preserve">WHY</w:t>
      </w:r>
      <w:r>
        <w:rPr>
          <w:color w:val="444444"/>
        </w:rPr>
        <w:t xml:space="preserve">  Itemising invites a reader with a little knowledge to second-guess each part against an irrelevant comparison (“my cousin’s wedding had two cameras—why so many?”). You sell the </w:t>
      </w:r>
      <w:r>
        <w:rPr>
          <w:i/>
          <w:iCs/>
          <w:color w:val="444444"/>
        </w:rPr>
        <w:t xml:space="preserve">outcome</w:t>
      </w:r>
      <w:r>
        <w:rPr>
          <w:color w:val="444444"/>
        </w:rPr>
        <w:t xml:space="preserve"> (a broadcast-grade owned special), never the parts. The detailed production rationale is held back and deployed in person, only if a production-literate representative specifically doubts the quality — it is a quality answer, never a cost justification.</w:t>
      </w:r>
    </w:p>
    <w:p>
      <w:pPr>
        <w:pStyle w:val="Heading2"/>
      </w:pPr>
      <w:r>
        <w:t xml:space="preserve">5.3 The director — described in third person, credentialed, unnamed</w:t>
      </w:r>
    </w:p>
    <w:p>
      <w:pPr>
        <w:spacing w:after="120" w:line="276"/>
      </w:pPr>
      <w:r>
        <w:t xml:space="preserve">The package refers to “the director” (or “our director”) and establishes serious credentials in the third person, </w:t>
      </w:r>
      <w:r>
        <w:rPr>
          <w:b/>
          <w:bCs/>
        </w:rPr>
        <w:t xml:space="preserve">without naming the individual. </w:t>
      </w:r>
      <w:r>
        <w:t xml:space="preserve">The track record is real and stated plainly: an accomplished film director, writer and cinematographer with festival-selected features, studio relationships, and extensive commercial and on-location production experience — the kind of hand that guarantees the specials are made to a genuine professional standard.</w:t>
      </w:r>
    </w:p>
    <w:p>
      <w:pPr>
        <w:spacing w:after="120" w:line="276"/>
      </w:pPr>
      <w:r>
        <w:rPr>
          <w:b/>
          <w:bCs/>
        </w:rPr>
        <w:t xml:space="preserve">WHY unnamed: </w:t>
      </w:r>
      <w:r>
        <w:t xml:space="preserve">an unnamed-but-heavily-credentialed director reads as </w:t>
      </w:r>
      <w:r>
        <w:rPr>
          <w:i/>
          <w:iCs/>
        </w:rPr>
        <w:t xml:space="preserve">curated discretion</w:t>
      </w:r>
      <w:r>
        <w:t xml:space="preserve"> rather than self-promotion, and avoids the “wait, this is the person sending the proposal” tell. Stating the credentials as belonging to a third party keeps the focus on the guarantee of quality, not the messenger. The name is supplied on serious engagement, not in the cold leave-behind.</w:t>
      </w:r>
    </w:p>
    <w:p>
      <w:pPr>
        <w:spacing w:after="120" w:line="276"/>
      </w:pPr>
      <w:r>
        <w:rPr>
          <w:b/>
          <w:bCs/>
          <w:color w:val="B00000"/>
        </w:rPr>
        <w:t xml:space="preserve">MUST NOT</w:t>
      </w:r>
      <w:r>
        <w:rPr>
          <w:color w:val="B00000"/>
        </w:rPr>
        <w:t xml:space="preserve">  be written so the credentials read as too-convenient or obviously self-referential. </w:t>
      </w:r>
      <w:r>
        <w:t xml:space="preserve">Keep them true, specific, and stated with the plainness of a third-party fact, so they are impressive without straining belief.</w:t>
      </w:r>
    </w:p>
    <w:p>
      <w:r>
        <w:br w:type="page"/>
      </w:r>
    </w:p>
    <w:p>
      <w:pPr>
        <w:pStyle w:val="Heading1"/>
      </w:pPr>
      <w:r>
        <w:t xml:space="preserve">6. Visibility and placement: what the presenter actually gets</w:t>
      </w:r>
    </w:p>
    <w:p>
      <w:pPr>
        <w:spacing w:after="120" w:line="276"/>
      </w:pPr>
      <w:r>
        <w:t xml:space="preserve">The package must specify exactly where and how the presenter appears — clearly, because vagueness here reads as unserious, and specifically, because the placement model is unusually clean and that cleanliness is a selling point.</w:t>
      </w:r>
    </w:p>
    <w:p>
      <w:pPr>
        <w:pStyle w:val="Heading2"/>
      </w:pPr>
      <w:r>
        <w:t xml:space="preserve">6.1 On the special itself — the permanent first frame</w:t>
      </w:r>
    </w:p>
    <w:p>
      <w:pPr>
        <w:pStyle w:val="ListParagraph"/>
        <w:numPr>
          <w:ilvl w:val="0"/>
          <w:numId w:val="2"/>
        </w:numPr>
        <w:spacing w:after="60" w:line="264"/>
      </w:pPr>
      <w:r>
        <w:t xml:space="preserve">A single, clean presenting credit on the full-length special: “[PRESENTER] PRESENTS.”</w:t>
      </w:r>
    </w:p>
    <w:p>
      <w:pPr>
        <w:pStyle w:val="ListParagraph"/>
        <w:numPr>
          <w:ilvl w:val="0"/>
          <w:numId w:val="2"/>
        </w:numPr>
        <w:spacing w:after="60" w:line="264"/>
      </w:pPr>
      <w:r>
        <w:t xml:space="preserve">This is the permanent, appreciating placement — it travels with the owned asset wherever the performer takes it, indefinitely.</w:t>
      </w:r>
    </w:p>
    <w:p>
      <w:pPr>
        <w:spacing w:after="120" w:line="276"/>
      </w:pPr>
      <w:r>
        <w:rPr>
          <w:b/>
          <w:bCs/>
          <w:color w:val="B00000"/>
        </w:rPr>
        <w:t xml:space="preserve">MUST NOT</w:t>
      </w:r>
      <w:r>
        <w:rPr>
          <w:color w:val="B00000"/>
        </w:rPr>
        <w:t xml:space="preserve">  promise the presenter’s mark on every clip, derivative, or social cut. </w:t>
      </w:r>
      <w:r>
        <w:t xml:space="preserve">The card lives on the full special only; clips stay clean so the performer promotes them freely. (This protects the performer relationship, which protects the distribution the presenter is buying.)</w:t>
      </w:r>
    </w:p>
    <w:p>
      <w:pPr>
        <w:pStyle w:val="Heading2"/>
      </w:pPr>
      <w:r>
        <w:t xml:space="preserve">6.2 In the room — the step-and-repeat</w:t>
      </w:r>
    </w:p>
    <w:p>
      <w:pPr>
        <w:spacing w:after="120" w:line="276"/>
      </w:pPr>
      <w:r>
        <w:t xml:space="preserve">Tasteful, repeated, small-scale presenter branding in the venue — a step-and-repeat / press-wall presence, photographed as texture in wide shots, arrivals, and audience b-roll. </w:t>
      </w:r>
      <w:r>
        <w:rPr>
          <w:b/>
          <w:bCs/>
        </w:rPr>
        <w:t xml:space="preserve">Present everywhere, intrusive nowhere. </w:t>
      </w:r>
      <w:r>
        <w:t xml:space="preserve">It appears in the captured experience without ever sitting on the performer or in the performance edit.</w:t>
      </w:r>
    </w:p>
    <w:p>
      <w:pPr>
        <w:spacing w:after="120" w:line="276"/>
      </w:pPr>
      <w:r>
        <w:rPr>
          <w:b/>
          <w:bCs/>
          <w:color w:val="B00000"/>
        </w:rPr>
        <w:t xml:space="preserve">MUST NOT</w:t>
      </w:r>
      <w:r>
        <w:rPr>
          <w:color w:val="B00000"/>
        </w:rPr>
        <w:t xml:space="preserve">  put branding on the performers (no hats, shirts, or worn merchandise) or as a large single logo behind the comic. </w:t>
      </w:r>
      <w:r>
        <w:t xml:space="preserve">Small-and-repeated reads as premium environment; large-and-single reads as a billboard and cheapens the room.</w:t>
      </w:r>
    </w:p>
    <w:p>
      <w:pPr>
        <w:pStyle w:val="Heading2"/>
      </w:pPr>
      <w:r>
        <w:t xml:space="preserve">6.3 The logo mockup — “YOUR NAME HERE” in their identity</w:t>
      </w:r>
    </w:p>
    <w:p>
      <w:pPr>
        <w:spacing w:after="120" w:line="276"/>
      </w:pPr>
      <w:r>
        <w:t xml:space="preserve">The bespoke mockup shows a “YOUR NAME HERE PRESENTS” card rendered in the target’s own typeface and colour — </w:t>
      </w:r>
      <w:r>
        <w:rPr>
          <w:b/>
          <w:bCs/>
        </w:rPr>
        <w:t xml:space="preserve">recognisable as them, without placing their literal logo. </w:t>
      </w:r>
    </w:p>
    <w:p>
      <w:pPr>
        <w:spacing w:after="120" w:line="276"/>
      </w:pPr>
      <w:r>
        <w:rPr>
          <w:b/>
          <w:bCs/>
        </w:rPr>
        <w:t xml:space="preserve">WHY this beats the real logo: </w:t>
      </w:r>
      <w:r>
        <w:t xml:space="preserve">placing a company’s actual logo on your project before they have agreed can read as presumptuous and trip a brand-protective reflex. “YOUR NAME HERE” in their font and colour shows you have studied them and lets them </w:t>
      </w:r>
      <w:r>
        <w:rPr>
          <w:i/>
          <w:iCs/>
        </w:rPr>
        <w:t xml:space="preserve">imagine themselves</w:t>
      </w:r>
      <w:r>
        <w:t xml:space="preserve"> in the frame — which is more persuasive than putting them there uninvited, and carries no overstep.</w:t>
      </w:r>
    </w:p>
    <w:p>
      <w:pPr>
        <w:spacing w:after="120" w:line="276"/>
      </w:pPr>
      <w:r>
        <w:rPr>
          <w:b/>
          <w:bCs/>
          <w:color w:val="666666"/>
        </w:rPr>
        <w:t xml:space="preserve">NEXT</w:t>
      </w:r>
      <w:r>
        <w:rPr>
          <w:color w:val="666666"/>
        </w:rPr>
        <w:t xml:space="preserve">  Deploy the mockup only on genuine, warm interest — not in the cold open. Framed as “a mockup to show the placement — yours to approve.” Timing and framing handled in the door-opening conversation.</w:t>
      </w:r>
    </w:p>
    <w:p>
      <w:r>
        <w:br w:type="page"/>
      </w:r>
    </w:p>
    <w:p>
      <w:pPr>
        <w:pStyle w:val="Heading1"/>
      </w:pPr>
      <w:r>
        <w:t xml:space="preserve">7. The venue and the experience</w:t>
      </w:r>
    </w:p>
    <w:p>
      <w:pPr>
        <w:spacing w:after="120" w:line="276"/>
      </w:pPr>
      <w:r>
        <w:t xml:space="preserve">The package MUST lead its visual identity with the room, because the room is the single thing no other comedy special on earth has, and it sells itself on sight.</w:t>
      </w:r>
    </w:p>
    <w:p>
      <w:pPr>
        <w:pStyle w:val="ListParagraph"/>
        <w:numPr>
          <w:ilvl w:val="0"/>
          <w:numId w:val="2"/>
        </w:numPr>
        <w:spacing w:after="60" w:line="264"/>
      </w:pPr>
      <w:r>
        <w:t xml:space="preserve">Open the package (and any reel) on the venue — the historic 1930 Cape Cinema and its painted firmament ceiling — before anything else. The room frames everything after it as premium and place-specific.</w:t>
      </w:r>
    </w:p>
    <w:p>
      <w:pPr>
        <w:pStyle w:val="ListParagraph"/>
        <w:numPr>
          <w:ilvl w:val="0"/>
          <w:numId w:val="2"/>
        </w:numPr>
        <w:spacing w:after="60" w:line="264"/>
      </w:pPr>
      <w:r>
        <w:t xml:space="preserve">Establish the intimate scale (a ~300-seat historic house) as a feature: a full, warm, characterful room, not a cavernous hall.</w:t>
      </w:r>
    </w:p>
    <w:p>
      <w:pPr>
        <w:pStyle w:val="ListParagraph"/>
        <w:numPr>
          <w:ilvl w:val="0"/>
          <w:numId w:val="2"/>
        </w:numPr>
        <w:spacing w:after="60" w:line="264"/>
      </w:pPr>
      <w:r>
        <w:t xml:space="preserve">Present the Cape Cod setting and the cultural-event character as part of the value — a respectable, community-rooted, destination experience.</w:t>
      </w:r>
    </w:p>
    <w:p>
      <w:pPr>
        <w:spacing w:after="120" w:line="276"/>
      </w:pPr>
      <w:r>
        <w:rPr>
          <w:b/>
          <w:bCs/>
          <w:color w:val="444444"/>
        </w:rPr>
        <w:t xml:space="preserve">WHY</w:t>
      </w:r>
      <w:r>
        <w:rPr>
          <w:color w:val="444444"/>
        </w:rPr>
        <w:t xml:space="preserve">  The venue is free, unrepeatable production value and the strongest single visual asset. A sentence describing it does little; the image does everything. Lead with it.</w:t>
      </w:r>
    </w:p>
    <w:p>
      <w:r>
        <w:br w:type="page"/>
      </w:r>
    </w:p>
    <w:p>
      <w:pPr>
        <w:pStyle w:val="Heading1"/>
      </w:pPr>
      <w:r>
        <w:t xml:space="preserve">8. Audience variants: emphasis by company type</w:t>
      </w:r>
    </w:p>
    <w:p>
      <w:pPr>
        <w:spacing w:after="120" w:line="276"/>
      </w:pPr>
      <w:r>
        <w:t xml:space="preserve">This is the </w:t>
      </w:r>
      <w:r>
        <w:rPr>
          <w:i/>
          <w:iCs/>
        </w:rPr>
        <w:t xml:space="preserve">emphasis-weighting</w:t>
      </w:r>
      <w:r>
        <w:t xml:space="preserve"> layer of the bespoke skin (Section 1.2) — the same universal spine, with the leading note re-stressed for what each company type values. It is NOT a different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2E5E4E" w:val="clear"/>
            <w:tcMar>
              <w:top w:type="dxa" w:w="70"/>
              <w:left w:type="dxa" w:w="110"/>
              <w:bottom w:type="dxa" w:w="70"/>
              <w:right w:type="dxa" w:w="110"/>
            </w:tcMar>
            <w:vAlign w:val="center"/>
          </w:tcPr>
          <w:p>
            <w:pPr>
              <w:spacing w:after="0" w:line="252"/>
            </w:pPr>
            <w:r>
              <w:rPr>
                <w:b/>
                <w:bCs/>
                <w:color w:val="FFFFFF"/>
                <w:sz w:val="19"/>
                <w:szCs w:val="19"/>
              </w:rPr>
              <w:t xml:space="preserve">Company type</w:t>
            </w:r>
          </w:p>
        </w:tc>
        <w:tc>
          <w:tcPr>
            <w:tcW w:type="dxa" w:w="3480"/>
            <w:tcBorders>
              <w:top w:val="single" w:color="BBBBBB" w:sz="1"/>
              <w:left w:val="single" w:color="BBBBBB" w:sz="1"/>
              <w:bottom w:val="single" w:color="BBBBBB" w:sz="1"/>
              <w:right w:val="single" w:color="BBBBBB" w:sz="1"/>
            </w:tcBorders>
            <w:shd w:fill="2E5E4E" w:val="clear"/>
            <w:tcMar>
              <w:top w:type="dxa" w:w="70"/>
              <w:left w:type="dxa" w:w="110"/>
              <w:bottom w:type="dxa" w:w="70"/>
              <w:right w:type="dxa" w:w="110"/>
            </w:tcMar>
            <w:vAlign w:val="center"/>
          </w:tcPr>
          <w:p>
            <w:pPr>
              <w:spacing w:after="0" w:line="252"/>
            </w:pPr>
            <w:r>
              <w:rPr>
                <w:b/>
                <w:bCs/>
                <w:color w:val="FFFFFF"/>
                <w:sz w:val="19"/>
                <w:szCs w:val="19"/>
              </w:rPr>
              <w:t xml:space="preserve">What they tend to value most</w:t>
            </w:r>
          </w:p>
        </w:tc>
        <w:tc>
          <w:tcPr>
            <w:tcW w:type="dxa" w:w="3480"/>
            <w:tcBorders>
              <w:top w:val="single" w:color="BBBBBB" w:sz="1"/>
              <w:left w:val="single" w:color="BBBBBB" w:sz="1"/>
              <w:bottom w:val="single" w:color="BBBBBB" w:sz="1"/>
              <w:right w:val="single" w:color="BBBBBB" w:sz="1"/>
            </w:tcBorders>
            <w:shd w:fill="2E5E4E" w:val="clear"/>
            <w:tcMar>
              <w:top w:type="dxa" w:w="70"/>
              <w:left w:type="dxa" w:w="110"/>
              <w:bottom w:type="dxa" w:w="70"/>
              <w:right w:type="dxa" w:w="110"/>
            </w:tcMar>
            <w:vAlign w:val="center"/>
          </w:tcPr>
          <w:p>
            <w:pPr>
              <w:spacing w:after="0" w:line="252"/>
            </w:pPr>
            <w:r>
              <w:rPr>
                <w:b/>
                <w:bCs/>
                <w:color w:val="FFFFFF"/>
                <w:sz w:val="19"/>
                <w:szCs w:val="19"/>
              </w:rPr>
              <w:t xml:space="preserve">Lead emphasis (same spine, re-weighted)</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Banks / large institutions</w:t>
            </w:r>
          </w:p>
        </w:tc>
        <w:tc>
          <w:tcPr>
            <w:tcW w:type="dxa" w:w="3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Community standing, cultural respectability, broad brand safety, long-term association.</w:t>
            </w:r>
          </w:p>
        </w:tc>
        <w:tc>
          <w:tcPr>
            <w:tcW w:type="dxa" w:w="3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The permanent cultural asset rooted in the community they serve; the clean, family-accessible, respectable character; the lasting first-frame.</w:t>
            </w:r>
          </w:p>
        </w:tc>
      </w:tr>
      <w:tr>
        <w:trPr>
          <w:tblHeader w:val="false"/>
        </w:trPr>
        <w:tc>
          <w:tcPr>
            <w:tcW w:type="dxa" w:w="240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Real estate / brokerages</w:t>
            </w:r>
          </w:p>
        </w:tc>
        <w:tc>
          <w:tcPr>
            <w:tcW w:type="dxa" w:w="34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Local visibility, aspirational lifestyle association, being seen as part of the desirable Cape.</w:t>
            </w:r>
          </w:p>
        </w:tc>
        <w:tc>
          <w:tcPr>
            <w:tcW w:type="dxa" w:w="34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The destination experience, the beautiful historic room, association with a premium Cape cultural moment; visible presence in a sought-after setting.</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Auto dealerships / high-volume advertisers</w:t>
            </w:r>
          </w:p>
        </w:tc>
        <w:tc>
          <w:tcPr>
            <w:tcW w:type="dxa" w:w="3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Reach, eyeballs, repeated exposure, advertising value per dollar.</w:t>
            </w:r>
          </w:p>
        </w:tc>
        <w:tc>
          <w:tcPr>
            <w:tcW w:type="dxa" w:w="348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spacing w:after="0" w:line="252"/>
            </w:pPr>
            <w:r>
              <w:rPr>
                <w:b w:val="false"/>
                <w:bCs w:val="false"/>
                <w:color w:val="000000"/>
                <w:sz w:val="19"/>
                <w:szCs w:val="19"/>
              </w:rPr>
              <w:t xml:space="preserve">The platform reach — four owned specials promoted indefinitely; the appreciating exposure vs. one-night ad spend; combined-following scale (backpocket).</w:t>
            </w:r>
          </w:p>
        </w:tc>
      </w:tr>
      <w:tr>
        <w:trPr>
          <w:tblHeader w:val="false"/>
        </w:trPr>
        <w:tc>
          <w:tcPr>
            <w:tcW w:type="dxa" w:w="240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Event-only / ad-hoc givers</w:t>
            </w:r>
          </w:p>
        </w:tc>
        <w:tc>
          <w:tcPr>
            <w:tcW w:type="dxa" w:w="34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Supporting a specific community event; tangible local goodwill.</w:t>
            </w:r>
          </w:p>
        </w:tc>
        <w:tc>
          <w:tcPr>
            <w:tcW w:type="dxa" w:w="3480"/>
            <w:tcBorders>
              <w:top w:val="single" w:color="BBBBBB" w:sz="1"/>
              <w:left w:val="single" w:color="BBBBBB" w:sz="1"/>
              <w:bottom w:val="single" w:color="BBBBBB" w:sz="1"/>
              <w:right w:val="single" w:color="BBBBBB" w:sz="1"/>
            </w:tcBorders>
            <w:shd w:fill="E8F0EC" w:val="clear"/>
            <w:tcMar>
              <w:top w:type="dxa" w:w="70"/>
              <w:left w:type="dxa" w:w="110"/>
              <w:bottom w:type="dxa" w:w="70"/>
              <w:right w:type="dxa" w:w="110"/>
            </w:tcMar>
            <w:vAlign w:val="center"/>
          </w:tcPr>
          <w:p>
            <w:pPr>
              <w:spacing w:after="0" w:line="252"/>
            </w:pPr>
            <w:r>
              <w:rPr>
                <w:b w:val="false"/>
                <w:bCs w:val="false"/>
                <w:color w:val="000000"/>
                <w:sz w:val="19"/>
                <w:szCs w:val="19"/>
              </w:rPr>
              <w:t xml:space="preserve">The reframe: this is NOT a one-night banner but a permanent asset and a season-defining community event — their support visible far beyond the night itself.</w:t>
            </w:r>
          </w:p>
        </w:tc>
      </w:tr>
    </w:tbl>
    <w:p>
      <w:pPr>
        <w:spacing w:after="120" w:line="276"/>
      </w:pPr>
      <w:r>
        <w:rPr>
          <w:b/>
          <w:bCs/>
          <w:color w:val="666666"/>
        </w:rPr>
        <w:t xml:space="preserve">NEXT</w:t>
      </w:r>
      <w:r>
        <w:rPr>
          <w:color w:val="666666"/>
        </w:rPr>
        <w:t xml:space="preserve">  The deeper differences — which contact to approach, which budget (marketing vs. charitable/community-giving) the money comes from, and how to open the door — are door-opening strategy, handled in the following conversation. A key preview: aim at MARKETING / SPONSORSHIP decision-makers, not charitable-giving committees, because a commercial presenting buy is not a donation.</w:t>
      </w:r>
    </w:p>
    <w:p>
      <w:r>
        <w:br w:type="page"/>
      </w:r>
    </w:p>
    <w:p>
      <w:pPr>
        <w:pStyle w:val="Heading1"/>
      </w:pPr>
      <w:r>
        <w:t xml:space="preserve">9. Recommended package structure</w:t>
      </w:r>
    </w:p>
    <w:p>
      <w:pPr>
        <w:spacing w:after="120" w:line="276"/>
      </w:pPr>
      <w:r>
        <w:t xml:space="preserve">A suggested order for the universal spine. Brief throughout; each section a few lines or a strong visual, not a wall of text. The whole package should be short enough to read in one sitting and complete enough to leave no obvious question unanswered.</w:t>
      </w:r>
    </w:p>
    <w:p>
      <w:pPr>
        <w:pStyle w:val="ListParagraph"/>
        <w:numPr>
          <w:ilvl w:val="0"/>
          <w:numId w:val="3"/>
        </w:numPr>
        <w:spacing w:after="60" w:line="264"/>
      </w:pPr>
      <w:r>
        <w:t xml:space="preserve">Cover / the room. The venue image and the property name. Lead with the ceiling.</w:t>
      </w:r>
    </w:p>
    <w:p>
      <w:pPr>
        <w:pStyle w:val="ListParagraph"/>
        <w:numPr>
          <w:ilvl w:val="0"/>
          <w:numId w:val="3"/>
        </w:numPr>
        <w:spacing w:after="60" w:line="264"/>
      </w:pPr>
      <w:r>
        <w:t xml:space="preserve">The idea, in one line. The single exclusive presenting position on four owned specials — the governing idea, stated cleanly.</w:t>
      </w:r>
    </w:p>
    <w:p>
      <w:pPr>
        <w:pStyle w:val="ListParagraph"/>
        <w:numPr>
          <w:ilvl w:val="0"/>
          <w:numId w:val="3"/>
        </w:numPr>
        <w:spacing w:after="60" w:line="264"/>
      </w:pPr>
      <w:r>
        <w:t xml:space="preserve">What the presenter gets. The four-asset thesis; the permanent first frame; category exclusivity; in-room presence.</w:t>
      </w:r>
    </w:p>
    <w:p>
      <w:pPr>
        <w:pStyle w:val="ListParagraph"/>
        <w:numPr>
          <w:ilvl w:val="0"/>
          <w:numId w:val="3"/>
        </w:numPr>
        <w:spacing w:after="60" w:line="264"/>
      </w:pPr>
      <w:r>
        <w:t xml:space="preserve">The performers. The curated template — rising, represented, big reach, no special yet — never names; the reach logic without “viral.”</w:t>
      </w:r>
    </w:p>
    <w:p>
      <w:pPr>
        <w:pStyle w:val="ListParagraph"/>
        <w:numPr>
          <w:ilvl w:val="0"/>
          <w:numId w:val="3"/>
        </w:numPr>
        <w:spacing w:after="60" w:line="264"/>
      </w:pPr>
      <w:r>
        <w:t xml:space="preserve">The production. The broadcast-grade, multi-camera, [N]-camera quality signal and the credentialed third-person director — outcome, not itemised parts.</w:t>
      </w:r>
    </w:p>
    <w:p>
      <w:pPr>
        <w:pStyle w:val="ListParagraph"/>
        <w:numPr>
          <w:ilvl w:val="0"/>
          <w:numId w:val="3"/>
        </w:numPr>
        <w:spacing w:after="60" w:line="264"/>
      </w:pPr>
      <w:r>
        <w:t xml:space="preserve">The placement. Where and how the presenter appears: the special card, the step-and-repeat, the “YOUR NAME HERE” mockup (on interest).</w:t>
      </w:r>
    </w:p>
    <w:p>
      <w:pPr>
        <w:pStyle w:val="ListParagraph"/>
        <w:numPr>
          <w:ilvl w:val="0"/>
          <w:numId w:val="3"/>
        </w:numPr>
        <w:spacing w:after="60" w:line="264"/>
      </w:pPr>
      <w:r>
        <w:t xml:space="preserve">The experience and the Cape. Venue, intimacy, cultural-event character, community rooting.</w:t>
      </w:r>
    </w:p>
    <w:p>
      <w:pPr>
        <w:pStyle w:val="ListParagraph"/>
        <w:numPr>
          <w:ilvl w:val="0"/>
          <w:numId w:val="3"/>
        </w:numPr>
        <w:spacing w:after="60" w:line="264"/>
      </w:pPr>
      <w:r>
        <w:t xml:space="preserve">The invitation. A confident close — the single position, the exclusivity, and a clear next step to discuss. No price menu in the cold leave-behind unless strategy dictates; the figure is led into in conversation.</w:t>
      </w:r>
    </w:p>
    <w:p>
      <w:pPr>
        <w:spacing w:after="60"/>
      </w:pPr>
      <w:r>
        <w:t xml:space="preserve"/>
      </w:r>
    </w:p>
    <w:p>
      <w:pPr>
        <w:pStyle w:val="Heading1"/>
      </w:pPr>
      <w:r>
        <w:t xml:space="preserve">10. Master checklist — must / must not</w:t>
      </w:r>
    </w:p>
    <w:p>
      <w:pPr>
        <w:pStyle w:val="Heading2"/>
      </w:pPr>
      <w:r>
        <w:t xml:space="preserve">10.1 The package MUST</w:t>
      </w:r>
    </w:p>
    <w:p>
      <w:pPr>
        <w:pStyle w:val="ListParagraph"/>
        <w:numPr>
          <w:ilvl w:val="0"/>
          <w:numId w:val="2"/>
        </w:numPr>
        <w:spacing w:after="60" w:line="264"/>
      </w:pPr>
      <w:r>
        <w:t xml:space="preserve">Lead with the room and the single governing idea.</w:t>
      </w:r>
    </w:p>
    <w:p>
      <w:pPr>
        <w:pStyle w:val="ListParagraph"/>
        <w:numPr>
          <w:ilvl w:val="0"/>
          <w:numId w:val="2"/>
        </w:numPr>
        <w:spacing w:after="60" w:line="264"/>
      </w:pPr>
      <w:r>
        <w:t xml:space="preserve">Make the four-owned-assets thesis the spine of the value case.</w:t>
      </w:r>
    </w:p>
    <w:p>
      <w:pPr>
        <w:pStyle w:val="ListParagraph"/>
        <w:numPr>
          <w:ilvl w:val="0"/>
          <w:numId w:val="2"/>
        </w:numPr>
        <w:spacing w:after="60" w:line="264"/>
      </w:pPr>
      <w:r>
        <w:t xml:space="preserve">Offer one exclusive presenting position, with category exclusivity, only.</w:t>
      </w:r>
    </w:p>
    <w:p>
      <w:pPr>
        <w:pStyle w:val="ListParagraph"/>
        <w:numPr>
          <w:ilvl w:val="0"/>
          <w:numId w:val="2"/>
        </w:numPr>
        <w:spacing w:after="60" w:line="264"/>
      </w:pPr>
      <w:r>
        <w:t xml:space="preserve">Describe performers as a curated template of rising, represented, high-reach acts with no special yet.</w:t>
      </w:r>
    </w:p>
    <w:p>
      <w:pPr>
        <w:pStyle w:val="ListParagraph"/>
        <w:numPr>
          <w:ilvl w:val="0"/>
          <w:numId w:val="2"/>
        </w:numPr>
        <w:spacing w:after="60" w:line="264"/>
      </w:pPr>
      <w:r>
        <w:t xml:space="preserve">State the [N]-camera, broadcast-grade quality as a confident clause selling the whole outcome.</w:t>
      </w:r>
    </w:p>
    <w:p>
      <w:pPr>
        <w:pStyle w:val="ListParagraph"/>
        <w:numPr>
          <w:ilvl w:val="0"/>
          <w:numId w:val="2"/>
        </w:numPr>
        <w:spacing w:after="60" w:line="264"/>
      </w:pPr>
      <w:r>
        <w:t xml:space="preserve">Credit the director in the third person with real, plainly-stated credentials, unnamed.</w:t>
      </w:r>
    </w:p>
    <w:p>
      <w:pPr>
        <w:pStyle w:val="ListParagraph"/>
        <w:numPr>
          <w:ilvl w:val="0"/>
          <w:numId w:val="2"/>
        </w:numPr>
        <w:spacing w:after="60" w:line="264"/>
      </w:pPr>
      <w:r>
        <w:t xml:space="preserve">Specify clean placement: the permanent special card, the tasteful in-room step-and-repeat.</w:t>
      </w:r>
    </w:p>
    <w:p>
      <w:pPr>
        <w:pStyle w:val="ListParagraph"/>
        <w:numPr>
          <w:ilvl w:val="0"/>
          <w:numId w:val="2"/>
        </w:numPr>
        <w:spacing w:after="60" w:line="264"/>
      </w:pPr>
      <w:r>
        <w:t xml:space="preserve">Hold a universal spine; apply only the thin bespoke skin (mockup, one sentence, emphasis).</w:t>
      </w:r>
    </w:p>
    <w:p>
      <w:pPr>
        <w:pStyle w:val="ListParagraph"/>
        <w:numPr>
          <w:ilvl w:val="0"/>
          <w:numId w:val="2"/>
        </w:numPr>
        <w:spacing w:after="60" w:line="264"/>
      </w:pPr>
      <w:r>
        <w:t xml:space="preserve">Read as brief, confident, exciting, professional — and slightly understated.</w:t>
      </w:r>
    </w:p>
    <w:p>
      <w:pPr>
        <w:pStyle w:val="Heading2"/>
      </w:pPr>
      <w:r>
        <w:t xml:space="preserve">10.2 The package MUST NOT</w:t>
      </w:r>
    </w:p>
    <w:p>
      <w:pPr>
        <w:pStyle w:val="ListParagraph"/>
        <w:numPr>
          <w:ilvl w:val="0"/>
          <w:numId w:val="2"/>
        </w:numPr>
        <w:spacing w:after="60" w:line="264"/>
      </w:pPr>
      <w:r>
        <w:t xml:space="preserve">Name any comedian.</w:t>
      </w:r>
    </w:p>
    <w:p>
      <w:pPr>
        <w:pStyle w:val="ListParagraph"/>
        <w:numPr>
          <w:ilvl w:val="0"/>
          <w:numId w:val="2"/>
        </w:numPr>
        <w:spacing w:after="60" w:line="264"/>
      </w:pPr>
      <w:r>
        <w:t xml:space="preserve">Use the word “viral,” or promise or guarantee any view count or breakout.</w:t>
      </w:r>
    </w:p>
    <w:p>
      <w:pPr>
        <w:pStyle w:val="ListParagraph"/>
        <w:numPr>
          <w:ilvl w:val="0"/>
          <w:numId w:val="2"/>
        </w:numPr>
        <w:spacing w:after="60" w:line="264"/>
      </w:pPr>
      <w:r>
        <w:t xml:space="preserve">Itemise the camera package, list gear, or expose any production cost.</w:t>
      </w:r>
    </w:p>
    <w:p>
      <w:pPr>
        <w:pStyle w:val="ListParagraph"/>
        <w:numPr>
          <w:ilvl w:val="0"/>
          <w:numId w:val="2"/>
        </w:numPr>
        <w:spacing w:after="60" w:line="264"/>
      </w:pPr>
      <w:r>
        <w:t xml:space="preserve">Offer multiple sponsors, tiers, or a “brought to you by A, B, C” structure.</w:t>
      </w:r>
    </w:p>
    <w:p>
      <w:pPr>
        <w:pStyle w:val="ListParagraph"/>
        <w:numPr>
          <w:ilvl w:val="0"/>
          <w:numId w:val="2"/>
        </w:numPr>
        <w:spacing w:after="60" w:line="264"/>
      </w:pPr>
      <w:r>
        <w:t xml:space="preserve">Place the target’s literal logo before they have agreed (use “YOUR NAME HERE” in their identity).</w:t>
      </w:r>
    </w:p>
    <w:p>
      <w:pPr>
        <w:pStyle w:val="ListParagraph"/>
        <w:numPr>
          <w:ilvl w:val="0"/>
          <w:numId w:val="2"/>
        </w:numPr>
        <w:spacing w:after="60" w:line="264"/>
      </w:pPr>
      <w:r>
        <w:t xml:space="preserve">Put branding on the performers, or a large single logo behind the comic.</w:t>
      </w:r>
    </w:p>
    <w:p>
      <w:pPr>
        <w:pStyle w:val="ListParagraph"/>
        <w:numPr>
          <w:ilvl w:val="0"/>
          <w:numId w:val="2"/>
        </w:numPr>
        <w:spacing w:after="60" w:line="264"/>
      </w:pPr>
      <w:r>
        <w:t xml:space="preserve">Promise the presenter’s mark on every clip or derivative (special card only).</w:t>
      </w:r>
    </w:p>
    <w:p>
      <w:pPr>
        <w:pStyle w:val="ListParagraph"/>
        <w:numPr>
          <w:ilvl w:val="0"/>
          <w:numId w:val="2"/>
        </w:numPr>
        <w:spacing w:after="60" w:line="264"/>
      </w:pPr>
      <w:r>
        <w:t xml:space="preserve">Make the director’s credentials read as self-referential or too-convenient.</w:t>
      </w:r>
    </w:p>
    <w:p>
      <w:pPr>
        <w:pStyle w:val="ListParagraph"/>
        <w:numPr>
          <w:ilvl w:val="0"/>
          <w:numId w:val="2"/>
        </w:numPr>
        <w:spacing w:after="60" w:line="264"/>
      </w:pPr>
      <w:r>
        <w:t xml:space="preserve">Tip into hype, superlatives, padding, or anything that reads as too-good-to-be-true.</w:t>
      </w:r>
    </w:p>
    <w:p>
      <w:pPr>
        <w:pStyle w:val="ListParagraph"/>
        <w:numPr>
          <w:ilvl w:val="0"/>
          <w:numId w:val="2"/>
        </w:numPr>
        <w:spacing w:after="60" w:line="264"/>
      </w:pPr>
      <w:r>
        <w:t xml:space="preserve">Read as friends-and-neighbours cobbled together — no shortcuts, anywhere.</w:t>
      </w:r>
    </w:p>
    <w:p>
      <w:pPr>
        <w:spacing w:after="60"/>
      </w:pPr>
      <w:r>
        <w:t xml:space="preserve"/>
      </w:r>
    </w:p>
    <w:p>
      <w:pPr>
        <w:spacing w:after="120" w:line="276"/>
      </w:pPr>
      <w:r>
        <w:rPr>
          <w:b/>
          <w:bCs/>
        </w:rPr>
        <w:t xml:space="preserve">Last word. </w:t>
      </w:r>
      <w:r>
        <w:t xml:space="preserve">The offer is genuinely strong, which means the enemy is never weakness — it is over-claiming. Build the package plain, confident, and complete; let the room, the owned assets, and the production speak; and keep the bespoke touch thin. A reader who finishes it should think “this is real, and unusually good,” not “this is trying hard to sell 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Working document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Cape Cod Refinery Co. — The Sponsor Package (Build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Georgia" w:cs="Georgia" w:eastAsia="Georgia" w:hAnsi="Georgia"/>
      <w:b/>
      <w:bCs/>
      <w:sz w:val="52"/>
      <w:szCs w:val="52"/>
    </w:rPr>
  </w:style>
  <w:style w:type="paragraph" w:styleId="Heading1">
    <w:name w:val="Heading 1"/>
    <w:basedOn w:val="Normal"/>
    <w:next w:val="Normal"/>
    <w:qFormat/>
    <w:pPr>
      <w:pBdr>
        <w:bottom w:val="single" w:color="2E5E4E" w:sz="6" w:space="4"/>
      </w:pBdr>
      <w:spacing w:after="160" w:before="280"/>
      <w:outlineLvl w:val="0"/>
    </w:pPr>
    <w:rPr>
      <w:rFonts w:ascii="Georgia" w:cs="Georgia" w:eastAsia="Georgia" w:hAnsi="Georgia"/>
      <w:b/>
      <w:bCs/>
      <w:color w:val="2E5E4E"/>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1A1A1A"/>
      <w:sz w:val="24"/>
      <w:szCs w:val="24"/>
    </w:rPr>
  </w:style>
  <w:style w:type="paragraph" w:styleId="Heading3">
    <w:name w:val="Heading 3"/>
    <w:basedOn w:val="Normal"/>
    <w:next w:val="Normal"/>
    <w:qFormat/>
    <w:pPr>
      <w:spacing w:after="80" w:before="140"/>
      <w:outlineLvl w:val="2"/>
    </w:pPr>
    <w:rPr>
      <w:rFonts w:ascii="Georgia" w:cs="Georgia" w:eastAsia="Georgia" w:hAnsi="Georgia"/>
      <w:b/>
      <w:bCs/>
      <w:color w:val="6666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Sponsor Package — A Build Bible</dc:title>
  <dc:creator>Cape Cod Refinery Co.</dc:creator>
  <cp:lastModifiedBy>Un-named</cp:lastModifiedBy>
  <cp:revision>1</cp:revision>
  <dcterms:created xsi:type="dcterms:W3CDTF">2026-06-28T16:51:22.102Z</dcterms:created>
  <dcterms:modified xsi:type="dcterms:W3CDTF">2026-06-28T16:51:22.121Z</dcterms:modified>
</cp:coreProperties>
</file>

<file path=docProps/custom.xml><?xml version="1.0" encoding="utf-8"?>
<Properties xmlns="http://schemas.openxmlformats.org/officeDocument/2006/custom-properties" xmlns:vt="http://schemas.openxmlformats.org/officeDocument/2006/docPropsVTypes"/>
</file>