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D24A" w14:textId="73CF1B05" w:rsidR="00312397" w:rsidRDefault="00312397" w:rsidP="00312397">
      <w:pPr>
        <w:pStyle w:val="NoSpacing"/>
        <w:jc w:val="center"/>
        <w:rPr>
          <w:rFonts w:ascii="Arial" w:hAnsi="Arial" w:cs="Arial"/>
          <w:b/>
          <w:sz w:val="28"/>
          <w:szCs w:val="26"/>
        </w:rPr>
      </w:pPr>
      <w:r w:rsidRPr="00312397">
        <w:rPr>
          <w:rFonts w:ascii="Arial" w:hAnsi="Arial" w:cs="Arial"/>
          <w:b/>
          <w:sz w:val="28"/>
          <w:szCs w:val="26"/>
        </w:rPr>
        <w:t xml:space="preserve">FEASIBILITY </w:t>
      </w:r>
      <w:r w:rsidR="006A486B">
        <w:rPr>
          <w:rFonts w:ascii="Arial" w:hAnsi="Arial" w:cs="Arial"/>
          <w:b/>
          <w:sz w:val="28"/>
          <w:szCs w:val="26"/>
        </w:rPr>
        <w:t xml:space="preserve">STUDY OF STOP AND GO </w:t>
      </w:r>
    </w:p>
    <w:p w14:paraId="6FAACC14" w14:textId="7EF40C8D" w:rsidR="006A486B" w:rsidRDefault="006A486B" w:rsidP="00312397">
      <w:pPr>
        <w:pStyle w:val="NoSpacing"/>
        <w:jc w:val="center"/>
        <w:rPr>
          <w:rFonts w:ascii="Arial" w:hAnsi="Arial" w:cs="Arial"/>
          <w:b/>
          <w:sz w:val="28"/>
          <w:szCs w:val="26"/>
        </w:rPr>
      </w:pPr>
      <w:r>
        <w:rPr>
          <w:rFonts w:ascii="Arial" w:hAnsi="Arial" w:cs="Arial"/>
          <w:b/>
          <w:sz w:val="28"/>
          <w:szCs w:val="26"/>
        </w:rPr>
        <w:t>SYSTEM FOR ID SCHOOL ENTRANCE CONTROL</w:t>
      </w:r>
    </w:p>
    <w:p w14:paraId="56EB0472" w14:textId="694F808F" w:rsidR="006A486B" w:rsidRPr="00312397" w:rsidRDefault="006A486B" w:rsidP="00312397">
      <w:pPr>
        <w:pStyle w:val="NoSpacing"/>
        <w:jc w:val="center"/>
        <w:rPr>
          <w:rFonts w:ascii="Arial" w:hAnsi="Arial" w:cs="Arial"/>
          <w:b/>
          <w:sz w:val="28"/>
          <w:szCs w:val="26"/>
        </w:rPr>
      </w:pPr>
      <w:r>
        <w:rPr>
          <w:rFonts w:ascii="Arial" w:hAnsi="Arial" w:cs="Arial"/>
          <w:b/>
          <w:sz w:val="28"/>
          <w:szCs w:val="26"/>
        </w:rPr>
        <w:t>IN ORIENTAL MINDORO</w:t>
      </w:r>
    </w:p>
    <w:p w14:paraId="6AED193A" w14:textId="77777777" w:rsidR="00312397" w:rsidRDefault="00312397" w:rsidP="00312397">
      <w:pPr>
        <w:pStyle w:val="NoSpacing"/>
        <w:jc w:val="center"/>
        <w:rPr>
          <w:rFonts w:ascii="Arial" w:hAnsi="Arial" w:cs="Arial"/>
          <w:sz w:val="26"/>
          <w:szCs w:val="26"/>
        </w:rPr>
      </w:pPr>
    </w:p>
    <w:p w14:paraId="24EDB6B1" w14:textId="77777777" w:rsidR="00312397" w:rsidRPr="00312397" w:rsidRDefault="00312397" w:rsidP="00312397">
      <w:pPr>
        <w:pStyle w:val="NoSpacing"/>
        <w:jc w:val="center"/>
        <w:rPr>
          <w:rFonts w:ascii="Arial" w:hAnsi="Arial" w:cs="Arial"/>
          <w:sz w:val="26"/>
          <w:szCs w:val="26"/>
        </w:rPr>
      </w:pPr>
    </w:p>
    <w:p w14:paraId="4E865813" w14:textId="77777777" w:rsidR="00312397" w:rsidRPr="00312397" w:rsidRDefault="00312397" w:rsidP="00312397">
      <w:pPr>
        <w:pStyle w:val="NoSpacing"/>
        <w:jc w:val="center"/>
        <w:rPr>
          <w:rFonts w:ascii="Arial" w:hAnsi="Arial" w:cs="Arial"/>
          <w:sz w:val="26"/>
          <w:szCs w:val="26"/>
        </w:rPr>
      </w:pPr>
      <w:r w:rsidRPr="00312397">
        <w:rPr>
          <w:rFonts w:ascii="Arial" w:hAnsi="Arial" w:cs="Arial"/>
          <w:sz w:val="26"/>
          <w:szCs w:val="26"/>
        </w:rPr>
        <w:t>A Feasibility Study</w:t>
      </w:r>
    </w:p>
    <w:p w14:paraId="12EDBE73" w14:textId="77777777" w:rsidR="00312397" w:rsidRPr="00312397" w:rsidRDefault="00312397" w:rsidP="00312397">
      <w:pPr>
        <w:pStyle w:val="NoSpacing"/>
        <w:jc w:val="center"/>
        <w:rPr>
          <w:rFonts w:ascii="Arial" w:hAnsi="Arial" w:cs="Arial"/>
          <w:sz w:val="26"/>
          <w:szCs w:val="26"/>
        </w:rPr>
      </w:pPr>
      <w:r w:rsidRPr="00312397">
        <w:rPr>
          <w:rFonts w:ascii="Arial" w:hAnsi="Arial" w:cs="Arial"/>
          <w:sz w:val="26"/>
          <w:szCs w:val="26"/>
        </w:rPr>
        <w:t>Presented to</w:t>
      </w:r>
    </w:p>
    <w:p w14:paraId="45B00AAF" w14:textId="77777777" w:rsidR="00312397" w:rsidRPr="00312397" w:rsidRDefault="00312397" w:rsidP="00312397">
      <w:pPr>
        <w:pStyle w:val="NoSpacing"/>
        <w:jc w:val="center"/>
        <w:rPr>
          <w:rFonts w:ascii="Arial" w:hAnsi="Arial" w:cs="Arial"/>
          <w:sz w:val="26"/>
          <w:szCs w:val="26"/>
        </w:rPr>
      </w:pPr>
    </w:p>
    <w:p w14:paraId="0D96AB4D" w14:textId="77777777" w:rsidR="00312397" w:rsidRPr="00312397" w:rsidRDefault="00312397" w:rsidP="00312397">
      <w:pPr>
        <w:pStyle w:val="NoSpacing"/>
        <w:jc w:val="center"/>
        <w:rPr>
          <w:rFonts w:ascii="Arial" w:hAnsi="Arial" w:cs="Arial"/>
          <w:b/>
          <w:sz w:val="26"/>
          <w:szCs w:val="26"/>
        </w:rPr>
      </w:pPr>
      <w:r w:rsidRPr="00312397">
        <w:rPr>
          <w:rFonts w:ascii="Arial" w:hAnsi="Arial" w:cs="Arial"/>
          <w:b/>
          <w:sz w:val="26"/>
          <w:szCs w:val="26"/>
        </w:rPr>
        <w:t>Mr. GENER M. CUPO, MBA, MSIT</w:t>
      </w:r>
    </w:p>
    <w:p w14:paraId="683666A3" w14:textId="77777777" w:rsidR="00312397" w:rsidRPr="00312397" w:rsidRDefault="00312397" w:rsidP="00312397">
      <w:pPr>
        <w:pStyle w:val="NoSpacing"/>
        <w:jc w:val="center"/>
        <w:rPr>
          <w:rFonts w:ascii="Arial" w:hAnsi="Arial" w:cs="Arial"/>
          <w:sz w:val="26"/>
          <w:szCs w:val="26"/>
        </w:rPr>
      </w:pPr>
    </w:p>
    <w:p w14:paraId="0A0C67DD" w14:textId="77777777" w:rsidR="00312397" w:rsidRPr="00312397" w:rsidRDefault="00312397" w:rsidP="00312397">
      <w:pPr>
        <w:pStyle w:val="NoSpacing"/>
        <w:jc w:val="center"/>
        <w:rPr>
          <w:rFonts w:ascii="Arial" w:hAnsi="Arial" w:cs="Arial"/>
          <w:sz w:val="26"/>
          <w:szCs w:val="26"/>
        </w:rPr>
      </w:pPr>
    </w:p>
    <w:p w14:paraId="18F94B4D" w14:textId="77777777" w:rsidR="00312397" w:rsidRPr="00312397" w:rsidRDefault="00312397" w:rsidP="00312397">
      <w:pPr>
        <w:pStyle w:val="NoSpacing"/>
        <w:jc w:val="center"/>
        <w:rPr>
          <w:rFonts w:ascii="Arial" w:hAnsi="Arial" w:cs="Arial"/>
          <w:sz w:val="26"/>
          <w:szCs w:val="26"/>
        </w:rPr>
      </w:pPr>
    </w:p>
    <w:p w14:paraId="2ECA7D6D" w14:textId="77777777" w:rsidR="00312397" w:rsidRPr="00312397" w:rsidRDefault="00312397" w:rsidP="00312397">
      <w:pPr>
        <w:pStyle w:val="NoSpacing"/>
        <w:jc w:val="center"/>
        <w:rPr>
          <w:rFonts w:ascii="Arial" w:hAnsi="Arial" w:cs="Arial"/>
          <w:b/>
          <w:sz w:val="26"/>
          <w:szCs w:val="26"/>
        </w:rPr>
      </w:pPr>
      <w:r w:rsidRPr="00312397">
        <w:rPr>
          <w:rFonts w:ascii="Arial" w:hAnsi="Arial" w:cs="Arial"/>
          <w:b/>
          <w:sz w:val="26"/>
          <w:szCs w:val="26"/>
        </w:rPr>
        <w:t>MINDORO STATE UNIVERSITY</w:t>
      </w:r>
    </w:p>
    <w:p w14:paraId="293A77C5" w14:textId="77777777" w:rsidR="00312397" w:rsidRPr="00312397" w:rsidRDefault="00312397" w:rsidP="00312397">
      <w:pPr>
        <w:pStyle w:val="NoSpacing"/>
        <w:jc w:val="center"/>
        <w:rPr>
          <w:rFonts w:ascii="Arial" w:hAnsi="Arial" w:cs="Arial"/>
          <w:b/>
          <w:sz w:val="26"/>
          <w:szCs w:val="26"/>
        </w:rPr>
      </w:pPr>
      <w:r w:rsidRPr="00312397">
        <w:rPr>
          <w:rFonts w:ascii="Arial" w:hAnsi="Arial" w:cs="Arial"/>
          <w:b/>
          <w:sz w:val="26"/>
          <w:szCs w:val="26"/>
        </w:rPr>
        <w:t>(MinSU) – Calapan City Campus</w:t>
      </w:r>
    </w:p>
    <w:p w14:paraId="43118ABF" w14:textId="77777777" w:rsidR="00312397" w:rsidRPr="00312397" w:rsidRDefault="00312397" w:rsidP="00312397">
      <w:pPr>
        <w:pStyle w:val="NoSpacing"/>
        <w:jc w:val="center"/>
        <w:rPr>
          <w:rFonts w:ascii="Arial" w:hAnsi="Arial" w:cs="Arial"/>
          <w:b/>
          <w:sz w:val="26"/>
          <w:szCs w:val="26"/>
        </w:rPr>
      </w:pPr>
      <w:r w:rsidRPr="00312397">
        <w:rPr>
          <w:rFonts w:ascii="Arial" w:hAnsi="Arial" w:cs="Arial"/>
          <w:b/>
          <w:sz w:val="26"/>
          <w:szCs w:val="26"/>
        </w:rPr>
        <w:t>BACHELOR OF SCIENCE IN INFORMATION TECHNOLOGY DEPARTMENT</w:t>
      </w:r>
    </w:p>
    <w:p w14:paraId="1304947C" w14:textId="77777777" w:rsidR="00312397" w:rsidRPr="00312397" w:rsidRDefault="00312397" w:rsidP="00312397">
      <w:pPr>
        <w:pStyle w:val="NoSpacing"/>
        <w:jc w:val="center"/>
        <w:rPr>
          <w:rFonts w:ascii="Arial" w:hAnsi="Arial" w:cs="Arial"/>
          <w:sz w:val="26"/>
          <w:szCs w:val="26"/>
        </w:rPr>
      </w:pPr>
      <w:r w:rsidRPr="00312397">
        <w:rPr>
          <w:rFonts w:ascii="Arial" w:hAnsi="Arial" w:cs="Arial"/>
          <w:sz w:val="26"/>
          <w:szCs w:val="26"/>
        </w:rPr>
        <w:t>Masipit, Calapan City</w:t>
      </w:r>
    </w:p>
    <w:p w14:paraId="31C11D62" w14:textId="77777777" w:rsidR="00312397" w:rsidRPr="00312397" w:rsidRDefault="00312397" w:rsidP="00312397">
      <w:pPr>
        <w:pStyle w:val="NoSpacing"/>
        <w:jc w:val="center"/>
        <w:rPr>
          <w:rFonts w:ascii="Arial" w:hAnsi="Arial" w:cs="Arial"/>
          <w:sz w:val="26"/>
          <w:szCs w:val="26"/>
        </w:rPr>
      </w:pPr>
    </w:p>
    <w:p w14:paraId="58910541" w14:textId="77777777" w:rsidR="00312397" w:rsidRPr="00312397" w:rsidRDefault="00312397" w:rsidP="00312397">
      <w:pPr>
        <w:pStyle w:val="NoSpacing"/>
        <w:jc w:val="center"/>
        <w:rPr>
          <w:rFonts w:ascii="Arial" w:hAnsi="Arial" w:cs="Arial"/>
          <w:sz w:val="26"/>
          <w:szCs w:val="26"/>
        </w:rPr>
      </w:pPr>
    </w:p>
    <w:p w14:paraId="4E83617C" w14:textId="77777777" w:rsidR="00312397" w:rsidRPr="00312397" w:rsidRDefault="00312397" w:rsidP="00312397">
      <w:pPr>
        <w:pStyle w:val="NoSpacing"/>
        <w:jc w:val="center"/>
        <w:rPr>
          <w:rFonts w:ascii="Arial" w:hAnsi="Arial" w:cs="Arial"/>
          <w:sz w:val="26"/>
          <w:szCs w:val="26"/>
        </w:rPr>
      </w:pPr>
    </w:p>
    <w:p w14:paraId="213FA7D8" w14:textId="77777777" w:rsidR="00312397" w:rsidRPr="00312397" w:rsidRDefault="00312397" w:rsidP="00312397">
      <w:pPr>
        <w:pStyle w:val="NoSpacing"/>
        <w:jc w:val="center"/>
        <w:rPr>
          <w:rFonts w:ascii="Arial" w:hAnsi="Arial" w:cs="Arial"/>
          <w:sz w:val="26"/>
          <w:szCs w:val="26"/>
        </w:rPr>
      </w:pPr>
    </w:p>
    <w:p w14:paraId="2216BC1F" w14:textId="77777777" w:rsidR="00312397" w:rsidRPr="00312397" w:rsidRDefault="00312397" w:rsidP="00312397">
      <w:pPr>
        <w:pStyle w:val="NoSpacing"/>
        <w:jc w:val="center"/>
        <w:rPr>
          <w:rFonts w:ascii="Arial" w:hAnsi="Arial" w:cs="Arial"/>
          <w:sz w:val="26"/>
          <w:szCs w:val="26"/>
        </w:rPr>
      </w:pPr>
    </w:p>
    <w:p w14:paraId="5D3BC302" w14:textId="77777777" w:rsidR="00312397" w:rsidRPr="00312397" w:rsidRDefault="00312397" w:rsidP="00312397">
      <w:pPr>
        <w:pStyle w:val="NoSpacing"/>
        <w:jc w:val="center"/>
        <w:rPr>
          <w:rFonts w:ascii="Arial" w:hAnsi="Arial" w:cs="Arial"/>
          <w:sz w:val="26"/>
          <w:szCs w:val="26"/>
        </w:rPr>
      </w:pPr>
      <w:r w:rsidRPr="00312397">
        <w:rPr>
          <w:rFonts w:ascii="Arial" w:hAnsi="Arial" w:cs="Arial"/>
          <w:sz w:val="26"/>
          <w:szCs w:val="26"/>
        </w:rPr>
        <w:t>In Partial Fulfillment</w:t>
      </w:r>
    </w:p>
    <w:p w14:paraId="58B50415" w14:textId="77777777" w:rsidR="00312397" w:rsidRPr="00312397" w:rsidRDefault="00312397" w:rsidP="00312397">
      <w:pPr>
        <w:pStyle w:val="NoSpacing"/>
        <w:jc w:val="center"/>
        <w:rPr>
          <w:rFonts w:ascii="Arial" w:hAnsi="Arial" w:cs="Arial"/>
          <w:sz w:val="26"/>
          <w:szCs w:val="26"/>
        </w:rPr>
      </w:pPr>
      <w:r w:rsidRPr="00312397">
        <w:rPr>
          <w:rFonts w:ascii="Arial" w:hAnsi="Arial" w:cs="Arial"/>
          <w:sz w:val="26"/>
          <w:szCs w:val="26"/>
        </w:rPr>
        <w:t>of the Requirements for the Subject of</w:t>
      </w:r>
    </w:p>
    <w:p w14:paraId="336A8A19" w14:textId="77777777" w:rsidR="00312397" w:rsidRPr="00312397" w:rsidRDefault="00312397" w:rsidP="00312397">
      <w:pPr>
        <w:pStyle w:val="NoSpacing"/>
        <w:jc w:val="center"/>
        <w:rPr>
          <w:rFonts w:ascii="Arial" w:hAnsi="Arial" w:cs="Arial"/>
          <w:b/>
          <w:sz w:val="26"/>
          <w:szCs w:val="26"/>
        </w:rPr>
      </w:pPr>
      <w:r w:rsidRPr="00312397">
        <w:rPr>
          <w:rFonts w:ascii="Arial" w:hAnsi="Arial" w:cs="Arial"/>
          <w:b/>
          <w:sz w:val="26"/>
          <w:szCs w:val="26"/>
        </w:rPr>
        <w:t>ITE 322 - TECHNOPRENUERSHIP</w:t>
      </w:r>
    </w:p>
    <w:p w14:paraId="1940AD36" w14:textId="77777777" w:rsidR="00312397" w:rsidRPr="00312397" w:rsidRDefault="00312397" w:rsidP="00312397">
      <w:pPr>
        <w:pStyle w:val="NoSpacing"/>
        <w:jc w:val="center"/>
        <w:rPr>
          <w:rFonts w:ascii="Arial" w:hAnsi="Arial" w:cs="Arial"/>
          <w:sz w:val="26"/>
          <w:szCs w:val="26"/>
        </w:rPr>
      </w:pPr>
    </w:p>
    <w:p w14:paraId="6141B912" w14:textId="77777777" w:rsidR="00312397" w:rsidRPr="00312397" w:rsidRDefault="00312397" w:rsidP="00312397">
      <w:pPr>
        <w:pStyle w:val="NoSpacing"/>
        <w:jc w:val="center"/>
        <w:rPr>
          <w:rFonts w:ascii="Arial" w:hAnsi="Arial" w:cs="Arial"/>
          <w:sz w:val="26"/>
          <w:szCs w:val="26"/>
        </w:rPr>
      </w:pPr>
    </w:p>
    <w:p w14:paraId="3165DA2E" w14:textId="77777777" w:rsidR="00312397" w:rsidRPr="00312397" w:rsidRDefault="00312397" w:rsidP="00312397">
      <w:pPr>
        <w:pStyle w:val="NoSpacing"/>
        <w:jc w:val="center"/>
        <w:rPr>
          <w:rFonts w:ascii="Arial" w:hAnsi="Arial" w:cs="Arial"/>
          <w:sz w:val="26"/>
          <w:szCs w:val="26"/>
        </w:rPr>
      </w:pPr>
    </w:p>
    <w:p w14:paraId="2B6FED1B" w14:textId="77777777" w:rsidR="00312397" w:rsidRPr="00312397" w:rsidRDefault="00312397" w:rsidP="00312397">
      <w:pPr>
        <w:pStyle w:val="NoSpacing"/>
        <w:jc w:val="center"/>
        <w:rPr>
          <w:rFonts w:ascii="Arial" w:hAnsi="Arial" w:cs="Arial"/>
          <w:sz w:val="26"/>
          <w:szCs w:val="26"/>
        </w:rPr>
      </w:pPr>
    </w:p>
    <w:p w14:paraId="7FE7E8D7" w14:textId="77777777" w:rsidR="00312397" w:rsidRPr="00312397" w:rsidRDefault="00312397" w:rsidP="00312397">
      <w:pPr>
        <w:pStyle w:val="NoSpacing"/>
        <w:jc w:val="center"/>
        <w:rPr>
          <w:rFonts w:ascii="Arial" w:hAnsi="Arial" w:cs="Arial"/>
          <w:sz w:val="26"/>
          <w:szCs w:val="26"/>
        </w:rPr>
      </w:pPr>
      <w:r w:rsidRPr="00312397">
        <w:rPr>
          <w:rFonts w:ascii="Arial" w:hAnsi="Arial" w:cs="Arial"/>
          <w:sz w:val="26"/>
          <w:szCs w:val="26"/>
        </w:rPr>
        <w:t>By</w:t>
      </w:r>
    </w:p>
    <w:p w14:paraId="7EDC7D9B" w14:textId="77777777" w:rsidR="00312397" w:rsidRPr="00312397" w:rsidRDefault="00312397" w:rsidP="00312397">
      <w:pPr>
        <w:pStyle w:val="NoSpacing"/>
        <w:jc w:val="center"/>
        <w:rPr>
          <w:rFonts w:ascii="Arial" w:hAnsi="Arial" w:cs="Arial"/>
          <w:sz w:val="26"/>
          <w:szCs w:val="26"/>
        </w:rPr>
      </w:pPr>
    </w:p>
    <w:p w14:paraId="6BCBAD19" w14:textId="77777777" w:rsidR="00312397" w:rsidRPr="001B6EEA" w:rsidRDefault="00312397" w:rsidP="001B6EEA">
      <w:pPr>
        <w:pStyle w:val="NoSpacing"/>
        <w:jc w:val="center"/>
        <w:rPr>
          <w:rFonts w:ascii="Arial" w:hAnsi="Arial" w:cs="Arial"/>
          <w:sz w:val="26"/>
          <w:szCs w:val="26"/>
        </w:rPr>
      </w:pPr>
    </w:p>
    <w:p w14:paraId="7FBC99C8" w14:textId="77777777" w:rsidR="00312397" w:rsidRPr="001B6EEA" w:rsidRDefault="00312397" w:rsidP="00C4475F">
      <w:pPr>
        <w:pStyle w:val="NoSpacing"/>
        <w:rPr>
          <w:rFonts w:ascii="Arial" w:hAnsi="Arial" w:cs="Arial"/>
          <w:sz w:val="26"/>
          <w:szCs w:val="26"/>
        </w:rPr>
      </w:pPr>
    </w:p>
    <w:p w14:paraId="016477AF" w14:textId="707CECD7" w:rsidR="001B6EEA" w:rsidRPr="001B6EEA" w:rsidRDefault="00C4475F" w:rsidP="001B6EEA">
      <w:pPr>
        <w:pStyle w:val="NoSpacing"/>
        <w:jc w:val="center"/>
        <w:rPr>
          <w:rFonts w:ascii="Arial" w:hAnsi="Arial" w:cs="Arial"/>
          <w:b/>
          <w:sz w:val="26"/>
          <w:szCs w:val="26"/>
        </w:rPr>
      </w:pPr>
      <w:r>
        <w:rPr>
          <w:rFonts w:ascii="Arial" w:hAnsi="Arial" w:cs="Arial"/>
          <w:b/>
          <w:sz w:val="26"/>
          <w:szCs w:val="26"/>
        </w:rPr>
        <w:t>JUN MARK MORENO</w:t>
      </w:r>
    </w:p>
    <w:p w14:paraId="2A6D1E83" w14:textId="37384D20" w:rsidR="00C4475F" w:rsidRPr="001B6EEA" w:rsidRDefault="00C4475F" w:rsidP="00C4475F">
      <w:pPr>
        <w:pStyle w:val="NoSpacing"/>
        <w:jc w:val="center"/>
        <w:rPr>
          <w:rFonts w:ascii="Arial" w:hAnsi="Arial" w:cs="Arial"/>
          <w:b/>
          <w:sz w:val="26"/>
          <w:szCs w:val="26"/>
        </w:rPr>
      </w:pPr>
      <w:r>
        <w:rPr>
          <w:rFonts w:ascii="Arial" w:hAnsi="Arial" w:cs="Arial"/>
          <w:b/>
          <w:sz w:val="26"/>
          <w:szCs w:val="26"/>
        </w:rPr>
        <w:t>LOURENCE QUINIO</w:t>
      </w:r>
    </w:p>
    <w:p w14:paraId="4C3FCAD8" w14:textId="6F2D8C7F" w:rsidR="001B6EEA" w:rsidRPr="001B6EEA" w:rsidRDefault="00C4475F" w:rsidP="001B6EEA">
      <w:pPr>
        <w:pStyle w:val="NoSpacing"/>
        <w:jc w:val="center"/>
        <w:rPr>
          <w:rFonts w:ascii="Arial" w:hAnsi="Arial" w:cs="Arial"/>
          <w:b/>
          <w:sz w:val="26"/>
          <w:szCs w:val="26"/>
        </w:rPr>
      </w:pPr>
      <w:r>
        <w:rPr>
          <w:rFonts w:ascii="Arial" w:hAnsi="Arial" w:cs="Arial"/>
          <w:b/>
          <w:sz w:val="26"/>
          <w:szCs w:val="26"/>
        </w:rPr>
        <w:t>DEXTHER DELMONTE</w:t>
      </w:r>
    </w:p>
    <w:p w14:paraId="46559A44" w14:textId="644AD775" w:rsidR="001B6EEA" w:rsidRDefault="00C4475F" w:rsidP="001B6EEA">
      <w:pPr>
        <w:pStyle w:val="NoSpacing"/>
        <w:jc w:val="center"/>
        <w:rPr>
          <w:rFonts w:ascii="Arial" w:hAnsi="Arial" w:cs="Arial"/>
          <w:b/>
          <w:sz w:val="26"/>
          <w:szCs w:val="26"/>
        </w:rPr>
      </w:pPr>
      <w:r>
        <w:rPr>
          <w:rFonts w:ascii="Arial" w:hAnsi="Arial" w:cs="Arial"/>
          <w:b/>
          <w:sz w:val="26"/>
          <w:szCs w:val="26"/>
        </w:rPr>
        <w:t>ALLAN CAPIO</w:t>
      </w:r>
    </w:p>
    <w:p w14:paraId="788668AB" w14:textId="27EC36A2" w:rsidR="00C4475F" w:rsidRPr="001B6EEA" w:rsidRDefault="00C4475F" w:rsidP="001B6EEA">
      <w:pPr>
        <w:pStyle w:val="NoSpacing"/>
        <w:jc w:val="center"/>
        <w:rPr>
          <w:rFonts w:ascii="Arial" w:hAnsi="Arial" w:cs="Arial"/>
          <w:b/>
          <w:sz w:val="26"/>
          <w:szCs w:val="26"/>
        </w:rPr>
      </w:pPr>
      <w:r>
        <w:rPr>
          <w:rFonts w:ascii="Arial" w:hAnsi="Arial" w:cs="Arial"/>
          <w:b/>
          <w:sz w:val="26"/>
          <w:szCs w:val="26"/>
        </w:rPr>
        <w:t>ROSTUM LIQUIGAN</w:t>
      </w:r>
    </w:p>
    <w:p w14:paraId="5D0BFC77" w14:textId="77777777" w:rsidR="001B6EEA" w:rsidRPr="001B6EEA" w:rsidRDefault="001B6EEA" w:rsidP="001B6EEA">
      <w:pPr>
        <w:pStyle w:val="NoSpacing"/>
        <w:jc w:val="center"/>
        <w:rPr>
          <w:rFonts w:ascii="Arial" w:hAnsi="Arial" w:cs="Arial"/>
          <w:b/>
          <w:sz w:val="26"/>
          <w:szCs w:val="26"/>
        </w:rPr>
      </w:pPr>
    </w:p>
    <w:p w14:paraId="721F0B1E" w14:textId="77777777" w:rsidR="001B6EEA" w:rsidRDefault="001B6EEA" w:rsidP="001B6EEA">
      <w:pPr>
        <w:pStyle w:val="NoSpacing"/>
        <w:jc w:val="center"/>
        <w:rPr>
          <w:rFonts w:ascii="Arial" w:hAnsi="Arial" w:cs="Arial"/>
          <w:sz w:val="26"/>
          <w:szCs w:val="26"/>
        </w:rPr>
      </w:pPr>
      <w:r w:rsidRPr="001B6EEA">
        <w:rPr>
          <w:rFonts w:ascii="Arial" w:hAnsi="Arial" w:cs="Arial"/>
          <w:sz w:val="26"/>
          <w:szCs w:val="26"/>
        </w:rPr>
        <w:t>July 2024</w:t>
      </w:r>
    </w:p>
    <w:p w14:paraId="7FAD09FF" w14:textId="77777777" w:rsidR="00C4475F" w:rsidRDefault="00C4475F" w:rsidP="001B6EEA">
      <w:pPr>
        <w:pStyle w:val="NoSpacing"/>
        <w:jc w:val="center"/>
        <w:rPr>
          <w:rFonts w:ascii="Arial" w:hAnsi="Arial" w:cs="Arial"/>
          <w:sz w:val="26"/>
          <w:szCs w:val="26"/>
        </w:rPr>
      </w:pPr>
    </w:p>
    <w:p w14:paraId="2BFA721D" w14:textId="558EB506" w:rsidR="00F052F6" w:rsidRDefault="00482E56" w:rsidP="00482E56">
      <w:pPr>
        <w:pStyle w:val="NoSpacing"/>
        <w:spacing w:line="480" w:lineRule="auto"/>
        <w:ind w:left="1800"/>
        <w:rPr>
          <w:rFonts w:ascii="Arial" w:hAnsi="Arial" w:cs="Arial"/>
          <w:b/>
          <w:sz w:val="26"/>
          <w:szCs w:val="26"/>
        </w:rPr>
      </w:pPr>
      <w:r>
        <w:rPr>
          <w:rFonts w:ascii="Arial" w:hAnsi="Arial" w:cs="Arial"/>
          <w:b/>
          <w:sz w:val="26"/>
          <w:szCs w:val="26"/>
        </w:rPr>
        <w:t xml:space="preserve">            </w:t>
      </w:r>
      <w:r>
        <w:t xml:space="preserve">        </w:t>
      </w:r>
      <w:r w:rsidR="00EA1078">
        <w:rPr>
          <w:rFonts w:ascii="Arial" w:hAnsi="Arial" w:cs="Arial"/>
          <w:b/>
          <w:sz w:val="26"/>
          <w:szCs w:val="26"/>
        </w:rPr>
        <w:t>INTRODUCTION</w:t>
      </w:r>
    </w:p>
    <w:p w14:paraId="782B4999" w14:textId="77777777" w:rsidR="00482E56" w:rsidRDefault="00482E56" w:rsidP="00482E56">
      <w:pPr>
        <w:pStyle w:val="NoSpacing"/>
        <w:spacing w:line="480" w:lineRule="auto"/>
        <w:ind w:left="1080"/>
        <w:rPr>
          <w:rFonts w:ascii="Arial" w:hAnsi="Arial" w:cs="Arial"/>
          <w:b/>
          <w:sz w:val="26"/>
          <w:szCs w:val="26"/>
        </w:rPr>
      </w:pPr>
    </w:p>
    <w:p w14:paraId="267A1A73" w14:textId="27CAE035" w:rsidR="00482E56" w:rsidRPr="00482E56" w:rsidRDefault="00482E56" w:rsidP="00482E56">
      <w:pPr>
        <w:pStyle w:val="NoSpacing"/>
        <w:spacing w:line="480" w:lineRule="auto"/>
        <w:rPr>
          <w:rFonts w:ascii="Arial" w:hAnsi="Arial" w:cs="Arial"/>
          <w:b/>
          <w:bCs/>
          <w:sz w:val="26"/>
          <w:szCs w:val="26"/>
        </w:rPr>
      </w:pPr>
      <w:r w:rsidRPr="00482E56">
        <w:rPr>
          <w:rFonts w:ascii="Arial" w:hAnsi="Arial" w:cs="Arial"/>
          <w:b/>
          <w:bCs/>
          <w:sz w:val="26"/>
          <w:szCs w:val="26"/>
        </w:rPr>
        <w:t>Methodology</w:t>
      </w:r>
      <w:r w:rsidRPr="00482E56">
        <w:rPr>
          <w:rFonts w:ascii="Arial" w:hAnsi="Arial" w:cs="Arial"/>
          <w:b/>
          <w:bCs/>
          <w:sz w:val="26"/>
          <w:szCs w:val="26"/>
        </w:rPr>
        <w:tab/>
      </w:r>
      <w:r w:rsidRPr="00482E56">
        <w:rPr>
          <w:rFonts w:ascii="Arial" w:hAnsi="Arial" w:cs="Arial"/>
          <w:b/>
          <w:bCs/>
          <w:sz w:val="26"/>
          <w:szCs w:val="26"/>
        </w:rPr>
        <w:tab/>
      </w:r>
    </w:p>
    <w:p w14:paraId="31AA9547" w14:textId="77777777" w:rsidR="00C4475F" w:rsidRDefault="00C4475F" w:rsidP="00C4475F">
      <w:pPr>
        <w:pStyle w:val="NoSpacing"/>
        <w:spacing w:line="480" w:lineRule="auto"/>
        <w:jc w:val="both"/>
        <w:rPr>
          <w:rFonts w:ascii="Arial" w:hAnsi="Arial" w:cs="Arial"/>
          <w:sz w:val="26"/>
          <w:szCs w:val="26"/>
        </w:rPr>
      </w:pPr>
      <w:r w:rsidRPr="00C4475F">
        <w:rPr>
          <w:rFonts w:ascii="Arial" w:hAnsi="Arial" w:cs="Arial"/>
          <w:sz w:val="26"/>
          <w:szCs w:val="26"/>
        </w:rPr>
        <w:t>The feasibility study will employ a multifaceted methodology combining quantitative and qualitative research methods. Surveys, focus group discussions, interviews, and data analysis will be utilized to collect primary data from MinSu stakeholders, including students, faculty, and administrators. Secondary research from industry reports, academic publications, and market studies will supplement primary data, providing a comprehensive understanding of the market feasibility of the Stop&amp;Go Tech cashless payment system at Mindoro State University.</w:t>
      </w:r>
    </w:p>
    <w:p w14:paraId="5A497F02" w14:textId="77777777" w:rsidR="00482E56" w:rsidRDefault="00482E56" w:rsidP="00C4475F">
      <w:pPr>
        <w:pStyle w:val="NoSpacing"/>
        <w:spacing w:line="480" w:lineRule="auto"/>
        <w:jc w:val="both"/>
        <w:rPr>
          <w:rFonts w:ascii="Arial" w:hAnsi="Arial" w:cs="Arial"/>
          <w:sz w:val="26"/>
          <w:szCs w:val="26"/>
        </w:rPr>
      </w:pPr>
    </w:p>
    <w:p w14:paraId="27F076C1" w14:textId="3EE12331" w:rsidR="00482E56" w:rsidRPr="00482E56" w:rsidRDefault="00482E56" w:rsidP="00C4475F">
      <w:pPr>
        <w:pStyle w:val="NoSpacing"/>
        <w:spacing w:line="480" w:lineRule="auto"/>
        <w:jc w:val="both"/>
        <w:rPr>
          <w:rFonts w:ascii="Arial" w:hAnsi="Arial" w:cs="Arial"/>
          <w:b/>
          <w:bCs/>
          <w:sz w:val="26"/>
          <w:szCs w:val="26"/>
        </w:rPr>
      </w:pPr>
      <w:r w:rsidRPr="00482E56">
        <w:rPr>
          <w:rFonts w:ascii="Arial" w:hAnsi="Arial" w:cs="Arial"/>
          <w:b/>
          <w:bCs/>
          <w:sz w:val="26"/>
          <w:szCs w:val="26"/>
        </w:rPr>
        <w:t>Definition of Terms</w:t>
      </w:r>
    </w:p>
    <w:p w14:paraId="2D59F463" w14:textId="2BD8A7D0" w:rsidR="00C4475F" w:rsidRDefault="00C4475F" w:rsidP="00C4475F">
      <w:pPr>
        <w:pStyle w:val="NoSpacing"/>
        <w:spacing w:line="480" w:lineRule="auto"/>
        <w:jc w:val="both"/>
        <w:rPr>
          <w:rFonts w:ascii="Arial" w:hAnsi="Arial" w:cs="Arial"/>
          <w:sz w:val="26"/>
          <w:szCs w:val="26"/>
        </w:rPr>
      </w:pPr>
      <w:r w:rsidRPr="00C4475F">
        <w:rPr>
          <w:rFonts w:ascii="Arial" w:hAnsi="Arial" w:cs="Arial"/>
          <w:sz w:val="26"/>
          <w:szCs w:val="26"/>
        </w:rPr>
        <w:t>A detailed glossary of key terms will be provided to ensure clarity and consistency throughout the feasibility study. Definitions will cover essential concepts such as cashless payment system, RFID/NFC technology, return on investment (ROI), regulatory compliance, user experience (UX), and user interface (UI), among others.</w:t>
      </w:r>
    </w:p>
    <w:p w14:paraId="1FE705F8" w14:textId="77777777" w:rsidR="00482E56" w:rsidRDefault="00482E56" w:rsidP="00C4475F">
      <w:pPr>
        <w:pStyle w:val="NoSpacing"/>
        <w:spacing w:line="480" w:lineRule="auto"/>
        <w:jc w:val="both"/>
        <w:rPr>
          <w:rFonts w:ascii="Arial" w:hAnsi="Arial" w:cs="Arial"/>
          <w:sz w:val="26"/>
          <w:szCs w:val="26"/>
        </w:rPr>
      </w:pPr>
    </w:p>
    <w:p w14:paraId="59D33CAA" w14:textId="77777777" w:rsidR="00482E56" w:rsidRPr="00482E56" w:rsidRDefault="00482E56" w:rsidP="00482E56">
      <w:pPr>
        <w:pStyle w:val="NoSpacing"/>
        <w:spacing w:line="480" w:lineRule="auto"/>
        <w:jc w:val="both"/>
        <w:rPr>
          <w:rFonts w:ascii="Arial" w:hAnsi="Arial" w:cs="Arial"/>
          <w:sz w:val="26"/>
          <w:szCs w:val="26"/>
        </w:rPr>
      </w:pPr>
    </w:p>
    <w:p w14:paraId="3A751973" w14:textId="17CB2CDD" w:rsidR="00482E56" w:rsidRPr="00482E56" w:rsidRDefault="00482E56" w:rsidP="00482E56">
      <w:pPr>
        <w:pStyle w:val="NoSpacing"/>
        <w:spacing w:line="480" w:lineRule="auto"/>
        <w:jc w:val="center"/>
        <w:rPr>
          <w:rFonts w:ascii="Arial" w:hAnsi="Arial" w:cs="Arial"/>
          <w:b/>
          <w:bCs/>
          <w:sz w:val="26"/>
          <w:szCs w:val="26"/>
        </w:rPr>
      </w:pPr>
      <w:r w:rsidRPr="00482E56">
        <w:rPr>
          <w:rFonts w:ascii="Arial" w:hAnsi="Arial" w:cs="Arial"/>
          <w:b/>
          <w:bCs/>
          <w:sz w:val="26"/>
          <w:szCs w:val="26"/>
        </w:rPr>
        <w:lastRenderedPageBreak/>
        <w:t>II. MARKET STUDY</w:t>
      </w:r>
    </w:p>
    <w:p w14:paraId="2CF70E91" w14:textId="77777777" w:rsidR="00482E56" w:rsidRPr="00482E56" w:rsidRDefault="00482E56" w:rsidP="00C4475F">
      <w:pPr>
        <w:pStyle w:val="NoSpacing"/>
        <w:spacing w:line="480" w:lineRule="auto"/>
        <w:jc w:val="both"/>
        <w:rPr>
          <w:rFonts w:ascii="Arial" w:hAnsi="Arial" w:cs="Arial"/>
          <w:b/>
          <w:bCs/>
          <w:sz w:val="26"/>
          <w:szCs w:val="26"/>
        </w:rPr>
      </w:pPr>
    </w:p>
    <w:p w14:paraId="19B370DC" w14:textId="1A77B6B2" w:rsidR="00482E56" w:rsidRDefault="00482E56" w:rsidP="00C4475F">
      <w:pPr>
        <w:pStyle w:val="NoSpacing"/>
        <w:spacing w:line="480" w:lineRule="auto"/>
        <w:jc w:val="both"/>
        <w:rPr>
          <w:rFonts w:ascii="Arial" w:hAnsi="Arial" w:cs="Arial"/>
          <w:b/>
          <w:bCs/>
          <w:sz w:val="26"/>
          <w:szCs w:val="26"/>
        </w:rPr>
      </w:pPr>
      <w:r w:rsidRPr="00482E56">
        <w:rPr>
          <w:rFonts w:ascii="Arial" w:hAnsi="Arial" w:cs="Arial"/>
          <w:b/>
          <w:bCs/>
          <w:sz w:val="26"/>
          <w:szCs w:val="26"/>
        </w:rPr>
        <w:t>Description of the Target Market</w:t>
      </w:r>
    </w:p>
    <w:p w14:paraId="79B68914" w14:textId="18E814EE" w:rsidR="00482E56" w:rsidRDefault="00482E56" w:rsidP="00C4475F">
      <w:pPr>
        <w:pStyle w:val="NoSpacing"/>
        <w:spacing w:line="480" w:lineRule="auto"/>
        <w:jc w:val="both"/>
        <w:rPr>
          <w:rFonts w:ascii="Arial" w:hAnsi="Arial" w:cs="Arial"/>
          <w:sz w:val="26"/>
          <w:szCs w:val="26"/>
        </w:rPr>
      </w:pPr>
      <w:r w:rsidRPr="00482E56">
        <w:rPr>
          <w:rFonts w:ascii="Arial" w:hAnsi="Arial" w:cs="Arial"/>
          <w:sz w:val="26"/>
          <w:szCs w:val="26"/>
        </w:rPr>
        <w:t>The target market for Stop&amp;Go Tech consists of MinSu's diverse student population, comprising undergraduate and graduate students from various academic disciplines and socio-economic backgrounds. Detailed demographic analysis, including factors such as age, gender, income level, and residential status, will be conducted to understand the unique needs and preferences of different student segments. Additionally, psychographic insights related to lifestyle preferences, technology adoption behavior, and campus engagement will be explored to develop a comprehensive profile of the target market.</w:t>
      </w:r>
    </w:p>
    <w:p w14:paraId="44917606" w14:textId="77777777" w:rsidR="00482E56" w:rsidRDefault="00482E56" w:rsidP="00C4475F">
      <w:pPr>
        <w:pStyle w:val="NoSpacing"/>
        <w:spacing w:line="480" w:lineRule="auto"/>
        <w:jc w:val="both"/>
        <w:rPr>
          <w:rFonts w:ascii="Arial" w:hAnsi="Arial" w:cs="Arial"/>
          <w:sz w:val="26"/>
          <w:szCs w:val="26"/>
        </w:rPr>
      </w:pPr>
    </w:p>
    <w:p w14:paraId="4035DC97" w14:textId="4950290B" w:rsidR="00482E56" w:rsidRDefault="00482E56" w:rsidP="00C4475F">
      <w:pPr>
        <w:pStyle w:val="NoSpacing"/>
        <w:spacing w:line="480" w:lineRule="auto"/>
        <w:jc w:val="both"/>
        <w:rPr>
          <w:rFonts w:ascii="Arial" w:hAnsi="Arial" w:cs="Arial"/>
          <w:b/>
          <w:bCs/>
          <w:sz w:val="26"/>
          <w:szCs w:val="26"/>
        </w:rPr>
      </w:pPr>
      <w:r w:rsidRPr="00482E56">
        <w:rPr>
          <w:rFonts w:ascii="Arial" w:hAnsi="Arial" w:cs="Arial"/>
          <w:b/>
          <w:bCs/>
          <w:sz w:val="26"/>
          <w:szCs w:val="26"/>
        </w:rPr>
        <w:t>Name of the Product Stop&amp;Go Tech</w:t>
      </w:r>
    </w:p>
    <w:p w14:paraId="7DC7E63A" w14:textId="6B8CF8A5" w:rsidR="00482E56" w:rsidRDefault="00482E56" w:rsidP="00C4475F">
      <w:pPr>
        <w:pStyle w:val="NoSpacing"/>
        <w:spacing w:line="480" w:lineRule="auto"/>
        <w:jc w:val="both"/>
        <w:rPr>
          <w:rFonts w:ascii="Arial" w:hAnsi="Arial" w:cs="Arial"/>
          <w:sz w:val="26"/>
          <w:szCs w:val="26"/>
        </w:rPr>
      </w:pPr>
      <w:r w:rsidRPr="00482E56">
        <w:rPr>
          <w:rFonts w:ascii="Arial" w:hAnsi="Arial" w:cs="Arial"/>
          <w:sz w:val="26"/>
          <w:szCs w:val="26"/>
        </w:rPr>
        <w:t xml:space="preserve">Stop&amp;Go Tech represents a groundbreaking advancement in campus payment solutions, providing MinSu students with a seamless, secure, and user-friendly payment experience. By integrating state-of-the-art RFID/NFC technology into student ID cards, Stop&amp;Go Tech enables quick and convenient transactions for a wide range of campus services, including dining hall purchases, library fines, transportation fees, and event tickets. </w:t>
      </w:r>
      <w:r w:rsidRPr="00482E56">
        <w:rPr>
          <w:rFonts w:ascii="Arial" w:hAnsi="Arial" w:cs="Arial"/>
          <w:sz w:val="26"/>
          <w:szCs w:val="26"/>
        </w:rPr>
        <w:lastRenderedPageBreak/>
        <w:t>With its intuitive interface, robust security features, and real-time transaction tracking capabilities, Stop&amp;Go Tech sets a new standard for cashless payment systems in the higher education sector.</w:t>
      </w:r>
    </w:p>
    <w:p w14:paraId="1D4C5139" w14:textId="77777777" w:rsidR="00482E56" w:rsidRDefault="00482E56" w:rsidP="00C4475F">
      <w:pPr>
        <w:pStyle w:val="NoSpacing"/>
        <w:spacing w:line="480" w:lineRule="auto"/>
        <w:jc w:val="both"/>
        <w:rPr>
          <w:rFonts w:ascii="Arial" w:hAnsi="Arial" w:cs="Arial"/>
          <w:sz w:val="26"/>
          <w:szCs w:val="26"/>
        </w:rPr>
      </w:pPr>
    </w:p>
    <w:p w14:paraId="644CF27D" w14:textId="1297650B" w:rsidR="00482E56" w:rsidRPr="00482E56" w:rsidRDefault="00482E56" w:rsidP="00C4475F">
      <w:pPr>
        <w:pStyle w:val="NoSpacing"/>
        <w:spacing w:line="480" w:lineRule="auto"/>
        <w:jc w:val="both"/>
        <w:rPr>
          <w:rFonts w:ascii="Arial" w:hAnsi="Arial" w:cs="Arial"/>
          <w:b/>
          <w:bCs/>
          <w:sz w:val="26"/>
          <w:szCs w:val="26"/>
        </w:rPr>
      </w:pPr>
      <w:r w:rsidRPr="00482E56">
        <w:rPr>
          <w:rFonts w:ascii="Arial" w:hAnsi="Arial" w:cs="Arial"/>
          <w:b/>
          <w:bCs/>
          <w:sz w:val="26"/>
          <w:szCs w:val="26"/>
        </w:rPr>
        <w:t>Demand &amp; Supply Analysis</w:t>
      </w:r>
    </w:p>
    <w:p w14:paraId="652A2647" w14:textId="68FBE670" w:rsidR="00482E56" w:rsidRDefault="005E18BA" w:rsidP="00C4475F">
      <w:pPr>
        <w:pStyle w:val="NoSpacing"/>
        <w:spacing w:line="480" w:lineRule="auto"/>
        <w:jc w:val="both"/>
        <w:rPr>
          <w:rFonts w:ascii="Arial" w:hAnsi="Arial" w:cs="Arial"/>
          <w:sz w:val="26"/>
          <w:szCs w:val="26"/>
        </w:rPr>
      </w:pPr>
      <w:r w:rsidRPr="005E18BA">
        <w:rPr>
          <w:rFonts w:ascii="Arial" w:hAnsi="Arial" w:cs="Arial"/>
          <w:sz w:val="26"/>
          <w:szCs w:val="26"/>
        </w:rPr>
        <w:t>The feasibility study will conduct a comprehensive analysis of the demand for cashless payment solutions among MinSu students. Through surveys, focus groups, and transaction data analysis, the study will assess student preferences, usage patterns, and willingness to adopt new payment technologies. Market trends, competitive landscape, and regulatory considerations will also be examined to understand the supply side dynamics and identify potential opportunities and challenges for Stop&amp;Go Tech in the marketplace.</w:t>
      </w:r>
    </w:p>
    <w:p w14:paraId="606EA433" w14:textId="77777777" w:rsidR="005E18BA" w:rsidRPr="005E18BA" w:rsidRDefault="005E18BA" w:rsidP="00C4475F">
      <w:pPr>
        <w:pStyle w:val="NoSpacing"/>
        <w:spacing w:line="480" w:lineRule="auto"/>
        <w:jc w:val="both"/>
        <w:rPr>
          <w:rFonts w:ascii="Arial" w:hAnsi="Arial" w:cs="Arial"/>
          <w:b/>
          <w:bCs/>
          <w:sz w:val="26"/>
          <w:szCs w:val="26"/>
        </w:rPr>
      </w:pPr>
    </w:p>
    <w:p w14:paraId="3E758ED9" w14:textId="3C346407" w:rsidR="005E18BA" w:rsidRDefault="005E18BA" w:rsidP="00C4475F">
      <w:pPr>
        <w:pStyle w:val="NoSpacing"/>
        <w:spacing w:line="480" w:lineRule="auto"/>
        <w:jc w:val="both"/>
        <w:rPr>
          <w:rFonts w:ascii="Arial" w:hAnsi="Arial" w:cs="Arial"/>
          <w:b/>
          <w:bCs/>
          <w:sz w:val="26"/>
          <w:szCs w:val="26"/>
        </w:rPr>
      </w:pPr>
      <w:r w:rsidRPr="005E18BA">
        <w:rPr>
          <w:rFonts w:ascii="Arial" w:hAnsi="Arial" w:cs="Arial"/>
          <w:b/>
          <w:bCs/>
          <w:sz w:val="26"/>
          <w:szCs w:val="26"/>
        </w:rPr>
        <w:t>Marketing Strategy</w:t>
      </w:r>
    </w:p>
    <w:p w14:paraId="79B852FA" w14:textId="5C5D8657" w:rsidR="005E18BA" w:rsidRPr="005E18BA" w:rsidRDefault="005E18BA" w:rsidP="00C4475F">
      <w:pPr>
        <w:pStyle w:val="NoSpacing"/>
        <w:spacing w:line="480" w:lineRule="auto"/>
        <w:jc w:val="both"/>
        <w:rPr>
          <w:rFonts w:ascii="Arial" w:hAnsi="Arial" w:cs="Arial"/>
          <w:sz w:val="26"/>
          <w:szCs w:val="26"/>
        </w:rPr>
      </w:pPr>
      <w:r w:rsidRPr="005E18BA">
        <w:rPr>
          <w:rFonts w:ascii="Arial" w:hAnsi="Arial" w:cs="Arial"/>
          <w:sz w:val="26"/>
          <w:szCs w:val="26"/>
        </w:rPr>
        <w:t xml:space="preserve">A holistic marketing strategy will be developed to effectively promote Stop&amp;Go Tech and drive adoption among MinSu students. The strategy will encompass a mix of digital and traditional marketing channels, including targeted online advertising, social media campaigns, campus events, and promotional partnerships. In addition, strategic collaborations with campus </w:t>
      </w:r>
      <w:r w:rsidRPr="005E18BA">
        <w:rPr>
          <w:rFonts w:ascii="Arial" w:hAnsi="Arial" w:cs="Arial"/>
          <w:sz w:val="26"/>
          <w:szCs w:val="26"/>
        </w:rPr>
        <w:lastRenderedPageBreak/>
        <w:t>organizations, faculty endorsements, and student ambassadors will be leveraged to enhance brand credibility and increase user engagement. Furthermore, innovative tactics such as gamification, loyalty programs, and exclusive offers will be implemented to incentivize adoption and foster a sense of community among Stop&amp;Go Tech users.</w:t>
      </w:r>
    </w:p>
    <w:p w14:paraId="2F6C0340" w14:textId="77777777" w:rsidR="00482E56" w:rsidRPr="005E18BA" w:rsidRDefault="00482E56" w:rsidP="00C4475F">
      <w:pPr>
        <w:pStyle w:val="NoSpacing"/>
        <w:spacing w:line="480" w:lineRule="auto"/>
        <w:jc w:val="both"/>
        <w:rPr>
          <w:rFonts w:ascii="Arial" w:hAnsi="Arial" w:cs="Arial"/>
          <w:sz w:val="26"/>
          <w:szCs w:val="26"/>
        </w:rPr>
      </w:pPr>
    </w:p>
    <w:p w14:paraId="0388CD27" w14:textId="3041812C" w:rsidR="00C4475F" w:rsidRDefault="005E18BA" w:rsidP="00C4475F">
      <w:pPr>
        <w:pStyle w:val="NoSpacing"/>
        <w:spacing w:line="480" w:lineRule="auto"/>
        <w:jc w:val="both"/>
        <w:rPr>
          <w:rFonts w:ascii="Arial" w:hAnsi="Arial" w:cs="Arial"/>
          <w:b/>
          <w:bCs/>
          <w:sz w:val="26"/>
          <w:szCs w:val="26"/>
        </w:rPr>
      </w:pPr>
      <w:r w:rsidRPr="005E18BA">
        <w:rPr>
          <w:rFonts w:ascii="Arial" w:hAnsi="Arial" w:cs="Arial"/>
          <w:b/>
          <w:bCs/>
          <w:sz w:val="26"/>
          <w:szCs w:val="26"/>
        </w:rPr>
        <w:t>Plant Location</w:t>
      </w:r>
    </w:p>
    <w:p w14:paraId="336FA616" w14:textId="115285B5" w:rsidR="005E18BA" w:rsidRDefault="005E18BA" w:rsidP="00C4475F">
      <w:pPr>
        <w:pStyle w:val="NoSpacing"/>
        <w:spacing w:line="480" w:lineRule="auto"/>
        <w:jc w:val="both"/>
        <w:rPr>
          <w:rFonts w:ascii="Arial" w:hAnsi="Arial" w:cs="Arial"/>
          <w:sz w:val="26"/>
          <w:szCs w:val="26"/>
        </w:rPr>
      </w:pPr>
      <w:r w:rsidRPr="005E18BA">
        <w:rPr>
          <w:rFonts w:ascii="Arial" w:hAnsi="Arial" w:cs="Arial"/>
          <w:sz w:val="26"/>
          <w:szCs w:val="26"/>
        </w:rPr>
        <w:t>The strategic placement of Stop&amp;Go Tech terminals within the MinSu campus will be determined through careful analysis of student traffic patterns, campus infrastructure, and transactional data. Priority will be given to high-traffic areas such as student centers, dining facilities, academic buildings, and transportation hubs to maximize user accessibility and convenience. Collaboration with campus facilities management and IT departments will ensure seamless integration of Stop&amp;Go Tech infrastructure with existing campus facilities and services.</w:t>
      </w:r>
    </w:p>
    <w:p w14:paraId="2BE65272" w14:textId="77777777" w:rsidR="006A486B" w:rsidRDefault="006A486B" w:rsidP="00C4475F">
      <w:pPr>
        <w:pStyle w:val="NoSpacing"/>
        <w:spacing w:line="480" w:lineRule="auto"/>
        <w:jc w:val="both"/>
        <w:rPr>
          <w:rFonts w:ascii="Arial" w:hAnsi="Arial" w:cs="Arial"/>
          <w:sz w:val="26"/>
          <w:szCs w:val="26"/>
        </w:rPr>
      </w:pPr>
    </w:p>
    <w:p w14:paraId="12CBB296" w14:textId="79C2FDE1" w:rsidR="006A486B" w:rsidRDefault="006A486B" w:rsidP="00C4475F">
      <w:pPr>
        <w:pStyle w:val="NoSpacing"/>
        <w:spacing w:line="480" w:lineRule="auto"/>
        <w:jc w:val="both"/>
        <w:rPr>
          <w:rFonts w:ascii="Arial" w:hAnsi="Arial" w:cs="Arial"/>
          <w:b/>
          <w:bCs/>
          <w:sz w:val="26"/>
          <w:szCs w:val="26"/>
        </w:rPr>
      </w:pPr>
      <w:r w:rsidRPr="006A486B">
        <w:rPr>
          <w:rFonts w:ascii="Arial" w:hAnsi="Arial" w:cs="Arial"/>
          <w:b/>
          <w:bCs/>
          <w:sz w:val="26"/>
          <w:szCs w:val="26"/>
        </w:rPr>
        <w:t>Utilities</w:t>
      </w:r>
    </w:p>
    <w:p w14:paraId="4957EC72" w14:textId="49193DF8" w:rsidR="006A486B" w:rsidRPr="006A486B" w:rsidRDefault="006A486B" w:rsidP="00C4475F">
      <w:pPr>
        <w:pStyle w:val="NoSpacing"/>
        <w:spacing w:line="480" w:lineRule="auto"/>
        <w:jc w:val="both"/>
        <w:rPr>
          <w:rFonts w:ascii="Arial" w:hAnsi="Arial" w:cs="Arial"/>
          <w:sz w:val="26"/>
          <w:szCs w:val="26"/>
        </w:rPr>
      </w:pPr>
      <w:r w:rsidRPr="006A486B">
        <w:rPr>
          <w:rFonts w:ascii="Arial" w:hAnsi="Arial" w:cs="Arial"/>
          <w:sz w:val="26"/>
          <w:szCs w:val="26"/>
        </w:rPr>
        <w:t xml:space="preserve">A detailed assessment of utility requirements, including power supply, network connectivity, and physical infrastructure, will be conducted to support the implementation of Stop&amp;Go Tech. Close coordination with </w:t>
      </w:r>
      <w:r w:rsidRPr="006A486B">
        <w:rPr>
          <w:rFonts w:ascii="Arial" w:hAnsi="Arial" w:cs="Arial"/>
          <w:sz w:val="26"/>
          <w:szCs w:val="26"/>
        </w:rPr>
        <w:lastRenderedPageBreak/>
        <w:t>campus utilities providers, IT departments, and facilities management will be essential to address infrastructure needs and ensure the reliable operation of Stop&amp;Go Tech. Additionally, measures will be taken to optimize energy efficiency, minimize environmental impact, and promote sustainability in the deployment of Stop&amp;Go Tech infrastructure.</w:t>
      </w:r>
    </w:p>
    <w:p w14:paraId="05A4E76C" w14:textId="77777777" w:rsidR="007316F2" w:rsidRPr="007316F2" w:rsidRDefault="007316F2" w:rsidP="007316F2">
      <w:pPr>
        <w:pStyle w:val="NoSpacing"/>
        <w:spacing w:line="480" w:lineRule="auto"/>
        <w:ind w:firstLine="720"/>
        <w:jc w:val="both"/>
        <w:rPr>
          <w:rFonts w:ascii="Arial" w:hAnsi="Arial" w:cs="Arial"/>
          <w:sz w:val="26"/>
          <w:szCs w:val="26"/>
          <w:lang w:eastAsia="en-PH"/>
        </w:rPr>
      </w:pPr>
    </w:p>
    <w:p w14:paraId="224ECB04" w14:textId="77777777" w:rsidR="00F052F6" w:rsidRPr="00DC1001" w:rsidRDefault="00F052F6" w:rsidP="007316F2">
      <w:pPr>
        <w:pStyle w:val="NoSpacing"/>
        <w:spacing w:line="480" w:lineRule="auto"/>
        <w:ind w:firstLine="720"/>
        <w:jc w:val="both"/>
        <w:rPr>
          <w:rFonts w:ascii="Arial" w:hAnsi="Arial" w:cs="Arial"/>
          <w:b/>
          <w:sz w:val="26"/>
          <w:szCs w:val="26"/>
          <w:lang w:eastAsia="en-PH"/>
        </w:rPr>
      </w:pPr>
    </w:p>
    <w:p w14:paraId="167CFBF2" w14:textId="77777777" w:rsidR="00C63668" w:rsidRPr="00DC1001" w:rsidRDefault="00C63668" w:rsidP="00C63668">
      <w:pPr>
        <w:pStyle w:val="NoSpacing"/>
        <w:spacing w:line="480" w:lineRule="auto"/>
        <w:jc w:val="both"/>
        <w:rPr>
          <w:rFonts w:ascii="Arial" w:hAnsi="Arial" w:cs="Arial"/>
          <w:b/>
          <w:sz w:val="26"/>
          <w:szCs w:val="26"/>
        </w:rPr>
      </w:pPr>
      <w:r w:rsidRPr="00DC1001">
        <w:rPr>
          <w:rFonts w:ascii="Arial" w:hAnsi="Arial" w:cs="Arial"/>
          <w:b/>
          <w:sz w:val="26"/>
          <w:szCs w:val="26"/>
        </w:rPr>
        <w:t>Chapter III</w:t>
      </w:r>
    </w:p>
    <w:p w14:paraId="53DA36B9" w14:textId="77777777" w:rsidR="00C63668" w:rsidRPr="00DC1001" w:rsidRDefault="00C63668" w:rsidP="00C63668">
      <w:pPr>
        <w:pStyle w:val="NoSpacing"/>
        <w:spacing w:line="480" w:lineRule="auto"/>
        <w:jc w:val="both"/>
        <w:rPr>
          <w:rFonts w:ascii="Arial" w:hAnsi="Arial" w:cs="Arial"/>
          <w:b/>
          <w:sz w:val="26"/>
          <w:szCs w:val="26"/>
        </w:rPr>
      </w:pPr>
    </w:p>
    <w:p w14:paraId="75723FCE" w14:textId="77777777" w:rsidR="00C63668" w:rsidRPr="00DC1001" w:rsidRDefault="00C63668" w:rsidP="00C63668">
      <w:pPr>
        <w:pStyle w:val="NoSpacing"/>
        <w:spacing w:line="480" w:lineRule="auto"/>
        <w:jc w:val="both"/>
        <w:rPr>
          <w:rFonts w:ascii="Arial" w:hAnsi="Arial" w:cs="Arial"/>
          <w:b/>
          <w:sz w:val="26"/>
          <w:szCs w:val="26"/>
        </w:rPr>
      </w:pPr>
      <w:r w:rsidRPr="00DC1001">
        <w:rPr>
          <w:rFonts w:ascii="Arial" w:hAnsi="Arial" w:cs="Arial"/>
          <w:b/>
          <w:sz w:val="26"/>
          <w:szCs w:val="26"/>
        </w:rPr>
        <w:t>TECHNICAL STUDY</w:t>
      </w:r>
    </w:p>
    <w:p w14:paraId="3B06B18E" w14:textId="77777777" w:rsidR="00C63668" w:rsidRPr="00DC1001" w:rsidRDefault="00C63668" w:rsidP="00C63668">
      <w:pPr>
        <w:pStyle w:val="NoSpacing"/>
        <w:spacing w:line="480" w:lineRule="auto"/>
        <w:jc w:val="both"/>
        <w:rPr>
          <w:rFonts w:ascii="Arial" w:hAnsi="Arial" w:cs="Arial"/>
          <w:b/>
          <w:sz w:val="26"/>
          <w:szCs w:val="26"/>
        </w:rPr>
      </w:pPr>
    </w:p>
    <w:p w14:paraId="0AD667D6" w14:textId="77777777" w:rsidR="00C63668" w:rsidRPr="00DC1001" w:rsidRDefault="00C63668" w:rsidP="00C63668">
      <w:pPr>
        <w:pStyle w:val="NoSpacing"/>
        <w:spacing w:line="480" w:lineRule="auto"/>
        <w:jc w:val="both"/>
        <w:rPr>
          <w:rFonts w:ascii="Arial" w:hAnsi="Arial" w:cs="Arial"/>
          <w:b/>
          <w:sz w:val="26"/>
          <w:szCs w:val="26"/>
        </w:rPr>
      </w:pPr>
      <w:r w:rsidRPr="00DC1001">
        <w:rPr>
          <w:rFonts w:ascii="Arial" w:hAnsi="Arial" w:cs="Arial"/>
          <w:b/>
          <w:sz w:val="26"/>
          <w:szCs w:val="26"/>
        </w:rPr>
        <w:t>3.1 Product Design and Features</w:t>
      </w:r>
    </w:p>
    <w:p w14:paraId="5E5A28A6" w14:textId="77777777" w:rsidR="00C63668" w:rsidRPr="00C63668" w:rsidRDefault="00C63668" w:rsidP="00C63668">
      <w:pPr>
        <w:pStyle w:val="NoSpacing"/>
        <w:spacing w:line="480" w:lineRule="auto"/>
        <w:jc w:val="both"/>
        <w:rPr>
          <w:rFonts w:ascii="Arial" w:hAnsi="Arial" w:cs="Arial"/>
          <w:bCs/>
          <w:sz w:val="26"/>
          <w:szCs w:val="26"/>
        </w:rPr>
      </w:pPr>
    </w:p>
    <w:p w14:paraId="43D65314"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Stop&amp;Go Tech introduces a sophisticated cashless payment system that integrates RFID/NFC technology into student ID cards, revolutionizing the payment experience at Mindoro State University (MinSu). This innovative system offers a range of features tailored to meet the diverse needs of students, including:</w:t>
      </w:r>
    </w:p>
    <w:p w14:paraId="103DF9E4" w14:textId="77777777" w:rsidR="00C63668" w:rsidRPr="00C63668" w:rsidRDefault="00C63668" w:rsidP="00C63668">
      <w:pPr>
        <w:pStyle w:val="NoSpacing"/>
        <w:spacing w:line="480" w:lineRule="auto"/>
        <w:jc w:val="both"/>
        <w:rPr>
          <w:rFonts w:ascii="Arial" w:hAnsi="Arial" w:cs="Arial"/>
          <w:bCs/>
          <w:sz w:val="26"/>
          <w:szCs w:val="26"/>
        </w:rPr>
      </w:pPr>
    </w:p>
    <w:p w14:paraId="34A84837"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lastRenderedPageBreak/>
        <w:t>- Seamless Transactions: With RFID/NFC technology embedded in student ID cards, users can conduct quick and contactless transactions across various campus services such as dining, library services, transportation, and events.</w:t>
      </w:r>
    </w:p>
    <w:p w14:paraId="36E73C26"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 User-Friendly Interface: Stop&amp;Go Tech boasts an intuitive interface designed to ensure ease of use for students of all technological proficiencies, enhancing overall user experience.</w:t>
      </w:r>
    </w:p>
    <w:p w14:paraId="5FFB534C"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 Real-time Transaction Monitoring: Users have access to real-time transaction tracking capabilities, allowing them to monitor their spending and account balances conveniently.</w:t>
      </w:r>
    </w:p>
    <w:p w14:paraId="47B76E1D"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 Enhanced Security Measures: The system implements robust encryption protocols and authentication mechanisms to safeguard user data and prevent fraudulent activities, ensuring the security of transactions.</w:t>
      </w:r>
    </w:p>
    <w:p w14:paraId="630830C4"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 Customization Options: Stop&amp;Go Tech offers customizable payment options, enabling users to link their preferred payment methods for added flexibility and convenience.</w:t>
      </w:r>
    </w:p>
    <w:p w14:paraId="4C43AE10"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 Scalability and Adaptability: Designed to be scalable and adaptable, Stop&amp;Go Tech can accommodate future expansions and enhancements to meet evolving campus needs and technological advancements.</w:t>
      </w:r>
    </w:p>
    <w:p w14:paraId="5B797400" w14:textId="77777777" w:rsidR="00C63668" w:rsidRPr="00C63668" w:rsidRDefault="00C63668" w:rsidP="00C63668">
      <w:pPr>
        <w:pStyle w:val="NoSpacing"/>
        <w:spacing w:line="480" w:lineRule="auto"/>
        <w:jc w:val="both"/>
        <w:rPr>
          <w:rFonts w:ascii="Arial" w:hAnsi="Arial" w:cs="Arial"/>
          <w:bCs/>
          <w:sz w:val="26"/>
          <w:szCs w:val="26"/>
        </w:rPr>
      </w:pPr>
    </w:p>
    <w:p w14:paraId="5D641C2F" w14:textId="77777777" w:rsidR="00C63668" w:rsidRPr="00DC1001" w:rsidRDefault="00C63668" w:rsidP="00C63668">
      <w:pPr>
        <w:pStyle w:val="NoSpacing"/>
        <w:spacing w:line="480" w:lineRule="auto"/>
        <w:jc w:val="both"/>
        <w:rPr>
          <w:rFonts w:ascii="Arial" w:hAnsi="Arial" w:cs="Arial"/>
          <w:b/>
          <w:sz w:val="26"/>
          <w:szCs w:val="26"/>
        </w:rPr>
      </w:pPr>
      <w:r w:rsidRPr="00DC1001">
        <w:rPr>
          <w:rFonts w:ascii="Arial" w:hAnsi="Arial" w:cs="Arial"/>
          <w:b/>
          <w:sz w:val="26"/>
          <w:szCs w:val="26"/>
        </w:rPr>
        <w:lastRenderedPageBreak/>
        <w:t>3.2 Manufacturing Process</w:t>
      </w:r>
    </w:p>
    <w:p w14:paraId="649A1E66" w14:textId="77777777" w:rsidR="00C63668" w:rsidRPr="00C63668" w:rsidRDefault="00C63668" w:rsidP="00C63668">
      <w:pPr>
        <w:pStyle w:val="NoSpacing"/>
        <w:spacing w:line="480" w:lineRule="auto"/>
        <w:jc w:val="both"/>
        <w:rPr>
          <w:rFonts w:ascii="Arial" w:hAnsi="Arial" w:cs="Arial"/>
          <w:bCs/>
          <w:sz w:val="26"/>
          <w:szCs w:val="26"/>
        </w:rPr>
      </w:pPr>
    </w:p>
    <w:p w14:paraId="078D1B68"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The manufacturing process of Stop&amp;Go Tech involves several key stages, ensuring the seamless integration of RFID/NFC technology into student ID cards:</w:t>
      </w:r>
    </w:p>
    <w:p w14:paraId="4B610AEB" w14:textId="77777777" w:rsidR="00C63668" w:rsidRPr="00C63668" w:rsidRDefault="00C63668" w:rsidP="00C63668">
      <w:pPr>
        <w:pStyle w:val="NoSpacing"/>
        <w:spacing w:line="480" w:lineRule="auto"/>
        <w:jc w:val="both"/>
        <w:rPr>
          <w:rFonts w:ascii="Arial" w:hAnsi="Arial" w:cs="Arial"/>
          <w:bCs/>
          <w:sz w:val="26"/>
          <w:szCs w:val="26"/>
        </w:rPr>
      </w:pPr>
    </w:p>
    <w:p w14:paraId="64ECC4AB"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1. RFID/NFC Chip Embedding: High-precision machinery is utilized to embed RFID/NFC chips seamlessly within student ID cards, ensuring optimal performance and durability.</w:t>
      </w:r>
    </w:p>
    <w:p w14:paraId="6A41B227"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2. Software Integration: Specialized software is developed and integrated into the university's existing systems to facilitate communication between RFID/NFC-enabled ID cards and campus payment terminals.</w:t>
      </w:r>
    </w:p>
    <w:p w14:paraId="755C80CB"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3. Quality Assurance Testing: Rigorous quality assurance testing is conducted to validate the functionality, security, and reliability of each RFID/NFC-enabled ID card before distribution to students.</w:t>
      </w:r>
    </w:p>
    <w:p w14:paraId="78C5EAE5"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4. Deployment and Training: Upon successful manufacturing, RFID/NFC-enabled ID cards are deployed to students, accompanied by comprehensive training sessions to familiarize them with the Stop&amp;Go Tech payment system.</w:t>
      </w:r>
    </w:p>
    <w:p w14:paraId="5BD15CD5" w14:textId="77777777" w:rsidR="00C63668" w:rsidRPr="00C63668" w:rsidRDefault="00C63668" w:rsidP="00C63668">
      <w:pPr>
        <w:pStyle w:val="NoSpacing"/>
        <w:spacing w:line="480" w:lineRule="auto"/>
        <w:jc w:val="both"/>
        <w:rPr>
          <w:rFonts w:ascii="Arial" w:hAnsi="Arial" w:cs="Arial"/>
          <w:bCs/>
          <w:sz w:val="26"/>
          <w:szCs w:val="26"/>
        </w:rPr>
      </w:pPr>
    </w:p>
    <w:p w14:paraId="09E34B26" w14:textId="77777777" w:rsidR="00C63668" w:rsidRPr="00DC1001" w:rsidRDefault="00C63668" w:rsidP="00C63668">
      <w:pPr>
        <w:pStyle w:val="NoSpacing"/>
        <w:spacing w:line="480" w:lineRule="auto"/>
        <w:jc w:val="both"/>
        <w:rPr>
          <w:rFonts w:ascii="Arial" w:hAnsi="Arial" w:cs="Arial"/>
          <w:b/>
          <w:sz w:val="26"/>
          <w:szCs w:val="26"/>
        </w:rPr>
      </w:pPr>
      <w:r w:rsidRPr="00DC1001">
        <w:rPr>
          <w:rFonts w:ascii="Arial" w:hAnsi="Arial" w:cs="Arial"/>
          <w:b/>
          <w:sz w:val="26"/>
          <w:szCs w:val="26"/>
        </w:rPr>
        <w:lastRenderedPageBreak/>
        <w:t>3.3 Machinery and Equipment</w:t>
      </w:r>
    </w:p>
    <w:p w14:paraId="6FC69644" w14:textId="77777777" w:rsidR="00C63668" w:rsidRPr="00C63668" w:rsidRDefault="00C63668" w:rsidP="00C63668">
      <w:pPr>
        <w:pStyle w:val="NoSpacing"/>
        <w:spacing w:line="480" w:lineRule="auto"/>
        <w:jc w:val="both"/>
        <w:rPr>
          <w:rFonts w:ascii="Arial" w:hAnsi="Arial" w:cs="Arial"/>
          <w:bCs/>
          <w:sz w:val="26"/>
          <w:szCs w:val="26"/>
        </w:rPr>
      </w:pPr>
    </w:p>
    <w:p w14:paraId="307FA803"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The manufacturing process of Stop&amp;Go Tech requires advanced machinery and equipment tailored to RFID/NFC chip embedding, software integration, and quality assurance testing:</w:t>
      </w:r>
    </w:p>
    <w:p w14:paraId="2C5D57ED" w14:textId="77777777" w:rsidR="00C63668" w:rsidRPr="00C63668" w:rsidRDefault="00C63668" w:rsidP="00C63668">
      <w:pPr>
        <w:pStyle w:val="NoSpacing"/>
        <w:spacing w:line="480" w:lineRule="auto"/>
        <w:jc w:val="both"/>
        <w:rPr>
          <w:rFonts w:ascii="Arial" w:hAnsi="Arial" w:cs="Arial"/>
          <w:bCs/>
          <w:sz w:val="26"/>
          <w:szCs w:val="26"/>
        </w:rPr>
      </w:pPr>
    </w:p>
    <w:p w14:paraId="1402FAF6"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 RFID/NFC Chip Embedding Machine: Specialized machinery embeds RFID/NFC chips seamlessly within student ID cards with precision and accuracy.</w:t>
      </w:r>
    </w:p>
    <w:p w14:paraId="51627D5E"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 Software Development Tools: State-of-the-art software development tools facilitate the design, development, and integration of necessary software components for seamless communication between ID cards and campus payment terminals.</w:t>
      </w:r>
    </w:p>
    <w:p w14:paraId="4A705C5C"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 Quality Assurance Testing Equipment: High-tech testing equipment validates the functionality, security, and reliability of each RFID/NFC-enabled ID card before distribution.</w:t>
      </w:r>
    </w:p>
    <w:p w14:paraId="53940DC3" w14:textId="77777777" w:rsidR="00C63668" w:rsidRPr="00C63668" w:rsidRDefault="00C63668" w:rsidP="00C63668">
      <w:pPr>
        <w:pStyle w:val="NoSpacing"/>
        <w:spacing w:line="480" w:lineRule="auto"/>
        <w:jc w:val="both"/>
        <w:rPr>
          <w:rFonts w:ascii="Arial" w:hAnsi="Arial" w:cs="Arial"/>
          <w:bCs/>
          <w:sz w:val="26"/>
          <w:szCs w:val="26"/>
        </w:rPr>
      </w:pPr>
      <w:r w:rsidRPr="00C63668">
        <w:rPr>
          <w:rFonts w:ascii="Arial" w:hAnsi="Arial" w:cs="Arial"/>
          <w:bCs/>
          <w:sz w:val="26"/>
          <w:szCs w:val="26"/>
        </w:rPr>
        <w:t>- Training Facilities: Dedicated training facilities equipped with multimedia resources conduct comprehensive training sessions for students and administrative staff on the usage and management of the Stop&amp;Go Tech payment system.</w:t>
      </w:r>
    </w:p>
    <w:p w14:paraId="71E0D198" w14:textId="77777777" w:rsidR="00C63668" w:rsidRPr="00DC1001" w:rsidRDefault="00C63668" w:rsidP="00C63668">
      <w:pPr>
        <w:pStyle w:val="NoSpacing"/>
        <w:spacing w:line="480" w:lineRule="auto"/>
        <w:jc w:val="both"/>
        <w:rPr>
          <w:rFonts w:ascii="Arial" w:hAnsi="Arial" w:cs="Arial"/>
          <w:b/>
          <w:sz w:val="26"/>
          <w:szCs w:val="26"/>
        </w:rPr>
      </w:pPr>
    </w:p>
    <w:p w14:paraId="58D5B9AA" w14:textId="77777777" w:rsidR="00C63668" w:rsidRPr="00DC1001" w:rsidRDefault="00C63668" w:rsidP="00C63668">
      <w:pPr>
        <w:pStyle w:val="NoSpacing"/>
        <w:spacing w:line="480" w:lineRule="auto"/>
        <w:jc w:val="both"/>
        <w:rPr>
          <w:rFonts w:ascii="Arial" w:hAnsi="Arial" w:cs="Arial"/>
          <w:b/>
          <w:sz w:val="26"/>
          <w:szCs w:val="26"/>
        </w:rPr>
      </w:pPr>
      <w:r w:rsidRPr="00DC1001">
        <w:rPr>
          <w:rFonts w:ascii="Arial" w:hAnsi="Arial" w:cs="Arial"/>
          <w:b/>
          <w:sz w:val="26"/>
          <w:szCs w:val="26"/>
        </w:rPr>
        <w:t>3.4 Plant Integration and Infrastructure</w:t>
      </w:r>
    </w:p>
    <w:p w14:paraId="3BAAC5E3" w14:textId="65E05B82" w:rsidR="00C63668" w:rsidRDefault="003E7A00" w:rsidP="00C63668">
      <w:pPr>
        <w:pStyle w:val="NoSpacing"/>
        <w:spacing w:line="480" w:lineRule="auto"/>
        <w:jc w:val="both"/>
        <w:rPr>
          <w:rFonts w:ascii="Arial" w:hAnsi="Arial" w:cs="Arial"/>
          <w:bCs/>
          <w:sz w:val="26"/>
          <w:szCs w:val="26"/>
        </w:rPr>
      </w:pPr>
      <w:r w:rsidRPr="003E7A00">
        <w:rPr>
          <w:rFonts w:ascii="Arial" w:hAnsi="Arial" w:cs="Arial"/>
          <w:bCs/>
          <w:sz w:val="26"/>
          <w:szCs w:val="26"/>
        </w:rPr>
        <w:t>The production scale for Stop&amp;Go RFID IDs is determined by market demand, available resources, and production capabilities.</w:t>
      </w:r>
    </w:p>
    <w:p w14:paraId="4A5D93D8" w14:textId="65E5808F" w:rsidR="003E7A00" w:rsidRPr="003E7A00" w:rsidRDefault="003E7A00" w:rsidP="003E7A00">
      <w:pPr>
        <w:spacing w:after="0" w:line="480" w:lineRule="auto"/>
        <w:jc w:val="center"/>
        <w:rPr>
          <w:rFonts w:ascii="Arial" w:hAnsi="Arial" w:cs="Arial"/>
          <w:b/>
          <w:bCs/>
          <w:sz w:val="26"/>
          <w:szCs w:val="26"/>
        </w:rPr>
      </w:pPr>
      <w:r>
        <w:rPr>
          <w:rFonts w:ascii="Arial" w:hAnsi="Arial" w:cs="Arial"/>
          <w:b/>
          <w:bCs/>
          <w:sz w:val="26"/>
          <w:szCs w:val="26"/>
        </w:rPr>
        <w:t>Production Schedule:</w:t>
      </w:r>
    </w:p>
    <w:p w14:paraId="217679CC" w14:textId="77777777" w:rsidR="00C63668" w:rsidRPr="00C63668" w:rsidRDefault="00C63668" w:rsidP="00C63668">
      <w:pPr>
        <w:pStyle w:val="NoSpacing"/>
        <w:spacing w:line="480" w:lineRule="auto"/>
        <w:jc w:val="both"/>
        <w:rPr>
          <w:rFonts w:ascii="Arial" w:hAnsi="Arial" w:cs="Arial"/>
          <w:bCs/>
          <w:sz w:val="26"/>
          <w:szCs w:val="26"/>
        </w:rPr>
      </w:pPr>
    </w:p>
    <w:p w14:paraId="1983570A" w14:textId="05BF4AA0" w:rsidR="00C63668" w:rsidRPr="00C63668" w:rsidRDefault="003E7A00" w:rsidP="00C63668">
      <w:pPr>
        <w:pStyle w:val="NoSpacing"/>
        <w:spacing w:line="480" w:lineRule="auto"/>
        <w:jc w:val="both"/>
        <w:rPr>
          <w:rFonts w:ascii="Arial" w:hAnsi="Arial" w:cs="Arial"/>
          <w:bCs/>
          <w:sz w:val="26"/>
          <w:szCs w:val="26"/>
        </w:rPr>
      </w:pPr>
      <w:r w:rsidRPr="003E7A00">
        <w:rPr>
          <w:rFonts w:ascii="Arial" w:hAnsi="Arial" w:cs="Arial"/>
          <w:bCs/>
          <w:noProof/>
          <w:sz w:val="26"/>
          <w:szCs w:val="26"/>
        </w:rPr>
        <w:drawing>
          <wp:inline distT="0" distB="0" distL="0" distR="0" wp14:anchorId="169E81AB" wp14:editId="42F206CB">
            <wp:extent cx="5486400" cy="3425190"/>
            <wp:effectExtent l="0" t="0" r="0" b="3810"/>
            <wp:docPr id="24595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56383" name=""/>
                    <pic:cNvPicPr/>
                  </pic:nvPicPr>
                  <pic:blipFill>
                    <a:blip r:embed="rId7"/>
                    <a:stretch>
                      <a:fillRect/>
                    </a:stretch>
                  </pic:blipFill>
                  <pic:spPr>
                    <a:xfrm>
                      <a:off x="0" y="0"/>
                      <a:ext cx="5486400" cy="3425190"/>
                    </a:xfrm>
                    <a:prstGeom prst="rect">
                      <a:avLst/>
                    </a:prstGeom>
                  </pic:spPr>
                </pic:pic>
              </a:graphicData>
            </a:graphic>
          </wp:inline>
        </w:drawing>
      </w:r>
    </w:p>
    <w:p w14:paraId="02E7E7DD" w14:textId="77777777" w:rsidR="003E7A00" w:rsidRDefault="003E7A00" w:rsidP="008C1E9C">
      <w:pPr>
        <w:pStyle w:val="NoSpacing"/>
        <w:spacing w:line="480" w:lineRule="auto"/>
        <w:rPr>
          <w:rFonts w:ascii="Arial" w:hAnsi="Arial" w:cs="Arial"/>
          <w:b/>
          <w:sz w:val="26"/>
          <w:szCs w:val="26"/>
        </w:rPr>
      </w:pPr>
    </w:p>
    <w:p w14:paraId="1C6EEDCC" w14:textId="77777777" w:rsidR="003E7A00" w:rsidRDefault="003E7A00" w:rsidP="008C1E9C">
      <w:pPr>
        <w:pStyle w:val="NoSpacing"/>
        <w:spacing w:line="480" w:lineRule="auto"/>
        <w:rPr>
          <w:rFonts w:ascii="Arial" w:hAnsi="Arial" w:cs="Arial"/>
          <w:b/>
          <w:sz w:val="26"/>
          <w:szCs w:val="26"/>
        </w:rPr>
      </w:pPr>
    </w:p>
    <w:p w14:paraId="70BA5735" w14:textId="77777777" w:rsidR="003E7A00" w:rsidRDefault="003E7A00" w:rsidP="008C1E9C">
      <w:pPr>
        <w:pStyle w:val="NoSpacing"/>
        <w:spacing w:line="480" w:lineRule="auto"/>
        <w:rPr>
          <w:rFonts w:ascii="Arial" w:hAnsi="Arial" w:cs="Arial"/>
          <w:b/>
          <w:sz w:val="26"/>
          <w:szCs w:val="26"/>
        </w:rPr>
      </w:pPr>
    </w:p>
    <w:p w14:paraId="064F0CC7" w14:textId="77777777" w:rsidR="003E7A00" w:rsidRDefault="003E7A00" w:rsidP="008C1E9C">
      <w:pPr>
        <w:pStyle w:val="NoSpacing"/>
        <w:spacing w:line="480" w:lineRule="auto"/>
        <w:rPr>
          <w:rFonts w:ascii="Arial" w:hAnsi="Arial" w:cs="Arial"/>
          <w:b/>
          <w:sz w:val="26"/>
          <w:szCs w:val="26"/>
        </w:rPr>
      </w:pPr>
    </w:p>
    <w:p w14:paraId="0AD7504E" w14:textId="77777777" w:rsidR="003E7A00" w:rsidRDefault="003E7A00" w:rsidP="008C1E9C">
      <w:pPr>
        <w:pStyle w:val="NoSpacing"/>
        <w:spacing w:line="480" w:lineRule="auto"/>
        <w:rPr>
          <w:rFonts w:ascii="Arial" w:hAnsi="Arial" w:cs="Arial"/>
          <w:b/>
          <w:sz w:val="26"/>
          <w:szCs w:val="26"/>
        </w:rPr>
      </w:pPr>
    </w:p>
    <w:p w14:paraId="5EAEDF1E" w14:textId="6E9CCB61" w:rsidR="00C63668" w:rsidRPr="00DC1001" w:rsidRDefault="00C63668" w:rsidP="008C1E9C">
      <w:pPr>
        <w:pStyle w:val="NoSpacing"/>
        <w:spacing w:line="480" w:lineRule="auto"/>
        <w:rPr>
          <w:rFonts w:ascii="Arial" w:hAnsi="Arial" w:cs="Arial"/>
          <w:b/>
          <w:sz w:val="26"/>
          <w:szCs w:val="26"/>
        </w:rPr>
      </w:pPr>
      <w:r w:rsidRPr="00DC1001">
        <w:rPr>
          <w:rFonts w:ascii="Arial" w:hAnsi="Arial" w:cs="Arial"/>
          <w:b/>
          <w:sz w:val="26"/>
          <w:szCs w:val="26"/>
        </w:rPr>
        <w:lastRenderedPageBreak/>
        <w:t>3.5 Maintenance and Support</w:t>
      </w:r>
    </w:p>
    <w:tbl>
      <w:tblPr>
        <w:tblStyle w:val="TableGrid"/>
        <w:tblpPr w:leftFromText="180" w:rightFromText="180" w:vertAnchor="text" w:horzAnchor="page" w:tblpX="1311" w:tblpY="49"/>
        <w:tblW w:w="10435" w:type="dxa"/>
        <w:tblLook w:val="04A0" w:firstRow="1" w:lastRow="0" w:firstColumn="1" w:lastColumn="0" w:noHBand="0" w:noVBand="1"/>
      </w:tblPr>
      <w:tblGrid>
        <w:gridCol w:w="1726"/>
        <w:gridCol w:w="3849"/>
        <w:gridCol w:w="1260"/>
        <w:gridCol w:w="1080"/>
        <w:gridCol w:w="2520"/>
      </w:tblGrid>
      <w:tr w:rsidR="008C1E9C" w14:paraId="26FFD0E7" w14:textId="77777777" w:rsidTr="008C1E9C">
        <w:tc>
          <w:tcPr>
            <w:tcW w:w="1726" w:type="dxa"/>
          </w:tcPr>
          <w:p w14:paraId="0BF7BFC6" w14:textId="77777777"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Machinery and Equipment</w:t>
            </w:r>
          </w:p>
        </w:tc>
        <w:tc>
          <w:tcPr>
            <w:tcW w:w="3849" w:type="dxa"/>
          </w:tcPr>
          <w:p w14:paraId="3A84B884" w14:textId="77777777"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Description</w:t>
            </w:r>
          </w:p>
        </w:tc>
        <w:tc>
          <w:tcPr>
            <w:tcW w:w="1260" w:type="dxa"/>
          </w:tcPr>
          <w:p w14:paraId="10A77287" w14:textId="77777777"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Cost Per Unit</w:t>
            </w:r>
          </w:p>
        </w:tc>
        <w:tc>
          <w:tcPr>
            <w:tcW w:w="1080" w:type="dxa"/>
          </w:tcPr>
          <w:p w14:paraId="02E15EF7" w14:textId="77777777"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Quantity</w:t>
            </w:r>
          </w:p>
        </w:tc>
        <w:tc>
          <w:tcPr>
            <w:tcW w:w="2520" w:type="dxa"/>
          </w:tcPr>
          <w:p w14:paraId="1B04ECDE" w14:textId="77777777"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Estimated Cost</w:t>
            </w:r>
          </w:p>
        </w:tc>
      </w:tr>
      <w:tr w:rsidR="008C1E9C" w14:paraId="026692CC" w14:textId="77777777" w:rsidTr="008C1E9C">
        <w:tc>
          <w:tcPr>
            <w:tcW w:w="1726" w:type="dxa"/>
          </w:tcPr>
          <w:p w14:paraId="3EFDE6A4" w14:textId="77777777"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RFID/NFC Chip Embedding Machine</w:t>
            </w:r>
          </w:p>
        </w:tc>
        <w:tc>
          <w:tcPr>
            <w:tcW w:w="3849" w:type="dxa"/>
          </w:tcPr>
          <w:p w14:paraId="2D85E850" w14:textId="77777777"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Specialized machinery designed to seamlessly embed RFID/NFC chips within student ID cards with precision and accuracy. This equipment ensures the efficient integration of essential components for the Stop&amp;Go Tech payment system, enhancing its functionality and security.</w:t>
            </w:r>
          </w:p>
        </w:tc>
        <w:tc>
          <w:tcPr>
            <w:tcW w:w="1260" w:type="dxa"/>
          </w:tcPr>
          <w:p w14:paraId="052E0A86" w14:textId="40DAD279" w:rsidR="008C1E9C" w:rsidRPr="008C1E9C" w:rsidRDefault="00C50314" w:rsidP="008C1E9C">
            <w:pPr>
              <w:jc w:val="both"/>
              <w:rPr>
                <w:rFonts w:ascii="Arial" w:hAnsi="Arial" w:cs="Arial"/>
                <w:sz w:val="20"/>
                <w:szCs w:val="20"/>
              </w:rPr>
            </w:pPr>
            <w:r w:rsidRPr="00ED3895">
              <w:rPr>
                <w:rFonts w:ascii="Arial" w:hAnsi="Arial" w:cs="Arial"/>
                <w:b/>
                <w:sz w:val="24"/>
                <w:szCs w:val="24"/>
              </w:rPr>
              <w:t>₱</w:t>
            </w:r>
            <w:r w:rsidR="008C1E9C" w:rsidRPr="008C1E9C">
              <w:rPr>
                <w:rFonts w:ascii="Arial" w:hAnsi="Arial" w:cs="Arial"/>
                <w:sz w:val="20"/>
                <w:szCs w:val="20"/>
              </w:rPr>
              <w:t>200,000</w:t>
            </w:r>
          </w:p>
          <w:p w14:paraId="525678C4" w14:textId="77777777" w:rsidR="008C1E9C" w:rsidRPr="008C1E9C" w:rsidRDefault="008C1E9C" w:rsidP="008C1E9C">
            <w:pPr>
              <w:pStyle w:val="NoSpacing"/>
              <w:spacing w:line="480" w:lineRule="auto"/>
              <w:jc w:val="both"/>
              <w:rPr>
                <w:rFonts w:ascii="Arial" w:hAnsi="Arial" w:cs="Arial"/>
                <w:bCs/>
                <w:sz w:val="20"/>
                <w:szCs w:val="20"/>
              </w:rPr>
            </w:pPr>
          </w:p>
        </w:tc>
        <w:tc>
          <w:tcPr>
            <w:tcW w:w="1080" w:type="dxa"/>
          </w:tcPr>
          <w:p w14:paraId="5A63D8FC" w14:textId="77777777" w:rsidR="008C1E9C" w:rsidRPr="008C1E9C" w:rsidRDefault="008C1E9C" w:rsidP="008C1E9C">
            <w:pPr>
              <w:pStyle w:val="NoSpacing"/>
              <w:spacing w:line="480" w:lineRule="auto"/>
              <w:jc w:val="both"/>
              <w:rPr>
                <w:rFonts w:ascii="Arial" w:hAnsi="Arial" w:cs="Arial"/>
                <w:bCs/>
                <w:sz w:val="20"/>
                <w:szCs w:val="20"/>
              </w:rPr>
            </w:pPr>
          </w:p>
          <w:p w14:paraId="438816F6" w14:textId="77777777" w:rsidR="008C1E9C" w:rsidRPr="008C1E9C" w:rsidRDefault="008C1E9C" w:rsidP="008C1E9C">
            <w:pPr>
              <w:jc w:val="both"/>
              <w:rPr>
                <w:rFonts w:ascii="Arial" w:hAnsi="Arial" w:cs="Arial"/>
                <w:sz w:val="20"/>
                <w:szCs w:val="20"/>
              </w:rPr>
            </w:pPr>
            <w:r w:rsidRPr="008C1E9C">
              <w:rPr>
                <w:rFonts w:ascii="Arial" w:hAnsi="Arial" w:cs="Arial"/>
                <w:sz w:val="20"/>
                <w:szCs w:val="20"/>
              </w:rPr>
              <w:t>1</w:t>
            </w:r>
          </w:p>
        </w:tc>
        <w:tc>
          <w:tcPr>
            <w:tcW w:w="2520" w:type="dxa"/>
          </w:tcPr>
          <w:p w14:paraId="56E5A5EB" w14:textId="73DB05E3" w:rsidR="008C1E9C" w:rsidRPr="008C1E9C" w:rsidRDefault="00C50314" w:rsidP="008C1E9C">
            <w:pPr>
              <w:jc w:val="both"/>
              <w:rPr>
                <w:rFonts w:ascii="Arial" w:hAnsi="Arial" w:cs="Arial"/>
                <w:sz w:val="20"/>
                <w:szCs w:val="20"/>
              </w:rPr>
            </w:pPr>
            <w:r w:rsidRPr="00ED3895">
              <w:rPr>
                <w:rFonts w:ascii="Arial" w:hAnsi="Arial" w:cs="Arial"/>
                <w:b/>
                <w:sz w:val="24"/>
                <w:szCs w:val="24"/>
              </w:rPr>
              <w:t>₱</w:t>
            </w:r>
            <w:r w:rsidR="008C1E9C" w:rsidRPr="008C1E9C">
              <w:rPr>
                <w:rFonts w:ascii="Arial" w:hAnsi="Arial" w:cs="Arial"/>
                <w:sz w:val="20"/>
                <w:szCs w:val="20"/>
              </w:rPr>
              <w:t>200,000</w:t>
            </w:r>
          </w:p>
          <w:p w14:paraId="431B1E4F" w14:textId="77777777" w:rsidR="008C1E9C" w:rsidRPr="008C1E9C" w:rsidRDefault="008C1E9C" w:rsidP="008C1E9C">
            <w:pPr>
              <w:pStyle w:val="NoSpacing"/>
              <w:spacing w:line="480" w:lineRule="auto"/>
              <w:jc w:val="both"/>
              <w:rPr>
                <w:rFonts w:ascii="Arial" w:hAnsi="Arial" w:cs="Arial"/>
                <w:bCs/>
                <w:sz w:val="20"/>
                <w:szCs w:val="20"/>
              </w:rPr>
            </w:pPr>
          </w:p>
        </w:tc>
      </w:tr>
      <w:tr w:rsidR="008C1E9C" w14:paraId="4899CC02" w14:textId="77777777" w:rsidTr="008C1E9C">
        <w:tc>
          <w:tcPr>
            <w:tcW w:w="1726" w:type="dxa"/>
          </w:tcPr>
          <w:p w14:paraId="341A4446" w14:textId="2DE675C3"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Software Development Tools</w:t>
            </w:r>
          </w:p>
        </w:tc>
        <w:tc>
          <w:tcPr>
            <w:tcW w:w="3849" w:type="dxa"/>
          </w:tcPr>
          <w:p w14:paraId="6EB9F2B1" w14:textId="4CF86AA4"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State-of-the-art software development tools facilitate the design, development, and integration of necessary software components for the Stop&amp;Go Tech payment system. These tools enable seamless communication between ID cards and campus payment terminals, ensuring a smooth and reliable transaction process for users.</w:t>
            </w:r>
          </w:p>
        </w:tc>
        <w:tc>
          <w:tcPr>
            <w:tcW w:w="1260" w:type="dxa"/>
          </w:tcPr>
          <w:p w14:paraId="6EA06928" w14:textId="52B304F4" w:rsidR="008C1E9C" w:rsidRPr="008C1E9C" w:rsidRDefault="00C50314" w:rsidP="008C1E9C">
            <w:pPr>
              <w:pStyle w:val="NoSpacing"/>
              <w:spacing w:line="480" w:lineRule="auto"/>
              <w:jc w:val="both"/>
              <w:rPr>
                <w:rFonts w:ascii="Arial" w:hAnsi="Arial" w:cs="Arial"/>
                <w:bCs/>
                <w:sz w:val="20"/>
                <w:szCs w:val="20"/>
              </w:rPr>
            </w:pPr>
            <w:r w:rsidRPr="00ED3895">
              <w:rPr>
                <w:rFonts w:ascii="Arial" w:hAnsi="Arial" w:cs="Arial"/>
                <w:b/>
                <w:sz w:val="24"/>
                <w:szCs w:val="24"/>
              </w:rPr>
              <w:t>₱</w:t>
            </w:r>
            <w:r w:rsidR="008C1E9C" w:rsidRPr="008C1E9C">
              <w:rPr>
                <w:rFonts w:ascii="Arial" w:hAnsi="Arial" w:cs="Arial"/>
                <w:bCs/>
                <w:sz w:val="20"/>
                <w:szCs w:val="20"/>
              </w:rPr>
              <w:t>100,000</w:t>
            </w:r>
          </w:p>
        </w:tc>
        <w:tc>
          <w:tcPr>
            <w:tcW w:w="1080" w:type="dxa"/>
          </w:tcPr>
          <w:p w14:paraId="1AEF2349" w14:textId="2055AD3F"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1</w:t>
            </w:r>
          </w:p>
        </w:tc>
        <w:tc>
          <w:tcPr>
            <w:tcW w:w="2520" w:type="dxa"/>
          </w:tcPr>
          <w:p w14:paraId="632975D1" w14:textId="65BB43D3" w:rsidR="008C1E9C" w:rsidRPr="008C1E9C" w:rsidRDefault="00C50314" w:rsidP="008C1E9C">
            <w:pPr>
              <w:pStyle w:val="NoSpacing"/>
              <w:spacing w:line="480" w:lineRule="auto"/>
              <w:jc w:val="both"/>
              <w:rPr>
                <w:rFonts w:ascii="Arial" w:hAnsi="Arial" w:cs="Arial"/>
                <w:bCs/>
                <w:sz w:val="20"/>
                <w:szCs w:val="20"/>
              </w:rPr>
            </w:pPr>
            <w:r w:rsidRPr="00ED3895">
              <w:rPr>
                <w:rFonts w:ascii="Arial" w:hAnsi="Arial" w:cs="Arial"/>
                <w:b/>
                <w:sz w:val="24"/>
                <w:szCs w:val="24"/>
              </w:rPr>
              <w:t>₱</w:t>
            </w:r>
            <w:r w:rsidR="008C1E9C" w:rsidRPr="008C1E9C">
              <w:rPr>
                <w:rFonts w:ascii="Arial" w:hAnsi="Arial" w:cs="Arial"/>
                <w:bCs/>
                <w:sz w:val="20"/>
                <w:szCs w:val="20"/>
              </w:rPr>
              <w:t>100,000</w:t>
            </w:r>
          </w:p>
        </w:tc>
      </w:tr>
      <w:tr w:rsidR="008C1E9C" w14:paraId="0DD527CC" w14:textId="77777777" w:rsidTr="008C1E9C">
        <w:tc>
          <w:tcPr>
            <w:tcW w:w="1726" w:type="dxa"/>
          </w:tcPr>
          <w:p w14:paraId="4F3456F2" w14:textId="7A6FD604"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Quality Assurance Testing Equipment</w:t>
            </w:r>
          </w:p>
        </w:tc>
        <w:tc>
          <w:tcPr>
            <w:tcW w:w="3849" w:type="dxa"/>
          </w:tcPr>
          <w:p w14:paraId="25F8632C" w14:textId="3AD441D9"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 xml:space="preserve">High-tech testing equipment dedicated to validating the functionality, security, and reliability of each RFID/NFC-enabled ID card before distribution. This equipment plays a crucial role in ensuring the quality and performance of the Stop&amp;Go Tech </w:t>
            </w:r>
            <w:r w:rsidRPr="008C1E9C">
              <w:rPr>
                <w:rFonts w:ascii="Arial" w:hAnsi="Arial" w:cs="Arial"/>
                <w:bCs/>
                <w:sz w:val="20"/>
                <w:szCs w:val="20"/>
              </w:rPr>
              <w:lastRenderedPageBreak/>
              <w:t>payment system, instilling confidence in users and minimizing potential issues during card usage.</w:t>
            </w:r>
          </w:p>
        </w:tc>
        <w:tc>
          <w:tcPr>
            <w:tcW w:w="1260" w:type="dxa"/>
          </w:tcPr>
          <w:p w14:paraId="45015FFB" w14:textId="38782EA0" w:rsidR="008C1E9C" w:rsidRPr="008C1E9C" w:rsidRDefault="00C50314" w:rsidP="008C1E9C">
            <w:pPr>
              <w:pStyle w:val="NoSpacing"/>
              <w:spacing w:line="480" w:lineRule="auto"/>
              <w:jc w:val="both"/>
              <w:rPr>
                <w:rFonts w:ascii="Arial" w:hAnsi="Arial" w:cs="Arial"/>
                <w:bCs/>
                <w:sz w:val="20"/>
                <w:szCs w:val="20"/>
              </w:rPr>
            </w:pPr>
            <w:r w:rsidRPr="00ED3895">
              <w:rPr>
                <w:rFonts w:ascii="Arial" w:hAnsi="Arial" w:cs="Arial"/>
                <w:b/>
                <w:sz w:val="24"/>
                <w:szCs w:val="24"/>
              </w:rPr>
              <w:lastRenderedPageBreak/>
              <w:t>₱</w:t>
            </w:r>
            <w:r w:rsidR="008C1E9C" w:rsidRPr="008C1E9C">
              <w:rPr>
                <w:rFonts w:ascii="Arial" w:hAnsi="Arial" w:cs="Arial"/>
                <w:bCs/>
                <w:sz w:val="20"/>
                <w:szCs w:val="20"/>
              </w:rPr>
              <w:t>50,000</w:t>
            </w:r>
          </w:p>
        </w:tc>
        <w:tc>
          <w:tcPr>
            <w:tcW w:w="1080" w:type="dxa"/>
          </w:tcPr>
          <w:p w14:paraId="60CC0795" w14:textId="26E63C8B"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1</w:t>
            </w:r>
          </w:p>
        </w:tc>
        <w:tc>
          <w:tcPr>
            <w:tcW w:w="2520" w:type="dxa"/>
          </w:tcPr>
          <w:p w14:paraId="0E4BD272" w14:textId="33BA123A" w:rsidR="008C1E9C" w:rsidRPr="008C1E9C" w:rsidRDefault="00C50314" w:rsidP="008C1E9C">
            <w:pPr>
              <w:pStyle w:val="NoSpacing"/>
              <w:spacing w:line="480" w:lineRule="auto"/>
              <w:jc w:val="both"/>
              <w:rPr>
                <w:rFonts w:ascii="Arial" w:hAnsi="Arial" w:cs="Arial"/>
                <w:bCs/>
                <w:sz w:val="20"/>
                <w:szCs w:val="20"/>
              </w:rPr>
            </w:pPr>
            <w:r w:rsidRPr="00ED3895">
              <w:rPr>
                <w:rFonts w:ascii="Arial" w:hAnsi="Arial" w:cs="Arial"/>
                <w:b/>
                <w:sz w:val="24"/>
                <w:szCs w:val="24"/>
              </w:rPr>
              <w:t>₱</w:t>
            </w:r>
            <w:r w:rsidR="008C1E9C" w:rsidRPr="008C1E9C">
              <w:rPr>
                <w:rFonts w:ascii="Arial" w:hAnsi="Arial" w:cs="Arial"/>
                <w:bCs/>
                <w:sz w:val="20"/>
                <w:szCs w:val="20"/>
              </w:rPr>
              <w:t>50,000</w:t>
            </w:r>
          </w:p>
        </w:tc>
      </w:tr>
      <w:tr w:rsidR="008C1E9C" w14:paraId="49124B59" w14:textId="77777777" w:rsidTr="008C1E9C">
        <w:tc>
          <w:tcPr>
            <w:tcW w:w="1726" w:type="dxa"/>
          </w:tcPr>
          <w:p w14:paraId="4564826B" w14:textId="50253608"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Training Facilities</w:t>
            </w:r>
          </w:p>
        </w:tc>
        <w:tc>
          <w:tcPr>
            <w:tcW w:w="3849" w:type="dxa"/>
          </w:tcPr>
          <w:p w14:paraId="3BEC1D63" w14:textId="35B07841"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Dedicated training facilities equipped with multimedia resources conduct comprehensive training sessions for students and administrative staff on the usage and management of the Stop&amp;Go Tech payment system. These facilities play a vital role in ensuring that users understand the system's features and functionalities, promoting efficient and effective utilization of the payment system across campus.</w:t>
            </w:r>
          </w:p>
        </w:tc>
        <w:tc>
          <w:tcPr>
            <w:tcW w:w="1260" w:type="dxa"/>
          </w:tcPr>
          <w:p w14:paraId="6C30229F" w14:textId="781E38A0" w:rsidR="008C1E9C" w:rsidRPr="008C1E9C" w:rsidRDefault="00C50314" w:rsidP="008C1E9C">
            <w:pPr>
              <w:pStyle w:val="NoSpacing"/>
              <w:spacing w:line="480" w:lineRule="auto"/>
              <w:jc w:val="both"/>
              <w:rPr>
                <w:rFonts w:ascii="Arial" w:hAnsi="Arial" w:cs="Arial"/>
                <w:bCs/>
                <w:sz w:val="20"/>
                <w:szCs w:val="20"/>
              </w:rPr>
            </w:pPr>
            <w:r w:rsidRPr="00ED3895">
              <w:rPr>
                <w:rFonts w:ascii="Arial" w:hAnsi="Arial" w:cs="Arial"/>
                <w:b/>
                <w:sz w:val="24"/>
                <w:szCs w:val="24"/>
              </w:rPr>
              <w:t>₱</w:t>
            </w:r>
            <w:r w:rsidR="008C1E9C" w:rsidRPr="008C1E9C">
              <w:rPr>
                <w:rFonts w:ascii="Arial" w:hAnsi="Arial" w:cs="Arial"/>
                <w:bCs/>
                <w:sz w:val="20"/>
                <w:szCs w:val="20"/>
              </w:rPr>
              <w:t>75,000</w:t>
            </w:r>
          </w:p>
        </w:tc>
        <w:tc>
          <w:tcPr>
            <w:tcW w:w="1080" w:type="dxa"/>
          </w:tcPr>
          <w:p w14:paraId="0DAD2ECB" w14:textId="0F65CA4C" w:rsidR="008C1E9C" w:rsidRPr="008C1E9C" w:rsidRDefault="008C1E9C" w:rsidP="008C1E9C">
            <w:pPr>
              <w:pStyle w:val="NoSpacing"/>
              <w:spacing w:line="480" w:lineRule="auto"/>
              <w:jc w:val="both"/>
              <w:rPr>
                <w:rFonts w:ascii="Arial" w:hAnsi="Arial" w:cs="Arial"/>
                <w:bCs/>
                <w:sz w:val="20"/>
                <w:szCs w:val="20"/>
              </w:rPr>
            </w:pPr>
            <w:r w:rsidRPr="008C1E9C">
              <w:rPr>
                <w:rFonts w:ascii="Arial" w:hAnsi="Arial" w:cs="Arial"/>
                <w:bCs/>
                <w:sz w:val="20"/>
                <w:szCs w:val="20"/>
              </w:rPr>
              <w:t>1</w:t>
            </w:r>
          </w:p>
        </w:tc>
        <w:tc>
          <w:tcPr>
            <w:tcW w:w="2520" w:type="dxa"/>
          </w:tcPr>
          <w:p w14:paraId="47E8CD21" w14:textId="68737676" w:rsidR="008C1E9C" w:rsidRPr="008C1E9C" w:rsidRDefault="00C50314" w:rsidP="008C1E9C">
            <w:pPr>
              <w:pStyle w:val="NoSpacing"/>
              <w:spacing w:line="480" w:lineRule="auto"/>
              <w:jc w:val="both"/>
              <w:rPr>
                <w:rFonts w:ascii="Arial" w:hAnsi="Arial" w:cs="Arial"/>
                <w:bCs/>
                <w:sz w:val="20"/>
                <w:szCs w:val="20"/>
              </w:rPr>
            </w:pPr>
            <w:r w:rsidRPr="00ED3895">
              <w:rPr>
                <w:rFonts w:ascii="Arial" w:hAnsi="Arial" w:cs="Arial"/>
                <w:b/>
                <w:sz w:val="24"/>
                <w:szCs w:val="24"/>
              </w:rPr>
              <w:t>₱</w:t>
            </w:r>
            <w:r w:rsidR="008C1E9C" w:rsidRPr="008C1E9C">
              <w:rPr>
                <w:rFonts w:ascii="Arial" w:hAnsi="Arial" w:cs="Arial"/>
                <w:bCs/>
                <w:sz w:val="20"/>
                <w:szCs w:val="20"/>
              </w:rPr>
              <w:t>75,000</w:t>
            </w:r>
          </w:p>
        </w:tc>
      </w:tr>
    </w:tbl>
    <w:p w14:paraId="75B25C7C" w14:textId="77777777" w:rsidR="00C63668" w:rsidRPr="00C63668" w:rsidRDefault="00C63668" w:rsidP="00C63668">
      <w:pPr>
        <w:pStyle w:val="NoSpacing"/>
        <w:spacing w:line="480" w:lineRule="auto"/>
        <w:jc w:val="both"/>
        <w:rPr>
          <w:rFonts w:ascii="Arial" w:hAnsi="Arial" w:cs="Arial"/>
          <w:bCs/>
          <w:sz w:val="26"/>
          <w:szCs w:val="26"/>
        </w:rPr>
      </w:pPr>
    </w:p>
    <w:p w14:paraId="2117DB65" w14:textId="77777777" w:rsidR="0065452D" w:rsidRDefault="0065452D" w:rsidP="002F7199">
      <w:pPr>
        <w:pStyle w:val="NoSpacing"/>
        <w:spacing w:line="480" w:lineRule="auto"/>
        <w:jc w:val="both"/>
        <w:rPr>
          <w:rFonts w:ascii="Arial" w:hAnsi="Arial" w:cs="Arial"/>
          <w:bCs/>
          <w:sz w:val="26"/>
          <w:szCs w:val="26"/>
        </w:rPr>
      </w:pPr>
    </w:p>
    <w:p w14:paraId="449F3792" w14:textId="36777D8A" w:rsidR="002F7199" w:rsidRPr="00C03FB7" w:rsidRDefault="002F7199" w:rsidP="002F7199">
      <w:pPr>
        <w:pStyle w:val="NoSpacing"/>
        <w:spacing w:line="480" w:lineRule="auto"/>
        <w:jc w:val="both"/>
        <w:rPr>
          <w:rFonts w:ascii="Arial" w:hAnsi="Arial" w:cs="Arial"/>
          <w:b/>
          <w:sz w:val="26"/>
          <w:szCs w:val="26"/>
        </w:rPr>
      </w:pPr>
      <w:r w:rsidRPr="00C03FB7">
        <w:rPr>
          <w:rFonts w:ascii="Arial" w:hAnsi="Arial" w:cs="Arial"/>
          <w:b/>
          <w:sz w:val="26"/>
          <w:szCs w:val="26"/>
        </w:rPr>
        <w:t>3.6 Plant Location</w:t>
      </w:r>
    </w:p>
    <w:p w14:paraId="2B23C40B" w14:textId="77777777" w:rsidR="002F7199" w:rsidRPr="002F7199" w:rsidRDefault="002F7199" w:rsidP="002F7199">
      <w:pPr>
        <w:pStyle w:val="NoSpacing"/>
        <w:spacing w:line="480" w:lineRule="auto"/>
        <w:jc w:val="both"/>
        <w:rPr>
          <w:rFonts w:ascii="Arial" w:hAnsi="Arial" w:cs="Arial"/>
          <w:bCs/>
          <w:sz w:val="26"/>
          <w:szCs w:val="26"/>
        </w:rPr>
      </w:pPr>
    </w:p>
    <w:p w14:paraId="162491F8" w14:textId="77777777" w:rsidR="002F7199" w:rsidRDefault="002F7199" w:rsidP="002F7199">
      <w:pPr>
        <w:pStyle w:val="NoSpacing"/>
        <w:spacing w:line="480" w:lineRule="auto"/>
        <w:jc w:val="both"/>
        <w:rPr>
          <w:rFonts w:ascii="Arial" w:hAnsi="Arial" w:cs="Arial"/>
          <w:bCs/>
          <w:sz w:val="26"/>
          <w:szCs w:val="26"/>
        </w:rPr>
      </w:pPr>
      <w:r w:rsidRPr="002F7199">
        <w:rPr>
          <w:rFonts w:ascii="Arial" w:hAnsi="Arial" w:cs="Arial"/>
          <w:bCs/>
          <w:sz w:val="26"/>
          <w:szCs w:val="26"/>
        </w:rPr>
        <w:t xml:space="preserve">The strategic placement of Stop&amp;Go Tech terminals within the MinSu campus will be determined through careful analysis of student traffic patterns, campus infrastructure, and transactional data. Priority will be given to high-traffic areas such as student centers, dining facilities, academic buildings, and transportation hubs to maximize user accessibility and convenience. Collaboration with campus facilities management and IT </w:t>
      </w:r>
      <w:r w:rsidRPr="002F7199">
        <w:rPr>
          <w:rFonts w:ascii="Arial" w:hAnsi="Arial" w:cs="Arial"/>
          <w:bCs/>
          <w:sz w:val="26"/>
          <w:szCs w:val="26"/>
        </w:rPr>
        <w:lastRenderedPageBreak/>
        <w:t>departments will ensure seamless integration of Stop&amp;Go Tech infrastructure with existing campus facilities and services.</w:t>
      </w:r>
    </w:p>
    <w:p w14:paraId="177059F1" w14:textId="6A359594" w:rsidR="0065452D" w:rsidRDefault="0065452D" w:rsidP="002F7199">
      <w:pPr>
        <w:pStyle w:val="NoSpacing"/>
        <w:spacing w:line="480" w:lineRule="auto"/>
        <w:jc w:val="both"/>
        <w:rPr>
          <w:rFonts w:ascii="Arial" w:hAnsi="Arial" w:cs="Arial"/>
          <w:bCs/>
          <w:sz w:val="26"/>
          <w:szCs w:val="26"/>
        </w:rPr>
      </w:pPr>
      <w:r>
        <w:rPr>
          <w:rFonts w:ascii="Arial" w:hAnsi="Arial" w:cs="Arial"/>
          <w:bCs/>
          <w:noProof/>
          <w:sz w:val="26"/>
          <w:szCs w:val="26"/>
        </w:rPr>
        <w:drawing>
          <wp:inline distT="0" distB="0" distL="0" distR="0" wp14:anchorId="24B8399E" wp14:editId="1F5FBA36">
            <wp:extent cx="5553075" cy="3114675"/>
            <wp:effectExtent l="0" t="0" r="9525" b="9525"/>
            <wp:docPr id="725864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64574" name="Picture 725864574"/>
                    <pic:cNvPicPr/>
                  </pic:nvPicPr>
                  <pic:blipFill>
                    <a:blip r:embed="rId8">
                      <a:extLst>
                        <a:ext uri="{28A0092B-C50C-407E-A947-70E740481C1C}">
                          <a14:useLocalDpi xmlns:a14="http://schemas.microsoft.com/office/drawing/2010/main" val="0"/>
                        </a:ext>
                      </a:extLst>
                    </a:blip>
                    <a:stretch>
                      <a:fillRect/>
                    </a:stretch>
                  </pic:blipFill>
                  <pic:spPr>
                    <a:xfrm>
                      <a:off x="0" y="0"/>
                      <a:ext cx="5553852" cy="3115111"/>
                    </a:xfrm>
                    <a:prstGeom prst="rect">
                      <a:avLst/>
                    </a:prstGeom>
                  </pic:spPr>
                </pic:pic>
              </a:graphicData>
            </a:graphic>
          </wp:inline>
        </w:drawing>
      </w:r>
    </w:p>
    <w:p w14:paraId="7EC85D86" w14:textId="77777777" w:rsidR="0065452D" w:rsidRDefault="0065452D" w:rsidP="002F7199">
      <w:pPr>
        <w:pStyle w:val="NoSpacing"/>
        <w:spacing w:line="480" w:lineRule="auto"/>
        <w:jc w:val="both"/>
        <w:rPr>
          <w:rFonts w:ascii="Arial" w:hAnsi="Arial" w:cs="Arial"/>
          <w:bCs/>
          <w:sz w:val="26"/>
          <w:szCs w:val="26"/>
        </w:rPr>
      </w:pPr>
    </w:p>
    <w:p w14:paraId="018B0D85" w14:textId="77777777" w:rsidR="0065452D" w:rsidRDefault="0065452D" w:rsidP="0065452D">
      <w:pPr>
        <w:pStyle w:val="NoSpacing"/>
        <w:spacing w:line="480" w:lineRule="auto"/>
        <w:jc w:val="center"/>
        <w:rPr>
          <w:rFonts w:ascii="Arial" w:hAnsi="Arial" w:cs="Arial"/>
          <w:b/>
          <w:bCs/>
          <w:color w:val="000000" w:themeColor="text1"/>
          <w:sz w:val="26"/>
          <w:szCs w:val="26"/>
        </w:rPr>
      </w:pPr>
      <w:r>
        <w:rPr>
          <w:rFonts w:ascii="Arial" w:hAnsi="Arial" w:cs="Arial"/>
          <w:b/>
          <w:bCs/>
          <w:color w:val="000000" w:themeColor="text1"/>
          <w:sz w:val="26"/>
          <w:szCs w:val="26"/>
        </w:rPr>
        <w:t>Figure 1. Plant Location</w:t>
      </w:r>
    </w:p>
    <w:p w14:paraId="3B588B16" w14:textId="77777777" w:rsidR="0065452D" w:rsidRPr="002F7199" w:rsidRDefault="0065452D" w:rsidP="002F7199">
      <w:pPr>
        <w:pStyle w:val="NoSpacing"/>
        <w:spacing w:line="480" w:lineRule="auto"/>
        <w:jc w:val="both"/>
        <w:rPr>
          <w:rFonts w:ascii="Arial" w:hAnsi="Arial" w:cs="Arial"/>
          <w:bCs/>
          <w:sz w:val="26"/>
          <w:szCs w:val="26"/>
        </w:rPr>
      </w:pPr>
    </w:p>
    <w:p w14:paraId="1400A4DF" w14:textId="77777777" w:rsidR="002F7199" w:rsidRPr="002F7199" w:rsidRDefault="002F7199" w:rsidP="002F7199">
      <w:pPr>
        <w:pStyle w:val="NoSpacing"/>
        <w:spacing w:line="480" w:lineRule="auto"/>
        <w:jc w:val="both"/>
        <w:rPr>
          <w:rFonts w:ascii="Arial" w:hAnsi="Arial" w:cs="Arial"/>
          <w:bCs/>
          <w:sz w:val="26"/>
          <w:szCs w:val="26"/>
        </w:rPr>
      </w:pPr>
    </w:p>
    <w:p w14:paraId="77C1C750" w14:textId="77777777" w:rsidR="002F7199" w:rsidRPr="00C03FB7" w:rsidRDefault="002F7199" w:rsidP="002F7199">
      <w:pPr>
        <w:pStyle w:val="NoSpacing"/>
        <w:spacing w:line="480" w:lineRule="auto"/>
        <w:jc w:val="both"/>
        <w:rPr>
          <w:rFonts w:ascii="Arial" w:hAnsi="Arial" w:cs="Arial"/>
          <w:b/>
          <w:sz w:val="26"/>
          <w:szCs w:val="26"/>
        </w:rPr>
      </w:pPr>
      <w:r w:rsidRPr="00C03FB7">
        <w:rPr>
          <w:rFonts w:ascii="Arial" w:hAnsi="Arial" w:cs="Arial"/>
          <w:b/>
          <w:sz w:val="26"/>
          <w:szCs w:val="26"/>
        </w:rPr>
        <w:t>3.7 Plant Layout</w:t>
      </w:r>
    </w:p>
    <w:p w14:paraId="60085321" w14:textId="77777777" w:rsidR="002F7199" w:rsidRPr="002F7199" w:rsidRDefault="002F7199" w:rsidP="002F7199">
      <w:pPr>
        <w:pStyle w:val="NoSpacing"/>
        <w:spacing w:line="480" w:lineRule="auto"/>
        <w:jc w:val="both"/>
        <w:rPr>
          <w:rFonts w:ascii="Arial" w:hAnsi="Arial" w:cs="Arial"/>
          <w:bCs/>
          <w:sz w:val="26"/>
          <w:szCs w:val="26"/>
        </w:rPr>
      </w:pPr>
    </w:p>
    <w:p w14:paraId="3A69F7A0" w14:textId="77777777" w:rsidR="002F7199" w:rsidRDefault="002F7199" w:rsidP="002F7199">
      <w:pPr>
        <w:pStyle w:val="NoSpacing"/>
        <w:spacing w:line="480" w:lineRule="auto"/>
        <w:jc w:val="both"/>
        <w:rPr>
          <w:rFonts w:ascii="Arial" w:hAnsi="Arial" w:cs="Arial"/>
          <w:bCs/>
          <w:sz w:val="26"/>
          <w:szCs w:val="26"/>
        </w:rPr>
      </w:pPr>
      <w:r w:rsidRPr="002F7199">
        <w:rPr>
          <w:rFonts w:ascii="Arial" w:hAnsi="Arial" w:cs="Arial"/>
          <w:bCs/>
          <w:sz w:val="26"/>
          <w:szCs w:val="26"/>
        </w:rPr>
        <w:t xml:space="preserve">The plant layout for Stop&amp;Go Tech implementation will be designed to optimize operational efficiency and user experience. Clear signage and intuitive navigation will guide users to the nearest terminals, while designated queuing areas will facilitate smooth and orderly transactions </w:t>
      </w:r>
      <w:r w:rsidRPr="002F7199">
        <w:rPr>
          <w:rFonts w:ascii="Arial" w:hAnsi="Arial" w:cs="Arial"/>
          <w:bCs/>
          <w:sz w:val="26"/>
          <w:szCs w:val="26"/>
        </w:rPr>
        <w:lastRenderedPageBreak/>
        <w:t>during peak hours. Ergonomic considerations will be incorporated into terminal placement and design to ensure ease of use for users of all abilities.</w:t>
      </w:r>
    </w:p>
    <w:p w14:paraId="6073BC3B" w14:textId="77777777" w:rsidR="0065452D" w:rsidRDefault="0065452D" w:rsidP="002F7199">
      <w:pPr>
        <w:pStyle w:val="NoSpacing"/>
        <w:spacing w:line="480" w:lineRule="auto"/>
        <w:jc w:val="both"/>
        <w:rPr>
          <w:rFonts w:ascii="Arial" w:hAnsi="Arial" w:cs="Arial"/>
          <w:bCs/>
          <w:sz w:val="26"/>
          <w:szCs w:val="26"/>
        </w:rPr>
      </w:pPr>
    </w:p>
    <w:p w14:paraId="65E92D7A" w14:textId="760A5E26" w:rsidR="0065452D" w:rsidRDefault="0065452D" w:rsidP="0065452D">
      <w:pPr>
        <w:pStyle w:val="NoSpacing"/>
        <w:spacing w:line="480" w:lineRule="auto"/>
        <w:jc w:val="center"/>
        <w:rPr>
          <w:rFonts w:ascii="Arial" w:hAnsi="Arial" w:cs="Arial"/>
          <w:b/>
          <w:bCs/>
          <w:color w:val="000000" w:themeColor="text1"/>
          <w:sz w:val="26"/>
          <w:szCs w:val="26"/>
        </w:rPr>
      </w:pPr>
      <w:r>
        <w:rPr>
          <w:rFonts w:ascii="Arial" w:hAnsi="Arial" w:cs="Arial"/>
          <w:b/>
          <w:bCs/>
          <w:color w:val="000000" w:themeColor="text1"/>
          <w:sz w:val="26"/>
          <w:szCs w:val="26"/>
        </w:rPr>
        <w:t>Figure 2. Plant Layout</w:t>
      </w:r>
    </w:p>
    <w:p w14:paraId="2ADF83BD" w14:textId="77777777" w:rsidR="0065452D" w:rsidRDefault="0065452D" w:rsidP="0065452D">
      <w:pPr>
        <w:pStyle w:val="NoSpacing"/>
        <w:spacing w:line="480" w:lineRule="auto"/>
        <w:jc w:val="center"/>
        <w:rPr>
          <w:rFonts w:ascii="Arial" w:hAnsi="Arial" w:cs="Arial"/>
          <w:b/>
          <w:bCs/>
          <w:color w:val="000000" w:themeColor="text1"/>
          <w:sz w:val="26"/>
          <w:szCs w:val="26"/>
        </w:rPr>
      </w:pPr>
    </w:p>
    <w:p w14:paraId="783B0D1A" w14:textId="217FB79C" w:rsidR="0065452D" w:rsidRDefault="0065452D" w:rsidP="0065452D">
      <w:pPr>
        <w:pStyle w:val="NoSpacing"/>
        <w:spacing w:line="480" w:lineRule="auto"/>
        <w:jc w:val="center"/>
        <w:rPr>
          <w:rFonts w:ascii="Arial" w:hAnsi="Arial" w:cs="Arial"/>
          <w:b/>
          <w:bCs/>
          <w:color w:val="000000" w:themeColor="text1"/>
          <w:sz w:val="26"/>
          <w:szCs w:val="26"/>
        </w:rPr>
      </w:pPr>
      <w:r>
        <w:rPr>
          <w:rFonts w:ascii="Arial" w:hAnsi="Arial" w:cs="Arial"/>
          <w:b/>
          <w:bCs/>
          <w:noProof/>
          <w:color w:val="000000" w:themeColor="text1"/>
          <w:sz w:val="26"/>
          <w:szCs w:val="26"/>
        </w:rPr>
        <w:drawing>
          <wp:inline distT="0" distB="0" distL="0" distR="0" wp14:anchorId="3BB39DC2" wp14:editId="0FF7CEE3">
            <wp:extent cx="5125165" cy="3267531"/>
            <wp:effectExtent l="0" t="0" r="0" b="9525"/>
            <wp:docPr id="567926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26802" name="Picture 567926802"/>
                    <pic:cNvPicPr/>
                  </pic:nvPicPr>
                  <pic:blipFill>
                    <a:blip r:embed="rId9">
                      <a:extLst>
                        <a:ext uri="{28A0092B-C50C-407E-A947-70E740481C1C}">
                          <a14:useLocalDpi xmlns:a14="http://schemas.microsoft.com/office/drawing/2010/main" val="0"/>
                        </a:ext>
                      </a:extLst>
                    </a:blip>
                    <a:stretch>
                      <a:fillRect/>
                    </a:stretch>
                  </pic:blipFill>
                  <pic:spPr>
                    <a:xfrm>
                      <a:off x="0" y="0"/>
                      <a:ext cx="5125165" cy="3267531"/>
                    </a:xfrm>
                    <a:prstGeom prst="rect">
                      <a:avLst/>
                    </a:prstGeom>
                  </pic:spPr>
                </pic:pic>
              </a:graphicData>
            </a:graphic>
          </wp:inline>
        </w:drawing>
      </w:r>
    </w:p>
    <w:p w14:paraId="1FCB9FD9" w14:textId="77777777" w:rsidR="0065452D" w:rsidRPr="002F7199" w:rsidRDefault="0065452D" w:rsidP="002F7199">
      <w:pPr>
        <w:pStyle w:val="NoSpacing"/>
        <w:spacing w:line="480" w:lineRule="auto"/>
        <w:jc w:val="both"/>
        <w:rPr>
          <w:rFonts w:ascii="Arial" w:hAnsi="Arial" w:cs="Arial"/>
          <w:bCs/>
          <w:sz w:val="26"/>
          <w:szCs w:val="26"/>
        </w:rPr>
      </w:pPr>
    </w:p>
    <w:p w14:paraId="0E4D786A" w14:textId="77777777" w:rsidR="002F7199" w:rsidRPr="002F7199" w:rsidRDefault="002F7199" w:rsidP="002F7199">
      <w:pPr>
        <w:pStyle w:val="NoSpacing"/>
        <w:spacing w:line="480" w:lineRule="auto"/>
        <w:jc w:val="both"/>
        <w:rPr>
          <w:rFonts w:ascii="Arial" w:hAnsi="Arial" w:cs="Arial"/>
          <w:bCs/>
          <w:sz w:val="26"/>
          <w:szCs w:val="26"/>
        </w:rPr>
      </w:pPr>
    </w:p>
    <w:p w14:paraId="4D113254" w14:textId="77777777" w:rsidR="002F7199" w:rsidRPr="00C03FB7" w:rsidRDefault="002F7199" w:rsidP="002F7199">
      <w:pPr>
        <w:pStyle w:val="NoSpacing"/>
        <w:spacing w:line="480" w:lineRule="auto"/>
        <w:jc w:val="both"/>
        <w:rPr>
          <w:rFonts w:ascii="Arial" w:hAnsi="Arial" w:cs="Arial"/>
          <w:b/>
          <w:sz w:val="26"/>
          <w:szCs w:val="26"/>
        </w:rPr>
      </w:pPr>
      <w:r w:rsidRPr="00C03FB7">
        <w:rPr>
          <w:rFonts w:ascii="Arial" w:hAnsi="Arial" w:cs="Arial"/>
          <w:b/>
          <w:sz w:val="26"/>
          <w:szCs w:val="26"/>
        </w:rPr>
        <w:t>3.8 Building and Facilities</w:t>
      </w:r>
    </w:p>
    <w:p w14:paraId="27C4A6B8" w14:textId="77777777" w:rsidR="002F7199" w:rsidRPr="002F7199" w:rsidRDefault="002F7199" w:rsidP="002F7199">
      <w:pPr>
        <w:pStyle w:val="NoSpacing"/>
        <w:spacing w:line="480" w:lineRule="auto"/>
        <w:jc w:val="both"/>
        <w:rPr>
          <w:rFonts w:ascii="Arial" w:hAnsi="Arial" w:cs="Arial"/>
          <w:bCs/>
          <w:sz w:val="26"/>
          <w:szCs w:val="26"/>
        </w:rPr>
      </w:pPr>
    </w:p>
    <w:p w14:paraId="3E3CB164" w14:textId="77777777" w:rsidR="002F7199" w:rsidRPr="002F7199" w:rsidRDefault="002F7199" w:rsidP="002F7199">
      <w:pPr>
        <w:pStyle w:val="NoSpacing"/>
        <w:spacing w:line="480" w:lineRule="auto"/>
        <w:jc w:val="both"/>
        <w:rPr>
          <w:rFonts w:ascii="Arial" w:hAnsi="Arial" w:cs="Arial"/>
          <w:bCs/>
          <w:sz w:val="26"/>
          <w:szCs w:val="26"/>
        </w:rPr>
      </w:pPr>
      <w:r w:rsidRPr="002F7199">
        <w:rPr>
          <w:rFonts w:ascii="Arial" w:hAnsi="Arial" w:cs="Arial"/>
          <w:bCs/>
          <w:sz w:val="26"/>
          <w:szCs w:val="26"/>
        </w:rPr>
        <w:t xml:space="preserve">The implementation of Stop&amp;Go Tech will require designated spaces for equipment storage, maintenance, and administrative tasks. These facilities </w:t>
      </w:r>
      <w:r w:rsidRPr="002F7199">
        <w:rPr>
          <w:rFonts w:ascii="Arial" w:hAnsi="Arial" w:cs="Arial"/>
          <w:bCs/>
          <w:sz w:val="26"/>
          <w:szCs w:val="26"/>
        </w:rPr>
        <w:lastRenderedPageBreak/>
        <w:t>will be equipped with the necessary infrastructure to support manufacturing processes, software integration, quality assurance testing, and staff training. Additionally, provisions will be made for utilities such as power supply, network connectivity, and environmental controls to ensure optimal performance and safety.</w:t>
      </w:r>
    </w:p>
    <w:p w14:paraId="396E2D48" w14:textId="77777777" w:rsidR="002F7199" w:rsidRPr="002F7199" w:rsidRDefault="002F7199" w:rsidP="002F7199">
      <w:pPr>
        <w:pStyle w:val="NoSpacing"/>
        <w:spacing w:line="480" w:lineRule="auto"/>
        <w:jc w:val="both"/>
        <w:rPr>
          <w:rFonts w:ascii="Arial" w:hAnsi="Arial" w:cs="Arial"/>
          <w:bCs/>
          <w:sz w:val="26"/>
          <w:szCs w:val="26"/>
        </w:rPr>
      </w:pPr>
    </w:p>
    <w:p w14:paraId="52CC08D5" w14:textId="77777777" w:rsidR="002F7199" w:rsidRPr="002F7199" w:rsidRDefault="002F7199" w:rsidP="002F7199">
      <w:pPr>
        <w:pStyle w:val="NoSpacing"/>
        <w:spacing w:line="480" w:lineRule="auto"/>
        <w:jc w:val="both"/>
        <w:rPr>
          <w:rFonts w:ascii="Arial" w:hAnsi="Arial" w:cs="Arial"/>
          <w:b/>
          <w:sz w:val="26"/>
          <w:szCs w:val="26"/>
        </w:rPr>
      </w:pPr>
      <w:r w:rsidRPr="002F7199">
        <w:rPr>
          <w:rFonts w:ascii="Arial" w:hAnsi="Arial" w:cs="Arial"/>
          <w:b/>
          <w:sz w:val="26"/>
          <w:szCs w:val="26"/>
        </w:rPr>
        <w:t>3.9 Raw Materials and Suppliers</w:t>
      </w:r>
    </w:p>
    <w:p w14:paraId="787BBFDF" w14:textId="77777777" w:rsidR="002F7199" w:rsidRPr="002F7199" w:rsidRDefault="002F7199" w:rsidP="002F7199">
      <w:pPr>
        <w:pStyle w:val="NoSpacing"/>
        <w:spacing w:line="480" w:lineRule="auto"/>
        <w:jc w:val="both"/>
        <w:rPr>
          <w:rFonts w:ascii="Arial" w:hAnsi="Arial" w:cs="Arial"/>
          <w:bCs/>
          <w:sz w:val="26"/>
          <w:szCs w:val="26"/>
        </w:rPr>
      </w:pPr>
    </w:p>
    <w:p w14:paraId="3E7CCED0" w14:textId="77777777" w:rsidR="002F7199" w:rsidRPr="002F7199" w:rsidRDefault="002F7199" w:rsidP="002F7199">
      <w:pPr>
        <w:pStyle w:val="NoSpacing"/>
        <w:spacing w:line="480" w:lineRule="auto"/>
        <w:jc w:val="both"/>
        <w:rPr>
          <w:rFonts w:ascii="Arial" w:hAnsi="Arial" w:cs="Arial"/>
          <w:bCs/>
          <w:sz w:val="26"/>
          <w:szCs w:val="26"/>
        </w:rPr>
      </w:pPr>
      <w:r w:rsidRPr="002F7199">
        <w:rPr>
          <w:rFonts w:ascii="Arial" w:hAnsi="Arial" w:cs="Arial"/>
          <w:bCs/>
          <w:sz w:val="26"/>
          <w:szCs w:val="26"/>
        </w:rPr>
        <w:t>The raw materials required for manufacturing RFID/NFC-enabled ID cards will be sourced from reputable suppliers with a proven track record of quality and reliability. Close partnerships will be established with suppliers to ensure timely delivery, competitive pricing, and ongoing support. Quality control measures will be implemented to verify the integrity and authenticity of raw materials, maintaining the high standards required for Stop&amp;Go Tech production.</w:t>
      </w:r>
    </w:p>
    <w:p w14:paraId="5516E4B1" w14:textId="77777777" w:rsidR="002F7199" w:rsidRPr="002F7199" w:rsidRDefault="002F7199" w:rsidP="002F7199">
      <w:pPr>
        <w:pStyle w:val="NoSpacing"/>
        <w:spacing w:line="480" w:lineRule="auto"/>
        <w:jc w:val="both"/>
        <w:rPr>
          <w:rFonts w:ascii="Arial" w:hAnsi="Arial" w:cs="Arial"/>
          <w:bCs/>
          <w:sz w:val="26"/>
          <w:szCs w:val="26"/>
        </w:rPr>
      </w:pPr>
    </w:p>
    <w:p w14:paraId="6A50400D" w14:textId="77777777" w:rsidR="002F7199" w:rsidRPr="002F7199" w:rsidRDefault="002F7199" w:rsidP="002F7199">
      <w:pPr>
        <w:pStyle w:val="NoSpacing"/>
        <w:spacing w:line="480" w:lineRule="auto"/>
        <w:jc w:val="both"/>
        <w:rPr>
          <w:rFonts w:ascii="Arial" w:hAnsi="Arial" w:cs="Arial"/>
          <w:b/>
          <w:sz w:val="26"/>
          <w:szCs w:val="26"/>
        </w:rPr>
      </w:pPr>
      <w:r w:rsidRPr="002F7199">
        <w:rPr>
          <w:rFonts w:ascii="Arial" w:hAnsi="Arial" w:cs="Arial"/>
          <w:b/>
          <w:sz w:val="26"/>
          <w:szCs w:val="26"/>
        </w:rPr>
        <w:t>3.10 Utilities</w:t>
      </w:r>
    </w:p>
    <w:p w14:paraId="23B62630" w14:textId="77777777" w:rsidR="002F7199" w:rsidRPr="002F7199" w:rsidRDefault="002F7199" w:rsidP="002F7199">
      <w:pPr>
        <w:pStyle w:val="NoSpacing"/>
        <w:spacing w:line="480" w:lineRule="auto"/>
        <w:jc w:val="both"/>
        <w:rPr>
          <w:rFonts w:ascii="Arial" w:hAnsi="Arial" w:cs="Arial"/>
          <w:bCs/>
          <w:sz w:val="26"/>
          <w:szCs w:val="26"/>
        </w:rPr>
      </w:pPr>
    </w:p>
    <w:tbl>
      <w:tblPr>
        <w:tblStyle w:val="TableGrid"/>
        <w:tblW w:w="0" w:type="auto"/>
        <w:tblLook w:val="04A0" w:firstRow="1" w:lastRow="0" w:firstColumn="1" w:lastColumn="0" w:noHBand="0" w:noVBand="1"/>
      </w:tblPr>
      <w:tblGrid>
        <w:gridCol w:w="2876"/>
        <w:gridCol w:w="2877"/>
        <w:gridCol w:w="2877"/>
      </w:tblGrid>
      <w:tr w:rsidR="00ED3895" w14:paraId="1BCDEBD1" w14:textId="77777777" w:rsidTr="00ED3895">
        <w:tc>
          <w:tcPr>
            <w:tcW w:w="2876" w:type="dxa"/>
          </w:tcPr>
          <w:p w14:paraId="5D1567FA" w14:textId="16F782C9" w:rsidR="00ED3895" w:rsidRDefault="00ED3895" w:rsidP="002F7199">
            <w:pPr>
              <w:pStyle w:val="NoSpacing"/>
              <w:spacing w:line="480" w:lineRule="auto"/>
              <w:jc w:val="both"/>
              <w:rPr>
                <w:rFonts w:ascii="Arial" w:hAnsi="Arial" w:cs="Arial"/>
                <w:b/>
                <w:sz w:val="26"/>
                <w:szCs w:val="26"/>
              </w:rPr>
            </w:pPr>
            <w:r>
              <w:rPr>
                <w:rFonts w:ascii="Arial" w:hAnsi="Arial" w:cs="Arial"/>
                <w:b/>
                <w:sz w:val="26"/>
                <w:szCs w:val="26"/>
              </w:rPr>
              <w:t>Utilities</w:t>
            </w:r>
          </w:p>
        </w:tc>
        <w:tc>
          <w:tcPr>
            <w:tcW w:w="2877" w:type="dxa"/>
          </w:tcPr>
          <w:p w14:paraId="1942D42A" w14:textId="23C6F3A2" w:rsidR="00ED3895" w:rsidRDefault="00ED3895" w:rsidP="002F7199">
            <w:pPr>
              <w:pStyle w:val="NoSpacing"/>
              <w:spacing w:line="480" w:lineRule="auto"/>
              <w:jc w:val="both"/>
              <w:rPr>
                <w:rFonts w:ascii="Arial" w:hAnsi="Arial" w:cs="Arial"/>
                <w:b/>
                <w:sz w:val="26"/>
                <w:szCs w:val="26"/>
              </w:rPr>
            </w:pPr>
            <w:r>
              <w:rPr>
                <w:rFonts w:ascii="Arial" w:hAnsi="Arial" w:cs="Arial"/>
                <w:b/>
                <w:sz w:val="26"/>
                <w:szCs w:val="26"/>
              </w:rPr>
              <w:t>Description</w:t>
            </w:r>
          </w:p>
        </w:tc>
        <w:tc>
          <w:tcPr>
            <w:tcW w:w="2877" w:type="dxa"/>
          </w:tcPr>
          <w:p w14:paraId="4ABED52B" w14:textId="77777777" w:rsidR="00ED3895" w:rsidRDefault="00ED3895" w:rsidP="002F7199">
            <w:pPr>
              <w:pStyle w:val="NoSpacing"/>
              <w:spacing w:line="480" w:lineRule="auto"/>
              <w:jc w:val="both"/>
              <w:rPr>
                <w:rFonts w:ascii="Arial" w:hAnsi="Arial" w:cs="Arial"/>
                <w:b/>
                <w:sz w:val="26"/>
                <w:szCs w:val="26"/>
              </w:rPr>
            </w:pPr>
            <w:r>
              <w:rPr>
                <w:rFonts w:ascii="Arial" w:hAnsi="Arial" w:cs="Arial"/>
                <w:b/>
                <w:sz w:val="26"/>
                <w:szCs w:val="26"/>
              </w:rPr>
              <w:t>Estimated monthly</w:t>
            </w:r>
          </w:p>
          <w:p w14:paraId="33D209C7" w14:textId="7BD467E4" w:rsidR="00ED3895" w:rsidRDefault="00ED3895" w:rsidP="002F7199">
            <w:pPr>
              <w:pStyle w:val="NoSpacing"/>
              <w:spacing w:line="480" w:lineRule="auto"/>
              <w:jc w:val="both"/>
              <w:rPr>
                <w:rFonts w:ascii="Arial" w:hAnsi="Arial" w:cs="Arial"/>
                <w:b/>
                <w:sz w:val="26"/>
                <w:szCs w:val="26"/>
              </w:rPr>
            </w:pPr>
            <w:r>
              <w:rPr>
                <w:rFonts w:ascii="Arial" w:hAnsi="Arial" w:cs="Arial"/>
                <w:b/>
                <w:sz w:val="26"/>
                <w:szCs w:val="26"/>
              </w:rPr>
              <w:t>cost</w:t>
            </w:r>
          </w:p>
        </w:tc>
      </w:tr>
      <w:tr w:rsidR="00ED3895" w14:paraId="3E1F1E42" w14:textId="77777777" w:rsidTr="00ED3895">
        <w:tc>
          <w:tcPr>
            <w:tcW w:w="2876" w:type="dxa"/>
          </w:tcPr>
          <w:p w14:paraId="45DC6035" w14:textId="673F32F6" w:rsidR="00ED3895" w:rsidRPr="00ED3895" w:rsidRDefault="00ED3895" w:rsidP="002F7199">
            <w:pPr>
              <w:pStyle w:val="NoSpacing"/>
              <w:spacing w:line="480" w:lineRule="auto"/>
              <w:jc w:val="both"/>
              <w:rPr>
                <w:rFonts w:ascii="Arial" w:hAnsi="Arial" w:cs="Arial"/>
                <w:bCs/>
                <w:sz w:val="24"/>
                <w:szCs w:val="24"/>
              </w:rPr>
            </w:pPr>
            <w:r w:rsidRPr="00ED3895">
              <w:rPr>
                <w:rFonts w:ascii="Arial" w:hAnsi="Arial" w:cs="Arial"/>
                <w:bCs/>
                <w:sz w:val="24"/>
                <w:szCs w:val="24"/>
              </w:rPr>
              <w:lastRenderedPageBreak/>
              <w:t>RFID Cards</w:t>
            </w:r>
          </w:p>
        </w:tc>
        <w:tc>
          <w:tcPr>
            <w:tcW w:w="2877" w:type="dxa"/>
          </w:tcPr>
          <w:p w14:paraId="32639C55" w14:textId="7C30DC02" w:rsidR="00ED3895" w:rsidRPr="00ED3895" w:rsidRDefault="00ED3895" w:rsidP="002F7199">
            <w:pPr>
              <w:pStyle w:val="NoSpacing"/>
              <w:spacing w:line="480" w:lineRule="auto"/>
              <w:jc w:val="both"/>
              <w:rPr>
                <w:rFonts w:ascii="Arial" w:hAnsi="Arial" w:cs="Arial"/>
                <w:bCs/>
                <w:sz w:val="24"/>
                <w:szCs w:val="24"/>
              </w:rPr>
            </w:pPr>
            <w:r w:rsidRPr="00ED3895">
              <w:rPr>
                <w:rFonts w:ascii="Arial" w:hAnsi="Arial" w:cs="Arial"/>
                <w:bCs/>
                <w:sz w:val="24"/>
                <w:szCs w:val="24"/>
              </w:rPr>
              <w:t>RFID cards are essential components of the Stop&amp;Go system, providing users with secure identification and access. Each card is equipped with an embedded RFID chip for contactless transactions.</w:t>
            </w:r>
          </w:p>
        </w:tc>
        <w:tc>
          <w:tcPr>
            <w:tcW w:w="2877" w:type="dxa"/>
          </w:tcPr>
          <w:p w14:paraId="327142DE" w14:textId="61211372" w:rsidR="00ED3895" w:rsidRPr="00ED3895" w:rsidRDefault="00ED3895" w:rsidP="002F7199">
            <w:pPr>
              <w:pStyle w:val="NoSpacing"/>
              <w:spacing w:line="480" w:lineRule="auto"/>
              <w:jc w:val="both"/>
              <w:rPr>
                <w:rFonts w:ascii="Arial" w:hAnsi="Arial" w:cs="Arial"/>
                <w:b/>
                <w:sz w:val="24"/>
                <w:szCs w:val="24"/>
              </w:rPr>
            </w:pPr>
            <w:r w:rsidRPr="00ED3895">
              <w:rPr>
                <w:rFonts w:ascii="Arial" w:hAnsi="Arial" w:cs="Arial"/>
                <w:b/>
                <w:sz w:val="24"/>
                <w:szCs w:val="24"/>
              </w:rPr>
              <w:t>₱2 per card</w:t>
            </w:r>
          </w:p>
        </w:tc>
      </w:tr>
      <w:tr w:rsidR="00ED3895" w14:paraId="5F125F3C" w14:textId="77777777" w:rsidTr="00ED3895">
        <w:tc>
          <w:tcPr>
            <w:tcW w:w="2876" w:type="dxa"/>
          </w:tcPr>
          <w:p w14:paraId="4AD89B20" w14:textId="6E864D69" w:rsidR="00ED3895" w:rsidRPr="00ED3895" w:rsidRDefault="00ED3895" w:rsidP="002F7199">
            <w:pPr>
              <w:pStyle w:val="NoSpacing"/>
              <w:spacing w:line="480" w:lineRule="auto"/>
              <w:jc w:val="both"/>
              <w:rPr>
                <w:rFonts w:ascii="Arial" w:hAnsi="Arial" w:cs="Arial"/>
                <w:b/>
                <w:sz w:val="24"/>
                <w:szCs w:val="24"/>
              </w:rPr>
            </w:pPr>
            <w:r w:rsidRPr="00ED3895">
              <w:rPr>
                <w:rFonts w:ascii="Arial" w:hAnsi="Arial" w:cs="Arial"/>
                <w:b/>
                <w:sz w:val="24"/>
                <w:szCs w:val="24"/>
              </w:rPr>
              <w:t>RFID Readers</w:t>
            </w:r>
          </w:p>
        </w:tc>
        <w:tc>
          <w:tcPr>
            <w:tcW w:w="2877" w:type="dxa"/>
          </w:tcPr>
          <w:p w14:paraId="72C3E999" w14:textId="5048B336" w:rsidR="00ED3895" w:rsidRPr="00ED3895" w:rsidRDefault="00ED3895" w:rsidP="00ED3895">
            <w:pPr>
              <w:pStyle w:val="NoSpacing"/>
              <w:spacing w:line="480" w:lineRule="auto"/>
              <w:jc w:val="center"/>
              <w:rPr>
                <w:rFonts w:ascii="Arial" w:hAnsi="Arial" w:cs="Arial"/>
                <w:bCs/>
                <w:sz w:val="24"/>
                <w:szCs w:val="24"/>
              </w:rPr>
            </w:pPr>
            <w:r w:rsidRPr="00ED3895">
              <w:rPr>
                <w:rFonts w:ascii="Arial" w:hAnsi="Arial" w:cs="Arial"/>
                <w:bCs/>
                <w:sz w:val="24"/>
                <w:szCs w:val="24"/>
              </w:rPr>
              <w:t>RFID readers are installed at entry points or checkpoints where users need to authenticate their RFID IDs. These readers communicate wirelessly with the RFID cards to verify user identity.</w:t>
            </w:r>
          </w:p>
        </w:tc>
        <w:tc>
          <w:tcPr>
            <w:tcW w:w="2877" w:type="dxa"/>
          </w:tcPr>
          <w:p w14:paraId="60E57DA7" w14:textId="5756A5A8" w:rsidR="00ED3895" w:rsidRPr="00ED3895" w:rsidRDefault="00ED3895" w:rsidP="002F7199">
            <w:pPr>
              <w:pStyle w:val="NoSpacing"/>
              <w:spacing w:line="480" w:lineRule="auto"/>
              <w:jc w:val="both"/>
              <w:rPr>
                <w:rFonts w:ascii="Arial" w:hAnsi="Arial" w:cs="Arial"/>
                <w:b/>
                <w:sz w:val="24"/>
                <w:szCs w:val="24"/>
              </w:rPr>
            </w:pPr>
            <w:r w:rsidRPr="00ED3895">
              <w:rPr>
                <w:rFonts w:ascii="Arial" w:hAnsi="Arial" w:cs="Arial"/>
                <w:b/>
                <w:sz w:val="24"/>
                <w:szCs w:val="24"/>
              </w:rPr>
              <w:t>₱500 (per reader)</w:t>
            </w:r>
          </w:p>
        </w:tc>
      </w:tr>
      <w:tr w:rsidR="00ED3895" w14:paraId="3D4998D7" w14:textId="77777777" w:rsidTr="00ED3895">
        <w:tc>
          <w:tcPr>
            <w:tcW w:w="2876" w:type="dxa"/>
          </w:tcPr>
          <w:p w14:paraId="5EDC6C64" w14:textId="6143D95A" w:rsidR="00ED3895" w:rsidRPr="00ED3895" w:rsidRDefault="00ED3895" w:rsidP="002F7199">
            <w:pPr>
              <w:pStyle w:val="NoSpacing"/>
              <w:spacing w:line="480" w:lineRule="auto"/>
              <w:jc w:val="both"/>
              <w:rPr>
                <w:rFonts w:ascii="Arial" w:hAnsi="Arial" w:cs="Arial"/>
                <w:b/>
                <w:sz w:val="24"/>
                <w:szCs w:val="24"/>
              </w:rPr>
            </w:pPr>
            <w:r w:rsidRPr="00ED3895">
              <w:rPr>
                <w:rFonts w:ascii="Arial" w:hAnsi="Arial" w:cs="Arial"/>
                <w:color w:val="0D0D0D"/>
                <w:sz w:val="24"/>
                <w:szCs w:val="24"/>
                <w:shd w:val="clear" w:color="auto" w:fill="FFFFFF"/>
              </w:rPr>
              <w:t>Total Cost</w:t>
            </w:r>
          </w:p>
        </w:tc>
        <w:tc>
          <w:tcPr>
            <w:tcW w:w="2877" w:type="dxa"/>
          </w:tcPr>
          <w:p w14:paraId="4937323C" w14:textId="77777777" w:rsidR="00ED3895" w:rsidRPr="00ED3895" w:rsidRDefault="00ED3895" w:rsidP="002F7199">
            <w:pPr>
              <w:pStyle w:val="NoSpacing"/>
              <w:spacing w:line="480" w:lineRule="auto"/>
              <w:jc w:val="both"/>
              <w:rPr>
                <w:rFonts w:ascii="Arial" w:hAnsi="Arial" w:cs="Arial"/>
                <w:bCs/>
                <w:sz w:val="24"/>
                <w:szCs w:val="24"/>
              </w:rPr>
            </w:pPr>
          </w:p>
        </w:tc>
        <w:tc>
          <w:tcPr>
            <w:tcW w:w="2877" w:type="dxa"/>
          </w:tcPr>
          <w:p w14:paraId="658F15F1" w14:textId="35493123" w:rsidR="00ED3895" w:rsidRPr="00ED3895" w:rsidRDefault="00ED3895" w:rsidP="002F7199">
            <w:pPr>
              <w:pStyle w:val="NoSpacing"/>
              <w:spacing w:line="480" w:lineRule="auto"/>
              <w:jc w:val="both"/>
              <w:rPr>
                <w:rFonts w:ascii="Arial" w:hAnsi="Arial" w:cs="Arial"/>
                <w:bCs/>
                <w:sz w:val="24"/>
                <w:szCs w:val="24"/>
              </w:rPr>
            </w:pPr>
            <w:r w:rsidRPr="00ED3895">
              <w:rPr>
                <w:rFonts w:ascii="Arial" w:hAnsi="Arial" w:cs="Arial"/>
                <w:bCs/>
                <w:sz w:val="24"/>
                <w:szCs w:val="24"/>
              </w:rPr>
              <w:t>Varies depending on the number of cards and readers deployed.</w:t>
            </w:r>
          </w:p>
        </w:tc>
      </w:tr>
    </w:tbl>
    <w:p w14:paraId="488C308B" w14:textId="77777777" w:rsidR="002F7199" w:rsidRPr="002F7199" w:rsidRDefault="002F7199" w:rsidP="002F7199">
      <w:pPr>
        <w:pStyle w:val="NoSpacing"/>
        <w:spacing w:line="480" w:lineRule="auto"/>
        <w:jc w:val="both"/>
        <w:rPr>
          <w:rFonts w:ascii="Arial" w:hAnsi="Arial" w:cs="Arial"/>
          <w:b/>
          <w:sz w:val="26"/>
          <w:szCs w:val="26"/>
        </w:rPr>
      </w:pPr>
    </w:p>
    <w:p w14:paraId="452F1FC2" w14:textId="77777777" w:rsidR="002F7199" w:rsidRPr="002F7199" w:rsidRDefault="002F7199" w:rsidP="002F7199">
      <w:pPr>
        <w:pStyle w:val="NoSpacing"/>
        <w:spacing w:line="480" w:lineRule="auto"/>
        <w:jc w:val="both"/>
        <w:rPr>
          <w:rFonts w:ascii="Arial" w:hAnsi="Arial" w:cs="Arial"/>
          <w:b/>
          <w:sz w:val="26"/>
          <w:szCs w:val="26"/>
        </w:rPr>
      </w:pPr>
      <w:r w:rsidRPr="002F7199">
        <w:rPr>
          <w:rFonts w:ascii="Arial" w:hAnsi="Arial" w:cs="Arial"/>
          <w:b/>
          <w:sz w:val="26"/>
          <w:szCs w:val="26"/>
        </w:rPr>
        <w:lastRenderedPageBreak/>
        <w:t>3.11 Waste Disposal</w:t>
      </w:r>
    </w:p>
    <w:p w14:paraId="3BE23875" w14:textId="77777777" w:rsidR="002F7199" w:rsidRPr="002F7199" w:rsidRDefault="002F7199" w:rsidP="002F7199">
      <w:pPr>
        <w:pStyle w:val="NoSpacing"/>
        <w:spacing w:line="480" w:lineRule="auto"/>
        <w:jc w:val="both"/>
        <w:rPr>
          <w:rFonts w:ascii="Arial" w:hAnsi="Arial" w:cs="Arial"/>
          <w:bCs/>
          <w:sz w:val="26"/>
          <w:szCs w:val="26"/>
        </w:rPr>
      </w:pPr>
    </w:p>
    <w:p w14:paraId="709CB851" w14:textId="77777777" w:rsidR="002F7199" w:rsidRPr="002F7199" w:rsidRDefault="002F7199" w:rsidP="002F7199">
      <w:pPr>
        <w:pStyle w:val="NoSpacing"/>
        <w:spacing w:line="480" w:lineRule="auto"/>
        <w:jc w:val="both"/>
        <w:rPr>
          <w:rFonts w:ascii="Arial" w:hAnsi="Arial" w:cs="Arial"/>
          <w:bCs/>
          <w:sz w:val="26"/>
          <w:szCs w:val="26"/>
        </w:rPr>
      </w:pPr>
      <w:r w:rsidRPr="002F7199">
        <w:rPr>
          <w:rFonts w:ascii="Arial" w:hAnsi="Arial" w:cs="Arial"/>
          <w:bCs/>
          <w:sz w:val="26"/>
          <w:szCs w:val="26"/>
        </w:rPr>
        <w:t>Proper waste disposal protocols will be established to manage any by-products or materials generated during the manufacturing process of Stop&amp;Go Tech. Recycling initiatives will be prioritized to minimize waste and reduce environmental impact, with designated collection points and procedures implemented to segregate recyclable materials. Collaboration with campus sustainability programs and local waste management authorities will ensure compliance with regulations and best practices for responsible waste disposal.</w:t>
      </w:r>
    </w:p>
    <w:p w14:paraId="4757F722" w14:textId="77777777" w:rsidR="002F7199" w:rsidRPr="002F7199" w:rsidRDefault="002F7199" w:rsidP="002F7199">
      <w:pPr>
        <w:pStyle w:val="NoSpacing"/>
        <w:spacing w:line="480" w:lineRule="auto"/>
        <w:jc w:val="both"/>
        <w:rPr>
          <w:rFonts w:ascii="Arial" w:hAnsi="Arial" w:cs="Arial"/>
          <w:bCs/>
          <w:sz w:val="26"/>
          <w:szCs w:val="26"/>
        </w:rPr>
      </w:pPr>
    </w:p>
    <w:p w14:paraId="14B0A8FF" w14:textId="77777777" w:rsidR="002F7199" w:rsidRPr="002F7199" w:rsidRDefault="002F7199" w:rsidP="002F7199">
      <w:pPr>
        <w:pStyle w:val="NoSpacing"/>
        <w:spacing w:line="480" w:lineRule="auto"/>
        <w:jc w:val="both"/>
        <w:rPr>
          <w:rFonts w:ascii="Arial" w:hAnsi="Arial" w:cs="Arial"/>
          <w:b/>
          <w:sz w:val="26"/>
          <w:szCs w:val="26"/>
        </w:rPr>
      </w:pPr>
      <w:r w:rsidRPr="002F7199">
        <w:rPr>
          <w:rFonts w:ascii="Arial" w:hAnsi="Arial" w:cs="Arial"/>
          <w:b/>
          <w:sz w:val="26"/>
          <w:szCs w:val="26"/>
        </w:rPr>
        <w:t>3.12 Labor Requirements</w:t>
      </w:r>
    </w:p>
    <w:p w14:paraId="585009B7" w14:textId="77777777" w:rsidR="002F7199" w:rsidRPr="002F7199" w:rsidRDefault="002F7199" w:rsidP="002F7199">
      <w:pPr>
        <w:pStyle w:val="NoSpacing"/>
        <w:spacing w:line="480" w:lineRule="auto"/>
        <w:jc w:val="both"/>
        <w:rPr>
          <w:rFonts w:ascii="Arial" w:hAnsi="Arial" w:cs="Arial"/>
          <w:bCs/>
          <w:sz w:val="26"/>
          <w:szCs w:val="26"/>
        </w:rPr>
      </w:pPr>
    </w:p>
    <w:p w14:paraId="6F132891" w14:textId="11918B79" w:rsidR="002F7199" w:rsidRDefault="002F7199" w:rsidP="002F7199">
      <w:pPr>
        <w:pStyle w:val="NoSpacing"/>
        <w:spacing w:line="480" w:lineRule="auto"/>
        <w:jc w:val="both"/>
        <w:rPr>
          <w:rFonts w:ascii="Arial" w:hAnsi="Arial" w:cs="Arial"/>
          <w:bCs/>
          <w:sz w:val="26"/>
          <w:szCs w:val="26"/>
        </w:rPr>
      </w:pPr>
      <w:r w:rsidRPr="002F7199">
        <w:rPr>
          <w:rFonts w:ascii="Arial" w:hAnsi="Arial" w:cs="Arial"/>
          <w:bCs/>
          <w:sz w:val="26"/>
          <w:szCs w:val="26"/>
        </w:rPr>
        <w:t xml:space="preserve">The implementation of Stop&amp;Go Tech will require a skilled workforce comprising manufacturing technicians, software developers, quality assurance specialists, and support staff. Training programs will be provided to equip employees with the necessary knowledge and skills to perform their roles effectively. Recruitment efforts will prioritize local talent to support economic development and community engagement initiatives. Ongoing </w:t>
      </w:r>
      <w:r w:rsidRPr="002F7199">
        <w:rPr>
          <w:rFonts w:ascii="Arial" w:hAnsi="Arial" w:cs="Arial"/>
          <w:bCs/>
          <w:sz w:val="26"/>
          <w:szCs w:val="26"/>
        </w:rPr>
        <w:lastRenderedPageBreak/>
        <w:t>professional development opportunities will be available to employees to enhance job satisfaction and retention.</w:t>
      </w:r>
    </w:p>
    <w:p w14:paraId="0321FD71" w14:textId="77777777" w:rsidR="009646A0" w:rsidRDefault="009646A0" w:rsidP="002F7199">
      <w:pPr>
        <w:pStyle w:val="NoSpacing"/>
        <w:spacing w:line="480" w:lineRule="auto"/>
        <w:jc w:val="both"/>
        <w:rPr>
          <w:rFonts w:ascii="Arial" w:hAnsi="Arial" w:cs="Arial"/>
          <w:bCs/>
          <w:sz w:val="26"/>
          <w:szCs w:val="26"/>
        </w:rPr>
      </w:pPr>
    </w:p>
    <w:p w14:paraId="2DDC2F87" w14:textId="77777777" w:rsidR="009646A0" w:rsidRDefault="009646A0" w:rsidP="002F7199">
      <w:pPr>
        <w:pStyle w:val="NoSpacing"/>
        <w:spacing w:line="480" w:lineRule="auto"/>
        <w:jc w:val="both"/>
        <w:rPr>
          <w:rFonts w:ascii="Arial" w:hAnsi="Arial" w:cs="Arial"/>
          <w:bCs/>
          <w:sz w:val="26"/>
          <w:szCs w:val="26"/>
        </w:rPr>
      </w:pPr>
    </w:p>
    <w:p w14:paraId="7BF931BC" w14:textId="77777777" w:rsidR="009646A0" w:rsidRDefault="009646A0" w:rsidP="002F7199">
      <w:pPr>
        <w:pStyle w:val="NoSpacing"/>
        <w:spacing w:line="480" w:lineRule="auto"/>
        <w:jc w:val="both"/>
        <w:rPr>
          <w:rFonts w:ascii="Arial" w:hAnsi="Arial" w:cs="Arial"/>
          <w:bCs/>
          <w:sz w:val="26"/>
          <w:szCs w:val="26"/>
        </w:rPr>
      </w:pPr>
    </w:p>
    <w:p w14:paraId="72664CC8" w14:textId="77777777" w:rsidR="009646A0" w:rsidRDefault="009646A0" w:rsidP="002F7199">
      <w:pPr>
        <w:pStyle w:val="NoSpacing"/>
        <w:spacing w:line="480" w:lineRule="auto"/>
        <w:jc w:val="both"/>
        <w:rPr>
          <w:rFonts w:ascii="Arial" w:hAnsi="Arial" w:cs="Arial"/>
          <w:bCs/>
          <w:sz w:val="26"/>
          <w:szCs w:val="26"/>
        </w:rPr>
      </w:pPr>
    </w:p>
    <w:p w14:paraId="656C8016" w14:textId="77777777" w:rsidR="009646A0" w:rsidRDefault="009646A0" w:rsidP="002F7199">
      <w:pPr>
        <w:pStyle w:val="NoSpacing"/>
        <w:spacing w:line="480" w:lineRule="auto"/>
        <w:jc w:val="both"/>
        <w:rPr>
          <w:rFonts w:ascii="Arial" w:hAnsi="Arial" w:cs="Arial"/>
          <w:bCs/>
          <w:sz w:val="26"/>
          <w:szCs w:val="26"/>
        </w:rPr>
      </w:pPr>
    </w:p>
    <w:p w14:paraId="143B36E8" w14:textId="77777777" w:rsidR="009646A0" w:rsidRDefault="009646A0" w:rsidP="002F7199">
      <w:pPr>
        <w:pStyle w:val="NoSpacing"/>
        <w:spacing w:line="480" w:lineRule="auto"/>
        <w:jc w:val="both"/>
        <w:rPr>
          <w:rFonts w:ascii="Arial" w:hAnsi="Arial" w:cs="Arial"/>
          <w:bCs/>
          <w:sz w:val="26"/>
          <w:szCs w:val="26"/>
        </w:rPr>
      </w:pPr>
    </w:p>
    <w:p w14:paraId="690BF50E" w14:textId="77777777" w:rsidR="009646A0" w:rsidRDefault="009646A0" w:rsidP="002F7199">
      <w:pPr>
        <w:pStyle w:val="NoSpacing"/>
        <w:spacing w:line="480" w:lineRule="auto"/>
        <w:jc w:val="both"/>
        <w:rPr>
          <w:rFonts w:ascii="Arial" w:hAnsi="Arial" w:cs="Arial"/>
          <w:bCs/>
          <w:sz w:val="26"/>
          <w:szCs w:val="26"/>
        </w:rPr>
      </w:pPr>
    </w:p>
    <w:p w14:paraId="41F6AF73" w14:textId="77777777" w:rsidR="009646A0" w:rsidRDefault="009646A0" w:rsidP="002F7199">
      <w:pPr>
        <w:pStyle w:val="NoSpacing"/>
        <w:spacing w:line="480" w:lineRule="auto"/>
        <w:jc w:val="both"/>
        <w:rPr>
          <w:rFonts w:ascii="Arial" w:hAnsi="Arial" w:cs="Arial"/>
          <w:bCs/>
          <w:sz w:val="26"/>
          <w:szCs w:val="26"/>
        </w:rPr>
      </w:pPr>
    </w:p>
    <w:p w14:paraId="66A26C1D" w14:textId="77777777" w:rsidR="009646A0" w:rsidRPr="00C63668" w:rsidRDefault="009646A0" w:rsidP="002F7199">
      <w:pPr>
        <w:pStyle w:val="NoSpacing"/>
        <w:spacing w:line="480" w:lineRule="auto"/>
        <w:jc w:val="both"/>
        <w:rPr>
          <w:rFonts w:ascii="Arial" w:hAnsi="Arial" w:cs="Arial"/>
          <w:bCs/>
          <w:sz w:val="26"/>
          <w:szCs w:val="26"/>
        </w:rPr>
      </w:pPr>
    </w:p>
    <w:sectPr w:rsidR="009646A0" w:rsidRPr="00C63668" w:rsidSect="00E31205">
      <w:pgSz w:w="12240" w:h="15840"/>
      <w:pgMar w:top="216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6578B" w14:textId="77777777" w:rsidR="00E31205" w:rsidRDefault="00E31205" w:rsidP="002F7199">
      <w:pPr>
        <w:spacing w:after="0" w:line="240" w:lineRule="auto"/>
      </w:pPr>
      <w:r>
        <w:separator/>
      </w:r>
    </w:p>
  </w:endnote>
  <w:endnote w:type="continuationSeparator" w:id="0">
    <w:p w14:paraId="5BED7E4F" w14:textId="77777777" w:rsidR="00E31205" w:rsidRDefault="00E31205" w:rsidP="002F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02042" w14:textId="77777777" w:rsidR="00E31205" w:rsidRDefault="00E31205" w:rsidP="002F7199">
      <w:pPr>
        <w:spacing w:after="0" w:line="240" w:lineRule="auto"/>
      </w:pPr>
      <w:r>
        <w:separator/>
      </w:r>
    </w:p>
  </w:footnote>
  <w:footnote w:type="continuationSeparator" w:id="0">
    <w:p w14:paraId="6056BE3F" w14:textId="77777777" w:rsidR="00E31205" w:rsidRDefault="00E31205" w:rsidP="002F7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A7D63"/>
    <w:multiLevelType w:val="hybridMultilevel"/>
    <w:tmpl w:val="297E1D7E"/>
    <w:lvl w:ilvl="0" w:tplc="D8C463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23774"/>
    <w:multiLevelType w:val="hybridMultilevel"/>
    <w:tmpl w:val="765E889E"/>
    <w:lvl w:ilvl="0" w:tplc="93A4675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99579393">
    <w:abstractNumId w:val="0"/>
  </w:num>
  <w:num w:numId="2" w16cid:durableId="218982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97"/>
    <w:rsid w:val="00134917"/>
    <w:rsid w:val="0014032A"/>
    <w:rsid w:val="001B6EEA"/>
    <w:rsid w:val="001E6CC8"/>
    <w:rsid w:val="002A262C"/>
    <w:rsid w:val="002F7199"/>
    <w:rsid w:val="00312397"/>
    <w:rsid w:val="003E7A00"/>
    <w:rsid w:val="00482E56"/>
    <w:rsid w:val="004E652C"/>
    <w:rsid w:val="005E18BA"/>
    <w:rsid w:val="0065452D"/>
    <w:rsid w:val="00655F2B"/>
    <w:rsid w:val="006A486B"/>
    <w:rsid w:val="006B3421"/>
    <w:rsid w:val="007316F2"/>
    <w:rsid w:val="00887C0E"/>
    <w:rsid w:val="008C1E9C"/>
    <w:rsid w:val="009646A0"/>
    <w:rsid w:val="009738C8"/>
    <w:rsid w:val="00995F89"/>
    <w:rsid w:val="00C03FB7"/>
    <w:rsid w:val="00C06F18"/>
    <w:rsid w:val="00C4475F"/>
    <w:rsid w:val="00C50314"/>
    <w:rsid w:val="00C63668"/>
    <w:rsid w:val="00CD3F4A"/>
    <w:rsid w:val="00D84C55"/>
    <w:rsid w:val="00DC1001"/>
    <w:rsid w:val="00DC7DD4"/>
    <w:rsid w:val="00E31205"/>
    <w:rsid w:val="00EA1078"/>
    <w:rsid w:val="00ED0FA2"/>
    <w:rsid w:val="00ED3895"/>
    <w:rsid w:val="00F052F6"/>
    <w:rsid w:val="00F41E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3101"/>
  <w15:chartTrackingRefBased/>
  <w15:docId w15:val="{424C7A01-157F-4D6B-9144-34816CD5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E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2397"/>
    <w:pPr>
      <w:spacing w:after="0" w:line="240" w:lineRule="auto"/>
    </w:pPr>
  </w:style>
  <w:style w:type="paragraph" w:styleId="Header">
    <w:name w:val="header"/>
    <w:basedOn w:val="Normal"/>
    <w:link w:val="HeaderChar"/>
    <w:uiPriority w:val="99"/>
    <w:unhideWhenUsed/>
    <w:rsid w:val="002F7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99"/>
  </w:style>
  <w:style w:type="paragraph" w:styleId="Footer">
    <w:name w:val="footer"/>
    <w:basedOn w:val="Normal"/>
    <w:link w:val="FooterChar"/>
    <w:uiPriority w:val="99"/>
    <w:unhideWhenUsed/>
    <w:rsid w:val="002F7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99"/>
  </w:style>
  <w:style w:type="table" w:styleId="TableGrid">
    <w:name w:val="Table Grid"/>
    <w:basedOn w:val="TableNormal"/>
    <w:uiPriority w:val="39"/>
    <w:rsid w:val="00654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4742">
      <w:bodyDiv w:val="1"/>
      <w:marLeft w:val="0"/>
      <w:marRight w:val="0"/>
      <w:marTop w:val="0"/>
      <w:marBottom w:val="0"/>
      <w:divBdr>
        <w:top w:val="none" w:sz="0" w:space="0" w:color="auto"/>
        <w:left w:val="none" w:sz="0" w:space="0" w:color="auto"/>
        <w:bottom w:val="none" w:sz="0" w:space="0" w:color="auto"/>
        <w:right w:val="none" w:sz="0" w:space="0" w:color="auto"/>
      </w:divBdr>
    </w:div>
    <w:div w:id="718897121">
      <w:bodyDiv w:val="1"/>
      <w:marLeft w:val="0"/>
      <w:marRight w:val="0"/>
      <w:marTop w:val="0"/>
      <w:marBottom w:val="0"/>
      <w:divBdr>
        <w:top w:val="none" w:sz="0" w:space="0" w:color="auto"/>
        <w:left w:val="none" w:sz="0" w:space="0" w:color="auto"/>
        <w:bottom w:val="none" w:sz="0" w:space="0" w:color="auto"/>
        <w:right w:val="none" w:sz="0" w:space="0" w:color="auto"/>
      </w:divBdr>
    </w:div>
    <w:div w:id="858591349">
      <w:bodyDiv w:val="1"/>
      <w:marLeft w:val="0"/>
      <w:marRight w:val="0"/>
      <w:marTop w:val="0"/>
      <w:marBottom w:val="0"/>
      <w:divBdr>
        <w:top w:val="none" w:sz="0" w:space="0" w:color="auto"/>
        <w:left w:val="none" w:sz="0" w:space="0" w:color="auto"/>
        <w:bottom w:val="none" w:sz="0" w:space="0" w:color="auto"/>
        <w:right w:val="none" w:sz="0" w:space="0" w:color="auto"/>
      </w:divBdr>
    </w:div>
    <w:div w:id="861554851">
      <w:bodyDiv w:val="1"/>
      <w:marLeft w:val="0"/>
      <w:marRight w:val="0"/>
      <w:marTop w:val="0"/>
      <w:marBottom w:val="0"/>
      <w:divBdr>
        <w:top w:val="none" w:sz="0" w:space="0" w:color="auto"/>
        <w:left w:val="none" w:sz="0" w:space="0" w:color="auto"/>
        <w:bottom w:val="none" w:sz="0" w:space="0" w:color="auto"/>
        <w:right w:val="none" w:sz="0" w:space="0" w:color="auto"/>
      </w:divBdr>
    </w:div>
    <w:div w:id="957830938">
      <w:bodyDiv w:val="1"/>
      <w:marLeft w:val="0"/>
      <w:marRight w:val="0"/>
      <w:marTop w:val="0"/>
      <w:marBottom w:val="0"/>
      <w:divBdr>
        <w:top w:val="none" w:sz="0" w:space="0" w:color="auto"/>
        <w:left w:val="none" w:sz="0" w:space="0" w:color="auto"/>
        <w:bottom w:val="none" w:sz="0" w:space="0" w:color="auto"/>
        <w:right w:val="none" w:sz="0" w:space="0" w:color="auto"/>
      </w:divBdr>
    </w:div>
    <w:div w:id="976110048">
      <w:bodyDiv w:val="1"/>
      <w:marLeft w:val="0"/>
      <w:marRight w:val="0"/>
      <w:marTop w:val="0"/>
      <w:marBottom w:val="0"/>
      <w:divBdr>
        <w:top w:val="none" w:sz="0" w:space="0" w:color="auto"/>
        <w:left w:val="none" w:sz="0" w:space="0" w:color="auto"/>
        <w:bottom w:val="none" w:sz="0" w:space="0" w:color="auto"/>
        <w:right w:val="none" w:sz="0" w:space="0" w:color="auto"/>
      </w:divBdr>
    </w:div>
    <w:div w:id="1186208229">
      <w:bodyDiv w:val="1"/>
      <w:marLeft w:val="0"/>
      <w:marRight w:val="0"/>
      <w:marTop w:val="0"/>
      <w:marBottom w:val="0"/>
      <w:divBdr>
        <w:top w:val="none" w:sz="0" w:space="0" w:color="auto"/>
        <w:left w:val="none" w:sz="0" w:space="0" w:color="auto"/>
        <w:bottom w:val="none" w:sz="0" w:space="0" w:color="auto"/>
        <w:right w:val="none" w:sz="0" w:space="0" w:color="auto"/>
      </w:divBdr>
    </w:div>
    <w:div w:id="1208227613">
      <w:bodyDiv w:val="1"/>
      <w:marLeft w:val="0"/>
      <w:marRight w:val="0"/>
      <w:marTop w:val="0"/>
      <w:marBottom w:val="0"/>
      <w:divBdr>
        <w:top w:val="none" w:sz="0" w:space="0" w:color="auto"/>
        <w:left w:val="none" w:sz="0" w:space="0" w:color="auto"/>
        <w:bottom w:val="none" w:sz="0" w:space="0" w:color="auto"/>
        <w:right w:val="none" w:sz="0" w:space="0" w:color="auto"/>
      </w:divBdr>
    </w:div>
    <w:div w:id="1224297438">
      <w:bodyDiv w:val="1"/>
      <w:marLeft w:val="0"/>
      <w:marRight w:val="0"/>
      <w:marTop w:val="0"/>
      <w:marBottom w:val="0"/>
      <w:divBdr>
        <w:top w:val="none" w:sz="0" w:space="0" w:color="auto"/>
        <w:left w:val="none" w:sz="0" w:space="0" w:color="auto"/>
        <w:bottom w:val="none" w:sz="0" w:space="0" w:color="auto"/>
        <w:right w:val="none" w:sz="0" w:space="0" w:color="auto"/>
      </w:divBdr>
    </w:div>
    <w:div w:id="1449853552">
      <w:bodyDiv w:val="1"/>
      <w:marLeft w:val="0"/>
      <w:marRight w:val="0"/>
      <w:marTop w:val="0"/>
      <w:marBottom w:val="0"/>
      <w:divBdr>
        <w:top w:val="none" w:sz="0" w:space="0" w:color="auto"/>
        <w:left w:val="none" w:sz="0" w:space="0" w:color="auto"/>
        <w:bottom w:val="none" w:sz="0" w:space="0" w:color="auto"/>
        <w:right w:val="none" w:sz="0" w:space="0" w:color="auto"/>
      </w:divBdr>
    </w:div>
    <w:div w:id="1486432271">
      <w:bodyDiv w:val="1"/>
      <w:marLeft w:val="0"/>
      <w:marRight w:val="0"/>
      <w:marTop w:val="0"/>
      <w:marBottom w:val="0"/>
      <w:divBdr>
        <w:top w:val="none" w:sz="0" w:space="0" w:color="auto"/>
        <w:left w:val="none" w:sz="0" w:space="0" w:color="auto"/>
        <w:bottom w:val="none" w:sz="0" w:space="0" w:color="auto"/>
        <w:right w:val="none" w:sz="0" w:space="0" w:color="auto"/>
      </w:divBdr>
    </w:div>
    <w:div w:id="1618949432">
      <w:bodyDiv w:val="1"/>
      <w:marLeft w:val="0"/>
      <w:marRight w:val="0"/>
      <w:marTop w:val="0"/>
      <w:marBottom w:val="0"/>
      <w:divBdr>
        <w:top w:val="none" w:sz="0" w:space="0" w:color="auto"/>
        <w:left w:val="none" w:sz="0" w:space="0" w:color="auto"/>
        <w:bottom w:val="none" w:sz="0" w:space="0" w:color="auto"/>
        <w:right w:val="none" w:sz="0" w:space="0" w:color="auto"/>
      </w:divBdr>
    </w:div>
    <w:div w:id="162912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18</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MyAsus67</cp:lastModifiedBy>
  <cp:revision>8</cp:revision>
  <dcterms:created xsi:type="dcterms:W3CDTF">2024-03-01T00:21:00Z</dcterms:created>
  <dcterms:modified xsi:type="dcterms:W3CDTF">2024-03-26T15:13:00Z</dcterms:modified>
</cp:coreProperties>
</file>