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3f6260ea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3f6260ea.xml"/>
</Relationships>

</file>

<file path=word/charts/_rels/chart6c503f6260ea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4f18366e.xlsx"/></Relationships>

</file>

<file path=word/charts/chart6c503f6260ea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Percent Population by Age Group (Dane County)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2.61</c:v>
                </c:pt>
                <c:pt idx="1">
                  <c:v>2.80</c:v>
                </c:pt>
                <c:pt idx="2">
                  <c:v>2.78</c:v>
                </c:pt>
                <c:pt idx="3">
                  <c:v>3.42</c:v>
                </c:pt>
                <c:pt idx="4">
                  <c:v>4.48</c:v>
                </c:pt>
                <c:pt idx="5">
                  <c:v>4.02</c:v>
                </c:pt>
                <c:pt idx="6">
                  <c:v>3.84</c:v>
                </c:pt>
                <c:pt idx="7">
                  <c:v>3.58</c:v>
                </c:pt>
                <c:pt idx="8">
                  <c:v>3.15</c:v>
                </c:pt>
                <c:pt idx="9">
                  <c:v>2.78</c:v>
                </c:pt>
                <c:pt idx="10">
                  <c:v>2.84</c:v>
                </c:pt>
                <c:pt idx="11">
                  <c:v>3.07</c:v>
                </c:pt>
                <c:pt idx="12">
                  <c:v>2.92</c:v>
                </c:pt>
                <c:pt idx="13">
                  <c:v>2.69</c:v>
                </c:pt>
                <c:pt idx="14">
                  <c:v>2.11</c:v>
                </c:pt>
                <c:pt idx="15">
                  <c:v>1.34</c:v>
                </c:pt>
                <c:pt idx="16">
                  <c:v>0.87</c:v>
                </c:pt>
                <c:pt idx="17">
                  <c:v>1.08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-2.75</c:v>
                </c:pt>
                <c:pt idx="1">
                  <c:v>-2.92</c:v>
                </c:pt>
                <c:pt idx="2">
                  <c:v>-2.95</c:v>
                </c:pt>
                <c:pt idx="3">
                  <c:v>-3.41</c:v>
                </c:pt>
                <c:pt idx="4">
                  <c:v>-4.68</c:v>
                </c:pt>
                <c:pt idx="5">
                  <c:v>-4.29</c:v>
                </c:pt>
                <c:pt idx="6">
                  <c:v>-4.02</c:v>
                </c:pt>
                <c:pt idx="7">
                  <c:v>-3.69</c:v>
                </c:pt>
                <c:pt idx="8">
                  <c:v>-3.14</c:v>
                </c:pt>
                <c:pt idx="9">
                  <c:v>-2.79</c:v>
                </c:pt>
                <c:pt idx="10">
                  <c:v>-2.81</c:v>
                </c:pt>
                <c:pt idx="11">
                  <c:v>-2.85</c:v>
                </c:pt>
                <c:pt idx="12">
                  <c:v>-2.74</c:v>
                </c:pt>
                <c:pt idx="13">
                  <c:v>-2.41</c:v>
                </c:pt>
                <c:pt idx="14">
                  <c:v>-1.85</c:v>
                </c:pt>
                <c:pt idx="15">
                  <c:v>-1.09</c:v>
                </c:pt>
                <c:pt idx="16">
                  <c:v>-0.64</c:v>
                </c:pt>
                <c:pt idx="17">
                  <c:v>-0.60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low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;[Black]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2025-02-06T09:33:34Z</dcterms:modified>
  <cp:category/>
</cp:coreProperties>
</file>