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6c502f1178f8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graphictitle"/>
      </w:pPr>
      <w:r>
        <w:drawing>
          <wp:inline distT="0" distB="0" distL="0" distR="0">
            <wp:extent cx="6400800" cy="45720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6c502f1178f8.xml"/>
</Relationships>

</file>

<file path=word/charts/_rels/chart6c502f1178f8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6c50fd05f0f.xlsx"/></Relationships>

</file>

<file path=word/charts/chart6c502f1178f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 xmlns:c="http://schemas.openxmlformats.org/drawingml/2006/chart" xmlns:a="http://schemas.openxmlformats.org/drawingml/2006/main" xmlns:r="http://schemas.openxmlformats.org/officeDocument/2006/relationships">
      <c:tx>
        <c:rich>
          <a:bodyPr/>
          <a:lstStyle/>
          <a:p>
            <a:pPr>
              <a:defRPr/>
            </a:pPr>
            <a:r>
              <a:rPr cap="none" sz="12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rPr>
              <a:t>Female &amp; Male Population by Age Group (Town of Dunn)</a:t>
            </a:r>
          </a:p>
        </c:rich>
      </c:tx>
      <c:layout/>
      <c:overlay val="0"/>
    </c:title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 w="25400"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sheet1!$A$2:$A$19</c:f>
              <c:strCache>
                <c:ptCount val="18"/>
                <c:pt idx="0">
                  <c:v>Under 5 years</c:v>
                </c:pt>
                <c:pt idx="1">
                  <c:v>5 to 9 years</c:v>
                </c:pt>
                <c:pt idx="2">
                  <c:v>10 to 14 years</c:v>
                </c:pt>
                <c:pt idx="3">
                  <c:v>15 to 19 years</c:v>
                </c:pt>
                <c:pt idx="4">
                  <c:v>20 to 24 years</c:v>
                </c:pt>
                <c:pt idx="5">
                  <c:v>25 to 29 years</c:v>
                </c:pt>
                <c:pt idx="6">
                  <c:v>30 to 34 years</c:v>
                </c:pt>
                <c:pt idx="7">
                  <c:v>35 to 39 years</c:v>
                </c:pt>
                <c:pt idx="8">
                  <c:v>40 to 44 years</c:v>
                </c:pt>
                <c:pt idx="9">
                  <c:v>45 to 49 years</c:v>
                </c:pt>
                <c:pt idx="10">
                  <c:v>50 to 54 years</c:v>
                </c:pt>
                <c:pt idx="11">
                  <c:v>55 to 59 years</c:v>
                </c:pt>
                <c:pt idx="12">
                  <c:v>60 to 64 years</c:v>
                </c:pt>
                <c:pt idx="13">
                  <c:v>65 to 69 years</c:v>
                </c:pt>
                <c:pt idx="14">
                  <c:v>70 to 74 years</c:v>
                </c:pt>
                <c:pt idx="15">
                  <c:v>75 to 79 years</c:v>
                </c:pt>
                <c:pt idx="16">
                  <c:v>80 to 84 years</c:v>
                </c:pt>
                <c:pt idx="17">
                  <c:v>85 years and over</c:v>
                </c:pt>
              </c:strCache>
            </c:strRef>
          </c:cat>
          <c:val>
            <c:numRef>
              <c:f>sheet1!$B$2:$B$19</c:f>
              <c:numCache>
                <c:ptCount val="18"/>
                <c:pt idx="0">
                  <c:v>2.34</c:v>
                </c:pt>
                <c:pt idx="1">
                  <c:v>2.21</c:v>
                </c:pt>
                <c:pt idx="2">
                  <c:v>2.30</c:v>
                </c:pt>
                <c:pt idx="3">
                  <c:v>2.52</c:v>
                </c:pt>
                <c:pt idx="4">
                  <c:v>1.76</c:v>
                </c:pt>
                <c:pt idx="5">
                  <c:v>1.97</c:v>
                </c:pt>
                <c:pt idx="6">
                  <c:v>2.42</c:v>
                </c:pt>
                <c:pt idx="7">
                  <c:v>2.52</c:v>
                </c:pt>
                <c:pt idx="8">
                  <c:v>2.75</c:v>
                </c:pt>
                <c:pt idx="9">
                  <c:v>2.68</c:v>
                </c:pt>
                <c:pt idx="10">
                  <c:v>3.75</c:v>
                </c:pt>
                <c:pt idx="11">
                  <c:v>4.77</c:v>
                </c:pt>
                <c:pt idx="12">
                  <c:v>5.18</c:v>
                </c:pt>
                <c:pt idx="13">
                  <c:v>4.71</c:v>
                </c:pt>
                <c:pt idx="14">
                  <c:v>3.79</c:v>
                </c:pt>
                <c:pt idx="15">
                  <c:v>2.25</c:v>
                </c:pt>
                <c:pt idx="16">
                  <c:v>0.84</c:v>
                </c:pt>
                <c:pt idx="17">
                  <c:v>0.66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 w="25400">
              <a:solidFill>
                <a:srgbClr val="CC6677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sheet1!$A$2:$A$19</c:f>
              <c:strCache>
                <c:ptCount val="18"/>
                <c:pt idx="0">
                  <c:v>Under 5 years</c:v>
                </c:pt>
                <c:pt idx="1">
                  <c:v>5 to 9 years</c:v>
                </c:pt>
                <c:pt idx="2">
                  <c:v>10 to 14 years</c:v>
                </c:pt>
                <c:pt idx="3">
                  <c:v>15 to 19 years</c:v>
                </c:pt>
                <c:pt idx="4">
                  <c:v>20 to 24 years</c:v>
                </c:pt>
                <c:pt idx="5">
                  <c:v>25 to 29 years</c:v>
                </c:pt>
                <c:pt idx="6">
                  <c:v>30 to 34 years</c:v>
                </c:pt>
                <c:pt idx="7">
                  <c:v>35 to 39 years</c:v>
                </c:pt>
                <c:pt idx="8">
                  <c:v>40 to 44 years</c:v>
                </c:pt>
                <c:pt idx="9">
                  <c:v>45 to 49 years</c:v>
                </c:pt>
                <c:pt idx="10">
                  <c:v>50 to 54 years</c:v>
                </c:pt>
                <c:pt idx="11">
                  <c:v>55 to 59 years</c:v>
                </c:pt>
                <c:pt idx="12">
                  <c:v>60 to 64 years</c:v>
                </c:pt>
                <c:pt idx="13">
                  <c:v>65 to 69 years</c:v>
                </c:pt>
                <c:pt idx="14">
                  <c:v>70 to 74 years</c:v>
                </c:pt>
                <c:pt idx="15">
                  <c:v>75 to 79 years</c:v>
                </c:pt>
                <c:pt idx="16">
                  <c:v>80 to 84 years</c:v>
                </c:pt>
                <c:pt idx="17">
                  <c:v>85 years and over</c:v>
                </c:pt>
              </c:strCache>
            </c:strRef>
          </c:cat>
          <c:val>
            <c:numRef>
              <c:f>sheet1!$C$2:$C$19</c:f>
              <c:numCache>
                <c:ptCount val="18"/>
                <c:pt idx="0">
                  <c:v>1.70</c:v>
                </c:pt>
                <c:pt idx="1">
                  <c:v>2.23</c:v>
                </c:pt>
                <c:pt idx="2">
                  <c:v>2.73</c:v>
                </c:pt>
                <c:pt idx="3">
                  <c:v>2.66</c:v>
                </c:pt>
                <c:pt idx="4">
                  <c:v>2.05</c:v>
                </c:pt>
                <c:pt idx="5">
                  <c:v>2.01</c:v>
                </c:pt>
                <c:pt idx="6">
                  <c:v>2.52</c:v>
                </c:pt>
                <c:pt idx="7">
                  <c:v>2.85</c:v>
                </c:pt>
                <c:pt idx="8">
                  <c:v>2.95</c:v>
                </c:pt>
                <c:pt idx="9">
                  <c:v>2.62</c:v>
                </c:pt>
                <c:pt idx="10">
                  <c:v>3.83</c:v>
                </c:pt>
                <c:pt idx="11">
                  <c:v>4.63</c:v>
                </c:pt>
                <c:pt idx="12">
                  <c:v>5.23</c:v>
                </c:pt>
                <c:pt idx="13">
                  <c:v>4.26</c:v>
                </c:pt>
                <c:pt idx="14">
                  <c:v>3.95</c:v>
                </c:pt>
                <c:pt idx="15">
                  <c:v>2.54</c:v>
                </c:pt>
                <c:pt idx="16">
                  <c:v>1.25</c:v>
                </c:pt>
                <c:pt idx="17">
                  <c:v>0.55</c:v>
                </c:pt>
              </c:numCache>
            </c:numRef>
          </c:val>
        </c:ser>
        <c:dLbls>
          <c:dLblPos val="ctr"/>
          <c:numFmt formatCode="General" sourceLinked="0"/>
          <c:separator val=", "/>
          <c:showBubbleSize val="0"/>
          <c:showCatName val="0"/>
          <c:showLegendKey val="0"/>
          <c:showPercent val="0"/>
          <c:showSerName val="0"/>
          <c:showVal val="0"/>
        </c:dLbls>
        <c:gapWidth val="150"/>
        <c:overlap val="-5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Age Group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Percent of Population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#,###.0\%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900" i="0" b="0" u="none">
              <a:solidFill>
                <a:srgbClr val="000000">
                  <a:alpha val="100000"/>
                </a:srgbClr>
              </a:solidFill>
              <a:latin typeface="Arial"/>
              <a:cs typeface="Arial"/>
              <a:ea typeface="Arial"/>
              <a:sym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2025-02-06T09:33:31Z</dcterms:modified>
  <cp:category/>
</cp:coreProperties>
</file>