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46337c95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46337c95.xml"/>
</Relationships>

</file>

<file path=word/charts/_rels/chart6c5046337c9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690969d5.xlsx"/></Relationships>

</file>

<file path=word/charts/chart6c5046337c9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Median Home Value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Town of Dunn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379800</c:v>
                </c:pt>
                <c:pt idx="1">
                  <c:v>342900</c:v>
                </c:pt>
                <c:pt idx="2">
                  <c:v>231400</c:v>
                </c:pt>
              </c:numCache>
            </c:numRef>
          </c:val>
        </c:ser>
        <c:dLbls>
          <c:dLblPos val="outEnd"/>
          <c:numFmt formatCode="$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$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2025-02-06T09:33:50Z</dcterms:modified>
  <cp:category/>
</cp:coreProperties>
</file>